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b/>
          <w:color w:val="548DD4" w:themeColor="text2" w:themeTint="99"/>
          <w:sz w:val="26"/>
          <w:szCs w:val="26"/>
        </w:rPr>
      </w:pPr>
      <w:r>
        <w:rPr>
          <w:b/>
          <w:color w:val="548DD4" w:themeColor="text2" w:themeTint="99"/>
          <w:sz w:val="26"/>
          <w:szCs w:val="26"/>
        </w:rPr>
        <w:t xml:space="preserve">Kontrola na úrovni projektového partnera – </w:t>
      </w:r>
    </w:p>
    <w:p>
      <w:pPr>
        <w:jc w:val="center"/>
        <w:rPr>
          <w:b/>
          <w:color w:val="548DD4" w:themeColor="text2" w:themeTint="99"/>
          <w:sz w:val="26"/>
          <w:szCs w:val="26"/>
        </w:rPr>
      </w:pPr>
      <w:r>
        <w:rPr>
          <w:b/>
          <w:color w:val="548DD4" w:themeColor="text2" w:themeTint="99"/>
          <w:sz w:val="26"/>
          <w:szCs w:val="26"/>
        </w:rPr>
        <w:t>upřesnění postupů pro kontrolu českých projektových partnerů</w:t>
      </w:r>
    </w:p>
    <w:p>
      <w:pPr>
        <w:rPr>
          <w:b/>
        </w:rPr>
      </w:pPr>
    </w:p>
    <w:p>
      <w:pPr>
        <w:rPr>
          <w:b/>
        </w:rPr>
      </w:pPr>
      <w:r>
        <w:rPr>
          <w:b/>
        </w:rPr>
        <w:t>Průběh kontroly</w:t>
      </w:r>
    </w:p>
    <w:p>
      <w:pPr>
        <w:jc w:val="both"/>
      </w:pPr>
      <w:r>
        <w:t>Kontrolor musí provést kontrolu Zprávy za partnera do 90 kalendářních dnů od jejího kompletního předložení.</w:t>
      </w:r>
    </w:p>
    <w:p>
      <w:pPr>
        <w:jc w:val="both"/>
      </w:pPr>
      <w:r>
        <w:t>Po předložení Zprávy za partnera provede kontrolor zpravidla do 5 pracovních dnů kontrolu kompletnosti předložené zprávy. V případě, že podklady nejsou kompletní, vyzve kontrolor projektového partnera k doložení chybějících dokumentů. Lhůta pro kontrolu začíná běžet až od okamžiku, kdy je předložena kompletní dokumentace.</w:t>
      </w:r>
    </w:p>
    <w:p>
      <w:pPr>
        <w:jc w:val="both"/>
      </w:pPr>
      <w:r>
        <w:t>V průběhu věcné a finanční kontroly je kontrolor oprávněn si od partnera vyžádat další podklady pro ověření způsobilosti výdajů. K tomu stanoví kontrolor přiměřenou lhůtu, která nesmí být kratší než 5 pracovních dnů. Pokud projektový partner ani po druhé výzvě kontrolora nedoloží požadované nebo neodstraní nedostatky, bude výdaj odložen a projektový partner ho může doložit v nejbližší následující ještě nepředložené soupisce. Pokud ani v tomto případě nebude výdaj doložen, bude kontrolorem označen jako nezpůsobilý.</w:t>
      </w:r>
    </w:p>
    <w:p>
      <w:pPr>
        <w:jc w:val="both"/>
      </w:pPr>
      <w:r>
        <w:t>Výdaj může být rovněž odložen v případě, kdy daný výdaj může být uznán až na základě stanoviska třetí strany.</w:t>
      </w:r>
    </w:p>
    <w:p>
      <w:pPr>
        <w:jc w:val="both"/>
      </w:pPr>
    </w:p>
    <w:p>
      <w:pPr>
        <w:jc w:val="both"/>
        <w:rPr>
          <w:b/>
        </w:rPr>
      </w:pPr>
      <w:r>
        <w:rPr>
          <w:b/>
        </w:rPr>
        <w:t>Soupiska výdajů</w:t>
      </w:r>
    </w:p>
    <w:p>
      <w:pPr>
        <w:jc w:val="both"/>
      </w:pPr>
      <w:r>
        <w:t>Soupiska výdajů obsahuje všechny výdaje, které v daném období vznikly (datum uskutečnění zdanitelného plnění, příp. datum vystavení dokladu) a byly uhrazeny nejpozději do konce období. Pokud výdaj v daném období vznikl, ale výdaj nebyl do předložení soupisky uhrazen, je takový výdaj zařazen až do následující soupisky výdajů.</w:t>
      </w:r>
    </w:p>
    <w:p>
      <w:pPr>
        <w:jc w:val="both"/>
      </w:pPr>
      <w:r>
        <w:t>V případě, že některý výdaj nebude zařazen do soupisky za dané období dle výše uvedených pravidel, může jej partner po konzultaci s kontrolorem zařadit do soupisky, která bezprostředně následuje po soupisce, do které měl být výdaj zařazen. Při nedodržení výše uvedených pravidel bude výdaj považován za nezpůsobilý (výjimkou je DPH s koeficientem krácení).</w:t>
      </w:r>
    </w:p>
    <w:p>
      <w:pPr>
        <w:jc w:val="both"/>
      </w:pPr>
    </w:p>
    <w:p>
      <w:pPr>
        <w:jc w:val="both"/>
      </w:pPr>
      <w:bookmarkStart w:id="0" w:name="_GoBack"/>
      <w:bookmarkEnd w:id="0"/>
    </w:p>
    <w:sectPr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jc w:val="both"/>
      <w:rPr>
        <w:i/>
        <w:sz w:val="20"/>
        <w:szCs w:val="20"/>
      </w:rPr>
    </w:pPr>
    <w:r>
      <w:rPr>
        <w:i/>
        <w:sz w:val="20"/>
        <w:szCs w:val="20"/>
      </w:rPr>
      <w:t xml:space="preserve">P9_ </w:t>
    </w:r>
    <w:r>
      <w:rPr>
        <w:i/>
        <w:sz w:val="20"/>
        <w:szCs w:val="20"/>
      </w:rPr>
      <w:t xml:space="preserve">Popis kontroly na úrovni </w:t>
    </w:r>
    <w:r>
      <w:rPr>
        <w:i/>
        <w:sz w:val="20"/>
        <w:szCs w:val="20"/>
      </w:rPr>
      <w:t>českého projektového partnera</w:t>
    </w:r>
  </w:p>
  <w:p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Kopfzeile"/>
      <w:jc w:val="right"/>
    </w:pPr>
    <w:r>
      <w:rPr>
        <w:noProof/>
        <w:lang w:val="de-DE" w:eastAsia="de-DE"/>
      </w:rPr>
      <w:drawing>
        <wp:inline distT="0" distB="0" distL="0" distR="0">
          <wp:extent cx="2552065" cy="1224280"/>
          <wp:effectExtent l="0" t="0" r="635" b="0"/>
          <wp:docPr id="1" name="Grafik 1" descr="G:\Verwaltungsbehörde\2014-2020\Publicity\LOGO\LOGO komplett\CZ\interreg_Rakousko_Ceska_Republika_CZ\interreg_Rakousko_Ceska_Republika_CYM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:\Verwaltungsbehörde\2014-2020\Publicity\LOGO\LOGO komplett\CZ\interreg_Rakousko_Ceska_Republika_CZ\interreg_Rakousko_Ceska_Republika_CYM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2065" cy="1224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959B6"/>
    <w:multiLevelType w:val="hybridMultilevel"/>
    <w:tmpl w:val="AFF6E282"/>
    <w:lvl w:ilvl="0" w:tplc="DEB67CF2">
      <w:start w:val="1"/>
      <w:numFmt w:val="decimal"/>
      <w:lvlText w:val="%1|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link w:val="ListenabsatzZchn"/>
    <w:uiPriority w:val="34"/>
    <w:qFormat/>
    <w:pPr>
      <w:ind w:left="720"/>
      <w:contextualSpacing/>
    </w:pPr>
    <w:rPr>
      <w:rFonts w:eastAsiaTheme="minorEastAsia"/>
      <w:lang w:eastAsia="cs-CZ"/>
    </w:rPr>
  </w:style>
  <w:style w:type="character" w:customStyle="1" w:styleId="ListenabsatzZchn">
    <w:name w:val="Listenabsatz Zchn"/>
    <w:basedOn w:val="Absatz-Standardschriftart"/>
    <w:link w:val="Listenabsatz"/>
    <w:uiPriority w:val="34"/>
    <w:rPr>
      <w:rFonts w:eastAsiaTheme="minorEastAsia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link w:val="ListenabsatzZchn"/>
    <w:uiPriority w:val="34"/>
    <w:qFormat/>
    <w:pPr>
      <w:ind w:left="720"/>
      <w:contextualSpacing/>
    </w:pPr>
    <w:rPr>
      <w:rFonts w:eastAsiaTheme="minorEastAsia"/>
      <w:lang w:eastAsia="cs-CZ"/>
    </w:rPr>
  </w:style>
  <w:style w:type="character" w:customStyle="1" w:styleId="ListenabsatzZchn">
    <w:name w:val="Listenabsatz Zchn"/>
    <w:basedOn w:val="Absatz-Standardschriftart"/>
    <w:link w:val="Listenabsatz"/>
    <w:uiPriority w:val="34"/>
    <w:rPr>
      <w:rFonts w:eastAsiaTheme="minorEastAsia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132CD-741D-4987-849B-3199F2810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1629</Characters>
  <Application>Microsoft Office Word</Application>
  <DocSecurity>0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Amt der NÖ Landesregierung</Company>
  <LinksUpToDate>false</LinksUpToDate>
  <CharactersWithSpaces>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Balcar Tomáš</dc:creator>
  <cp:lastModifiedBy>Moravcová Helena (RU2)</cp:lastModifiedBy>
  <cp:revision>2</cp:revision>
  <dcterms:created xsi:type="dcterms:W3CDTF">2016-11-24T10:00:00Z</dcterms:created>
  <dcterms:modified xsi:type="dcterms:W3CDTF">2016-11-24T10:00:00Z</dcterms:modified>
</cp:coreProperties>
</file>