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7F1" w:rsidRPr="002C224A" w:rsidRDefault="006D67F1" w:rsidP="008074B1">
      <w:pPr>
        <w:pStyle w:val="Nzev"/>
        <w:rPr>
          <w:rFonts w:ascii="Calibri" w:hAnsi="Calibri"/>
        </w:rPr>
      </w:pPr>
    </w:p>
    <w:p w:rsidR="006D67F1" w:rsidRPr="00A50943" w:rsidRDefault="006D67F1" w:rsidP="008074B1">
      <w:pPr>
        <w:jc w:val="center"/>
        <w:rPr>
          <w:rFonts w:cs="Calibri"/>
          <w:b/>
          <w:color w:val="4F81BD"/>
          <w:spacing w:val="5"/>
          <w:kern w:val="28"/>
          <w:sz w:val="52"/>
          <w:szCs w:val="52"/>
        </w:rPr>
      </w:pPr>
    </w:p>
    <w:p w:rsidR="006D67F1" w:rsidRPr="00B96C0F" w:rsidRDefault="006D67F1" w:rsidP="008074B1">
      <w:pPr>
        <w:spacing w:after="120"/>
        <w:jc w:val="center"/>
        <w:rPr>
          <w:rFonts w:cs="Calibri"/>
          <w:b/>
          <w:color w:val="4F81BD"/>
          <w:spacing w:val="5"/>
          <w:kern w:val="28"/>
          <w:sz w:val="48"/>
          <w:szCs w:val="48"/>
        </w:rPr>
      </w:pPr>
    </w:p>
    <w:p w:rsidR="006D67F1" w:rsidRPr="00B96C0F" w:rsidRDefault="006D67F1" w:rsidP="008074B1">
      <w:pPr>
        <w:spacing w:after="120"/>
        <w:jc w:val="center"/>
        <w:rPr>
          <w:rFonts w:cs="Calibri"/>
          <w:b/>
          <w:color w:val="4F81BD"/>
          <w:spacing w:val="5"/>
          <w:kern w:val="28"/>
          <w:sz w:val="48"/>
          <w:szCs w:val="48"/>
        </w:rPr>
      </w:pPr>
    </w:p>
    <w:p w:rsidR="006D67F1" w:rsidRPr="00684FF3" w:rsidRDefault="006D67F1" w:rsidP="008074B1">
      <w:pPr>
        <w:spacing w:after="120"/>
        <w:jc w:val="center"/>
        <w:rPr>
          <w:rFonts w:cs="Calibri"/>
          <w:b/>
          <w:color w:val="4F81BD"/>
          <w:spacing w:val="5"/>
          <w:kern w:val="28"/>
          <w:sz w:val="48"/>
          <w:szCs w:val="48"/>
        </w:rPr>
      </w:pPr>
      <w:r w:rsidRPr="00684FF3">
        <w:rPr>
          <w:rFonts w:cs="Calibri"/>
          <w:b/>
          <w:color w:val="4F81BD"/>
          <w:spacing w:val="5"/>
          <w:kern w:val="28"/>
          <w:sz w:val="48"/>
          <w:szCs w:val="48"/>
        </w:rPr>
        <w:t>Předběžné posouzení finančních nástrojů</w:t>
      </w:r>
    </w:p>
    <w:p w:rsidR="006D67F1" w:rsidRPr="002C224A" w:rsidRDefault="006D67F1" w:rsidP="008074B1">
      <w:pPr>
        <w:spacing w:after="120"/>
        <w:jc w:val="center"/>
        <w:rPr>
          <w:color w:val="4F81BD"/>
          <w:sz w:val="48"/>
          <w:szCs w:val="48"/>
        </w:rPr>
      </w:pPr>
      <w:r w:rsidRPr="002C224A">
        <w:rPr>
          <w:rFonts w:cs="Calibri"/>
          <w:b/>
          <w:color w:val="4F81BD"/>
          <w:spacing w:val="5"/>
          <w:kern w:val="28"/>
          <w:sz w:val="48"/>
          <w:szCs w:val="48"/>
        </w:rPr>
        <w:t>Operačního programu Podnikání a inovace pro konkurenceschopnost 2014-2020</w:t>
      </w:r>
    </w:p>
    <w:p w:rsidR="006D67F1" w:rsidRPr="002C224A" w:rsidRDefault="006D67F1" w:rsidP="008074B1"/>
    <w:p w:rsidR="006D67F1" w:rsidRPr="002C224A" w:rsidRDefault="006D67F1" w:rsidP="008074B1"/>
    <w:p w:rsidR="006D67F1" w:rsidRPr="002C224A" w:rsidRDefault="003C2C1E" w:rsidP="008074B1">
      <w:pPr>
        <w:jc w:val="center"/>
        <w:rPr>
          <w:b/>
          <w:sz w:val="40"/>
          <w:szCs w:val="40"/>
        </w:rPr>
      </w:pPr>
      <w:r>
        <w:rPr>
          <w:b/>
          <w:sz w:val="40"/>
          <w:szCs w:val="40"/>
        </w:rPr>
        <w:t>Závěrečná zpráva</w:t>
      </w:r>
    </w:p>
    <w:p w:rsidR="006D67F1" w:rsidRPr="002C224A" w:rsidRDefault="006D67F1" w:rsidP="008074B1">
      <w:pPr>
        <w:rPr>
          <w:b/>
        </w:rPr>
      </w:pPr>
    </w:p>
    <w:p w:rsidR="006D67F1" w:rsidRPr="002C224A" w:rsidRDefault="006D67F1" w:rsidP="008074B1">
      <w:pPr>
        <w:rPr>
          <w:b/>
        </w:rPr>
      </w:pPr>
    </w:p>
    <w:p w:rsidR="006D67F1" w:rsidRPr="002C224A" w:rsidRDefault="006D67F1" w:rsidP="008074B1">
      <w:pPr>
        <w:rPr>
          <w:b/>
        </w:rPr>
      </w:pPr>
    </w:p>
    <w:p w:rsidR="006D67F1" w:rsidRPr="002C224A" w:rsidRDefault="006D67F1" w:rsidP="008074B1">
      <w:pPr>
        <w:rPr>
          <w:b/>
        </w:rPr>
      </w:pPr>
    </w:p>
    <w:p w:rsidR="006D67F1" w:rsidRPr="002C224A" w:rsidRDefault="006D67F1" w:rsidP="008074B1">
      <w:pPr>
        <w:rPr>
          <w:b/>
        </w:rPr>
      </w:pPr>
    </w:p>
    <w:p w:rsidR="006D67F1" w:rsidRPr="002C224A" w:rsidRDefault="006D67F1" w:rsidP="008074B1">
      <w:pPr>
        <w:rPr>
          <w:b/>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9B0BB5" w:rsidP="008074B1">
      <w:pPr>
        <w:overflowPunct/>
        <w:autoSpaceDE/>
        <w:autoSpaceDN/>
        <w:adjustRightInd/>
        <w:jc w:val="left"/>
        <w:textAlignment w:val="auto"/>
        <w:rPr>
          <w:rFonts w:cs="Calibri"/>
          <w:b/>
          <w:sz w:val="32"/>
          <w:szCs w:val="32"/>
        </w:rPr>
      </w:pPr>
      <w:r w:rsidRPr="002C224A">
        <w:rPr>
          <w:rFonts w:cs="Calibri"/>
          <w:b/>
          <w:sz w:val="32"/>
          <w:szCs w:val="32"/>
        </w:rPr>
        <w:t xml:space="preserve">Květen </w:t>
      </w:r>
      <w:r w:rsidR="006D67F1" w:rsidRPr="002C224A">
        <w:rPr>
          <w:rFonts w:cs="Calibri"/>
          <w:b/>
          <w:sz w:val="32"/>
          <w:szCs w:val="32"/>
        </w:rPr>
        <w:t>2015</w:t>
      </w: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overflowPunct/>
        <w:autoSpaceDE/>
        <w:autoSpaceDN/>
        <w:adjustRightInd/>
        <w:jc w:val="left"/>
        <w:textAlignment w:val="auto"/>
        <w:rPr>
          <w:rFonts w:cs="Calibri"/>
          <w:b/>
          <w:sz w:val="32"/>
          <w:szCs w:val="32"/>
        </w:rPr>
      </w:pPr>
    </w:p>
    <w:p w:rsidR="006D67F1" w:rsidRPr="002C224A" w:rsidRDefault="006D67F1" w:rsidP="008074B1">
      <w:pPr>
        <w:pStyle w:val="Nadpis1"/>
        <w:numPr>
          <w:ilvl w:val="0"/>
          <w:numId w:val="0"/>
        </w:numPr>
        <w:rPr>
          <w:rFonts w:ascii="Calibri" w:hAnsi="Calibri"/>
          <w:noProof/>
          <w:szCs w:val="22"/>
        </w:rPr>
      </w:pPr>
      <w:bookmarkStart w:id="0" w:name="_Toc417682873"/>
      <w:bookmarkStart w:id="1" w:name="_Toc421534260"/>
      <w:r w:rsidRPr="002C224A">
        <w:rPr>
          <w:rFonts w:ascii="Calibri" w:hAnsi="Calibri"/>
        </w:rPr>
        <w:lastRenderedPageBreak/>
        <w:t>Obsah</w:t>
      </w:r>
      <w:bookmarkEnd w:id="0"/>
      <w:bookmarkEnd w:id="1"/>
    </w:p>
    <w:p w:rsidR="006D67F1" w:rsidRPr="00A50943" w:rsidRDefault="006D67F1" w:rsidP="008074B1"/>
    <w:p w:rsidR="007647A2" w:rsidRDefault="009333CC">
      <w:pPr>
        <w:pStyle w:val="Obsah1"/>
        <w:rPr>
          <w:rFonts w:asciiTheme="minorHAnsi" w:eastAsiaTheme="minorEastAsia" w:hAnsiTheme="minorHAnsi" w:cstheme="minorBidi"/>
          <w:noProof/>
          <w:szCs w:val="22"/>
        </w:rPr>
      </w:pPr>
      <w:r w:rsidRPr="002C224A">
        <w:fldChar w:fldCharType="begin"/>
      </w:r>
      <w:r w:rsidR="006D67F1" w:rsidRPr="002C224A">
        <w:instrText xml:space="preserve"> TOC \o "1-3" \h \z \u </w:instrText>
      </w:r>
      <w:r w:rsidRPr="002C224A">
        <w:fldChar w:fldCharType="separate"/>
      </w:r>
      <w:hyperlink w:anchor="_Toc421534260" w:history="1">
        <w:r w:rsidR="007647A2" w:rsidRPr="00AC4D5B">
          <w:rPr>
            <w:rStyle w:val="Hypertextovodkaz"/>
            <w:noProof/>
          </w:rPr>
          <w:t>Obsah</w:t>
        </w:r>
        <w:r w:rsidR="007647A2">
          <w:rPr>
            <w:noProof/>
            <w:webHidden/>
          </w:rPr>
          <w:tab/>
        </w:r>
        <w:r w:rsidR="007647A2">
          <w:rPr>
            <w:noProof/>
            <w:webHidden/>
          </w:rPr>
          <w:fldChar w:fldCharType="begin"/>
        </w:r>
        <w:r w:rsidR="007647A2">
          <w:rPr>
            <w:noProof/>
            <w:webHidden/>
          </w:rPr>
          <w:instrText xml:space="preserve"> PAGEREF _Toc421534260 \h </w:instrText>
        </w:r>
        <w:r w:rsidR="007647A2">
          <w:rPr>
            <w:noProof/>
            <w:webHidden/>
          </w:rPr>
        </w:r>
        <w:r w:rsidR="007647A2">
          <w:rPr>
            <w:noProof/>
            <w:webHidden/>
          </w:rPr>
          <w:fldChar w:fldCharType="separate"/>
        </w:r>
        <w:r w:rsidR="007647A2">
          <w:rPr>
            <w:noProof/>
            <w:webHidden/>
          </w:rPr>
          <w:t>2</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261" w:history="1">
        <w:r w:rsidR="007647A2" w:rsidRPr="00AC4D5B">
          <w:rPr>
            <w:rStyle w:val="Hypertextovodkaz"/>
            <w:noProof/>
          </w:rPr>
          <w:t>1</w:t>
        </w:r>
        <w:r w:rsidR="007647A2">
          <w:rPr>
            <w:rFonts w:asciiTheme="minorHAnsi" w:eastAsiaTheme="minorEastAsia" w:hAnsiTheme="minorHAnsi" w:cstheme="minorBidi"/>
            <w:noProof/>
            <w:szCs w:val="22"/>
          </w:rPr>
          <w:tab/>
        </w:r>
        <w:r w:rsidR="007647A2" w:rsidRPr="00AC4D5B">
          <w:rPr>
            <w:rStyle w:val="Hypertextovodkaz"/>
            <w:noProof/>
          </w:rPr>
          <w:t>Definice základních pojmů</w:t>
        </w:r>
        <w:r w:rsidR="007647A2">
          <w:rPr>
            <w:noProof/>
            <w:webHidden/>
          </w:rPr>
          <w:tab/>
        </w:r>
        <w:r w:rsidR="007647A2">
          <w:rPr>
            <w:noProof/>
            <w:webHidden/>
          </w:rPr>
          <w:fldChar w:fldCharType="begin"/>
        </w:r>
        <w:r w:rsidR="007647A2">
          <w:rPr>
            <w:noProof/>
            <w:webHidden/>
          </w:rPr>
          <w:instrText xml:space="preserve"> PAGEREF _Toc421534261 \h </w:instrText>
        </w:r>
        <w:r w:rsidR="007647A2">
          <w:rPr>
            <w:noProof/>
            <w:webHidden/>
          </w:rPr>
        </w:r>
        <w:r w:rsidR="007647A2">
          <w:rPr>
            <w:noProof/>
            <w:webHidden/>
          </w:rPr>
          <w:fldChar w:fldCharType="separate"/>
        </w:r>
        <w:r w:rsidR="007647A2">
          <w:rPr>
            <w:noProof/>
            <w:webHidden/>
          </w:rPr>
          <w:t>4</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262" w:history="1">
        <w:r w:rsidR="007647A2" w:rsidRPr="00AC4D5B">
          <w:rPr>
            <w:rStyle w:val="Hypertextovodkaz"/>
            <w:noProof/>
          </w:rPr>
          <w:t>2</w:t>
        </w:r>
        <w:r w:rsidR="007647A2">
          <w:rPr>
            <w:rFonts w:asciiTheme="minorHAnsi" w:eastAsiaTheme="minorEastAsia" w:hAnsiTheme="minorHAnsi" w:cstheme="minorBidi"/>
            <w:noProof/>
            <w:szCs w:val="22"/>
          </w:rPr>
          <w:tab/>
        </w:r>
        <w:r w:rsidR="007647A2" w:rsidRPr="00AC4D5B">
          <w:rPr>
            <w:rStyle w:val="Hypertextovodkaz"/>
            <w:noProof/>
          </w:rPr>
          <w:t>Manažerské shrnutí</w:t>
        </w:r>
        <w:r w:rsidR="007647A2">
          <w:rPr>
            <w:noProof/>
            <w:webHidden/>
          </w:rPr>
          <w:tab/>
        </w:r>
        <w:r w:rsidR="007647A2">
          <w:rPr>
            <w:noProof/>
            <w:webHidden/>
          </w:rPr>
          <w:fldChar w:fldCharType="begin"/>
        </w:r>
        <w:r w:rsidR="007647A2">
          <w:rPr>
            <w:noProof/>
            <w:webHidden/>
          </w:rPr>
          <w:instrText xml:space="preserve"> PAGEREF _Toc421534262 \h </w:instrText>
        </w:r>
        <w:r w:rsidR="007647A2">
          <w:rPr>
            <w:noProof/>
            <w:webHidden/>
          </w:rPr>
        </w:r>
        <w:r w:rsidR="007647A2">
          <w:rPr>
            <w:noProof/>
            <w:webHidden/>
          </w:rPr>
          <w:fldChar w:fldCharType="separate"/>
        </w:r>
        <w:r w:rsidR="007647A2">
          <w:rPr>
            <w:noProof/>
            <w:webHidden/>
          </w:rPr>
          <w:t>6</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263" w:history="1">
        <w:r w:rsidR="007647A2" w:rsidRPr="00AC4D5B">
          <w:rPr>
            <w:rStyle w:val="Hypertextovodkaz"/>
            <w:noProof/>
          </w:rPr>
          <w:t>3</w:t>
        </w:r>
        <w:r w:rsidR="007647A2">
          <w:rPr>
            <w:rFonts w:asciiTheme="minorHAnsi" w:eastAsiaTheme="minorEastAsia" w:hAnsiTheme="minorHAnsi" w:cstheme="minorBidi"/>
            <w:noProof/>
            <w:szCs w:val="22"/>
          </w:rPr>
          <w:tab/>
        </w:r>
        <w:r w:rsidR="007647A2" w:rsidRPr="00AC4D5B">
          <w:rPr>
            <w:rStyle w:val="Hypertextovodkaz"/>
            <w:noProof/>
          </w:rPr>
          <w:t>Úvod</w:t>
        </w:r>
        <w:r w:rsidR="007647A2">
          <w:rPr>
            <w:noProof/>
            <w:webHidden/>
          </w:rPr>
          <w:tab/>
        </w:r>
        <w:r w:rsidR="007647A2">
          <w:rPr>
            <w:noProof/>
            <w:webHidden/>
          </w:rPr>
          <w:fldChar w:fldCharType="begin"/>
        </w:r>
        <w:r w:rsidR="007647A2">
          <w:rPr>
            <w:noProof/>
            <w:webHidden/>
          </w:rPr>
          <w:instrText xml:space="preserve"> PAGEREF _Toc421534263 \h </w:instrText>
        </w:r>
        <w:r w:rsidR="007647A2">
          <w:rPr>
            <w:noProof/>
            <w:webHidden/>
          </w:rPr>
        </w:r>
        <w:r w:rsidR="007647A2">
          <w:rPr>
            <w:noProof/>
            <w:webHidden/>
          </w:rPr>
          <w:fldChar w:fldCharType="separate"/>
        </w:r>
        <w:r w:rsidR="007647A2">
          <w:rPr>
            <w:noProof/>
            <w:webHidden/>
          </w:rPr>
          <w:t>15</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264" w:history="1">
        <w:r w:rsidR="007647A2" w:rsidRPr="00AC4D5B">
          <w:rPr>
            <w:rStyle w:val="Hypertextovodkaz"/>
            <w:noProof/>
          </w:rPr>
          <w:t>4</w:t>
        </w:r>
        <w:r w:rsidR="007647A2">
          <w:rPr>
            <w:rFonts w:asciiTheme="minorHAnsi" w:eastAsiaTheme="minorEastAsia" w:hAnsiTheme="minorHAnsi" w:cstheme="minorBidi"/>
            <w:noProof/>
            <w:szCs w:val="22"/>
          </w:rPr>
          <w:tab/>
        </w:r>
        <w:r w:rsidR="007647A2" w:rsidRPr="00AC4D5B">
          <w:rPr>
            <w:rStyle w:val="Hypertextovodkaz"/>
            <w:noProof/>
          </w:rPr>
          <w:t>Výchozí podmínky analýzy</w:t>
        </w:r>
        <w:r w:rsidR="007647A2">
          <w:rPr>
            <w:noProof/>
            <w:webHidden/>
          </w:rPr>
          <w:tab/>
        </w:r>
        <w:r w:rsidR="007647A2">
          <w:rPr>
            <w:noProof/>
            <w:webHidden/>
          </w:rPr>
          <w:fldChar w:fldCharType="begin"/>
        </w:r>
        <w:r w:rsidR="007647A2">
          <w:rPr>
            <w:noProof/>
            <w:webHidden/>
          </w:rPr>
          <w:instrText xml:space="preserve"> PAGEREF _Toc421534264 \h </w:instrText>
        </w:r>
        <w:r w:rsidR="007647A2">
          <w:rPr>
            <w:noProof/>
            <w:webHidden/>
          </w:rPr>
        </w:r>
        <w:r w:rsidR="007647A2">
          <w:rPr>
            <w:noProof/>
            <w:webHidden/>
          </w:rPr>
          <w:fldChar w:fldCharType="separate"/>
        </w:r>
        <w:r w:rsidR="007647A2">
          <w:rPr>
            <w:noProof/>
            <w:webHidden/>
          </w:rPr>
          <w:t>15</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65" w:history="1">
        <w:r w:rsidR="007647A2" w:rsidRPr="00AC4D5B">
          <w:rPr>
            <w:rStyle w:val="Hypertextovodkaz"/>
            <w:noProof/>
          </w:rPr>
          <w:t>4.1</w:t>
        </w:r>
        <w:r w:rsidR="007647A2">
          <w:rPr>
            <w:rFonts w:asciiTheme="minorHAnsi" w:eastAsiaTheme="minorEastAsia" w:hAnsiTheme="minorHAnsi" w:cstheme="minorBidi"/>
            <w:noProof/>
            <w:szCs w:val="22"/>
          </w:rPr>
          <w:tab/>
        </w:r>
        <w:r w:rsidR="007647A2" w:rsidRPr="00AC4D5B">
          <w:rPr>
            <w:rStyle w:val="Hypertextovodkaz"/>
            <w:noProof/>
          </w:rPr>
          <w:t>Základní principy fungování finančních nástrojů</w:t>
        </w:r>
        <w:r w:rsidR="007647A2">
          <w:rPr>
            <w:noProof/>
            <w:webHidden/>
          </w:rPr>
          <w:tab/>
        </w:r>
        <w:r w:rsidR="007647A2">
          <w:rPr>
            <w:noProof/>
            <w:webHidden/>
          </w:rPr>
          <w:fldChar w:fldCharType="begin"/>
        </w:r>
        <w:r w:rsidR="007647A2">
          <w:rPr>
            <w:noProof/>
            <w:webHidden/>
          </w:rPr>
          <w:instrText xml:space="preserve"> PAGEREF _Toc421534265 \h </w:instrText>
        </w:r>
        <w:r w:rsidR="007647A2">
          <w:rPr>
            <w:noProof/>
            <w:webHidden/>
          </w:rPr>
        </w:r>
        <w:r w:rsidR="007647A2">
          <w:rPr>
            <w:noProof/>
            <w:webHidden/>
          </w:rPr>
          <w:fldChar w:fldCharType="separate"/>
        </w:r>
        <w:r w:rsidR="007647A2">
          <w:rPr>
            <w:noProof/>
            <w:webHidden/>
          </w:rPr>
          <w:t>16</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66" w:history="1">
        <w:r w:rsidR="007647A2" w:rsidRPr="00AC4D5B">
          <w:rPr>
            <w:rStyle w:val="Hypertextovodkaz"/>
            <w:noProof/>
          </w:rPr>
          <w:t>4.1.1</w:t>
        </w:r>
        <w:r w:rsidR="007647A2">
          <w:rPr>
            <w:rFonts w:asciiTheme="minorHAnsi" w:eastAsiaTheme="minorEastAsia" w:hAnsiTheme="minorHAnsi" w:cstheme="minorBidi"/>
            <w:noProof/>
            <w:szCs w:val="22"/>
          </w:rPr>
          <w:tab/>
        </w:r>
        <w:r w:rsidR="007647A2" w:rsidRPr="00AC4D5B">
          <w:rPr>
            <w:rStyle w:val="Hypertextovodkaz"/>
            <w:noProof/>
          </w:rPr>
          <w:t>Využitelnost finančních nástrojů</w:t>
        </w:r>
        <w:r w:rsidR="007647A2">
          <w:rPr>
            <w:noProof/>
            <w:webHidden/>
          </w:rPr>
          <w:tab/>
        </w:r>
        <w:r w:rsidR="007647A2">
          <w:rPr>
            <w:noProof/>
            <w:webHidden/>
          </w:rPr>
          <w:fldChar w:fldCharType="begin"/>
        </w:r>
        <w:r w:rsidR="007647A2">
          <w:rPr>
            <w:noProof/>
            <w:webHidden/>
          </w:rPr>
          <w:instrText xml:space="preserve"> PAGEREF _Toc421534266 \h </w:instrText>
        </w:r>
        <w:r w:rsidR="007647A2">
          <w:rPr>
            <w:noProof/>
            <w:webHidden/>
          </w:rPr>
        </w:r>
        <w:r w:rsidR="007647A2">
          <w:rPr>
            <w:noProof/>
            <w:webHidden/>
          </w:rPr>
          <w:fldChar w:fldCharType="separate"/>
        </w:r>
        <w:r w:rsidR="007647A2">
          <w:rPr>
            <w:noProof/>
            <w:webHidden/>
          </w:rPr>
          <w:t>17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67" w:history="1">
        <w:r w:rsidR="007647A2" w:rsidRPr="00AC4D5B">
          <w:rPr>
            <w:rStyle w:val="Hypertextovodkaz"/>
            <w:noProof/>
          </w:rPr>
          <w:t>4.1.2</w:t>
        </w:r>
        <w:r w:rsidR="007647A2">
          <w:rPr>
            <w:rFonts w:asciiTheme="minorHAnsi" w:eastAsiaTheme="minorEastAsia" w:hAnsiTheme="minorHAnsi" w:cstheme="minorBidi"/>
            <w:noProof/>
            <w:szCs w:val="22"/>
          </w:rPr>
          <w:tab/>
        </w:r>
        <w:r w:rsidR="007647A2" w:rsidRPr="00AC4D5B">
          <w:rPr>
            <w:rStyle w:val="Hypertextovodkaz"/>
            <w:noProof/>
          </w:rPr>
          <w:t>Přínos pro využití veřejných prostředků</w:t>
        </w:r>
        <w:r w:rsidR="007647A2">
          <w:rPr>
            <w:noProof/>
            <w:webHidden/>
          </w:rPr>
          <w:tab/>
        </w:r>
        <w:r w:rsidR="007647A2">
          <w:rPr>
            <w:noProof/>
            <w:webHidden/>
          </w:rPr>
          <w:fldChar w:fldCharType="begin"/>
        </w:r>
        <w:r w:rsidR="007647A2">
          <w:rPr>
            <w:noProof/>
            <w:webHidden/>
          </w:rPr>
          <w:instrText xml:space="preserve"> PAGEREF _Toc421534267 \h </w:instrText>
        </w:r>
        <w:r w:rsidR="007647A2">
          <w:rPr>
            <w:noProof/>
            <w:webHidden/>
          </w:rPr>
        </w:r>
        <w:r w:rsidR="007647A2">
          <w:rPr>
            <w:noProof/>
            <w:webHidden/>
          </w:rPr>
          <w:fldChar w:fldCharType="separate"/>
        </w:r>
        <w:r w:rsidR="007647A2">
          <w:rPr>
            <w:noProof/>
            <w:webHidden/>
          </w:rPr>
          <w:t>17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68" w:history="1">
        <w:r w:rsidR="007647A2" w:rsidRPr="00AC4D5B">
          <w:rPr>
            <w:rStyle w:val="Hypertextovodkaz"/>
            <w:noProof/>
          </w:rPr>
          <w:t>4.1.3</w:t>
        </w:r>
        <w:r w:rsidR="007647A2">
          <w:rPr>
            <w:rFonts w:asciiTheme="minorHAnsi" w:eastAsiaTheme="minorEastAsia" w:hAnsiTheme="minorHAnsi" w:cstheme="minorBidi"/>
            <w:noProof/>
            <w:szCs w:val="22"/>
          </w:rPr>
          <w:tab/>
        </w:r>
        <w:r w:rsidR="007647A2" w:rsidRPr="00AC4D5B">
          <w:rPr>
            <w:rStyle w:val="Hypertextovodkaz"/>
            <w:noProof/>
          </w:rPr>
          <w:t>Přidaná hodnota a rizika finančních nástrojů</w:t>
        </w:r>
        <w:r w:rsidR="007647A2">
          <w:rPr>
            <w:noProof/>
            <w:webHidden/>
          </w:rPr>
          <w:tab/>
        </w:r>
        <w:r w:rsidR="007647A2">
          <w:rPr>
            <w:noProof/>
            <w:webHidden/>
          </w:rPr>
          <w:fldChar w:fldCharType="begin"/>
        </w:r>
        <w:r w:rsidR="007647A2">
          <w:rPr>
            <w:noProof/>
            <w:webHidden/>
          </w:rPr>
          <w:instrText xml:space="preserve"> PAGEREF _Toc421534268 \h </w:instrText>
        </w:r>
        <w:r w:rsidR="007647A2">
          <w:rPr>
            <w:noProof/>
            <w:webHidden/>
          </w:rPr>
        </w:r>
        <w:r w:rsidR="007647A2">
          <w:rPr>
            <w:noProof/>
            <w:webHidden/>
          </w:rPr>
          <w:fldChar w:fldCharType="separate"/>
        </w:r>
        <w:r w:rsidR="007647A2">
          <w:rPr>
            <w:noProof/>
            <w:webHidden/>
          </w:rPr>
          <w:t>17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69" w:history="1">
        <w:r w:rsidR="007647A2" w:rsidRPr="00AC4D5B">
          <w:rPr>
            <w:rStyle w:val="Hypertextovodkaz"/>
            <w:noProof/>
          </w:rPr>
          <w:t>4.1.4</w:t>
        </w:r>
        <w:r w:rsidR="007647A2">
          <w:rPr>
            <w:rFonts w:asciiTheme="minorHAnsi" w:eastAsiaTheme="minorEastAsia" w:hAnsiTheme="minorHAnsi" w:cstheme="minorBidi"/>
            <w:noProof/>
            <w:szCs w:val="22"/>
          </w:rPr>
          <w:tab/>
        </w:r>
        <w:r w:rsidR="007647A2" w:rsidRPr="00AC4D5B">
          <w:rPr>
            <w:rStyle w:val="Hypertextovodkaz"/>
            <w:noProof/>
          </w:rPr>
          <w:t>Možnosti řešení veřejné podpory</w:t>
        </w:r>
        <w:r w:rsidR="007647A2">
          <w:rPr>
            <w:noProof/>
            <w:webHidden/>
          </w:rPr>
          <w:tab/>
        </w:r>
        <w:r w:rsidR="007647A2">
          <w:rPr>
            <w:noProof/>
            <w:webHidden/>
          </w:rPr>
          <w:fldChar w:fldCharType="begin"/>
        </w:r>
        <w:r w:rsidR="007647A2">
          <w:rPr>
            <w:noProof/>
            <w:webHidden/>
          </w:rPr>
          <w:instrText xml:space="preserve"> PAGEREF _Toc421534269 \h </w:instrText>
        </w:r>
        <w:r w:rsidR="007647A2">
          <w:rPr>
            <w:noProof/>
            <w:webHidden/>
          </w:rPr>
        </w:r>
        <w:r w:rsidR="007647A2">
          <w:rPr>
            <w:noProof/>
            <w:webHidden/>
          </w:rPr>
          <w:fldChar w:fldCharType="separate"/>
        </w:r>
        <w:r w:rsidR="007647A2">
          <w:rPr>
            <w:noProof/>
            <w:webHidden/>
          </w:rPr>
          <w:t>18</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70" w:history="1">
        <w:r w:rsidR="007647A2" w:rsidRPr="00AC4D5B">
          <w:rPr>
            <w:rStyle w:val="Hypertextovodkaz"/>
            <w:noProof/>
          </w:rPr>
          <w:t>4.2</w:t>
        </w:r>
        <w:r w:rsidR="007647A2">
          <w:rPr>
            <w:rFonts w:asciiTheme="minorHAnsi" w:eastAsiaTheme="minorEastAsia" w:hAnsiTheme="minorHAnsi" w:cstheme="minorBidi"/>
            <w:noProof/>
            <w:szCs w:val="22"/>
          </w:rPr>
          <w:tab/>
        </w:r>
        <w:r w:rsidR="007647A2" w:rsidRPr="00AC4D5B">
          <w:rPr>
            <w:rStyle w:val="Hypertextovodkaz"/>
            <w:noProof/>
          </w:rPr>
          <w:t>Screening specifických cílů OP PIK z hlediska aplikovatelnosti finančních nástrojů</w:t>
        </w:r>
        <w:r w:rsidR="007647A2">
          <w:rPr>
            <w:noProof/>
            <w:webHidden/>
          </w:rPr>
          <w:tab/>
        </w:r>
        <w:r w:rsidR="007647A2">
          <w:rPr>
            <w:noProof/>
            <w:webHidden/>
          </w:rPr>
          <w:fldChar w:fldCharType="begin"/>
        </w:r>
        <w:r w:rsidR="007647A2">
          <w:rPr>
            <w:noProof/>
            <w:webHidden/>
          </w:rPr>
          <w:instrText xml:space="preserve"> PAGEREF _Toc421534270 \h </w:instrText>
        </w:r>
        <w:r w:rsidR="007647A2">
          <w:rPr>
            <w:noProof/>
            <w:webHidden/>
          </w:rPr>
        </w:r>
        <w:r w:rsidR="007647A2">
          <w:rPr>
            <w:noProof/>
            <w:webHidden/>
          </w:rPr>
          <w:fldChar w:fldCharType="separate"/>
        </w:r>
        <w:r w:rsidR="007647A2">
          <w:rPr>
            <w:noProof/>
            <w:webHidden/>
          </w:rPr>
          <w:t>20</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71" w:history="1">
        <w:r w:rsidR="007647A2" w:rsidRPr="00AC4D5B">
          <w:rPr>
            <w:rStyle w:val="Hypertextovodkaz"/>
            <w:noProof/>
          </w:rPr>
          <w:t>4.3</w:t>
        </w:r>
        <w:r w:rsidR="007647A2">
          <w:rPr>
            <w:rFonts w:asciiTheme="minorHAnsi" w:eastAsiaTheme="minorEastAsia" w:hAnsiTheme="minorHAnsi" w:cstheme="minorBidi"/>
            <w:noProof/>
            <w:szCs w:val="22"/>
          </w:rPr>
          <w:tab/>
        </w:r>
        <w:r w:rsidR="007647A2" w:rsidRPr="00AC4D5B">
          <w:rPr>
            <w:rStyle w:val="Hypertextovodkaz"/>
            <w:noProof/>
          </w:rPr>
          <w:t>Metodický přístup ke zpracování předběžného posouzení finančních nástrojů</w:t>
        </w:r>
        <w:r w:rsidR="007647A2">
          <w:rPr>
            <w:noProof/>
            <w:webHidden/>
          </w:rPr>
          <w:tab/>
        </w:r>
        <w:r w:rsidR="007647A2">
          <w:rPr>
            <w:noProof/>
            <w:webHidden/>
          </w:rPr>
          <w:fldChar w:fldCharType="begin"/>
        </w:r>
        <w:r w:rsidR="007647A2">
          <w:rPr>
            <w:noProof/>
            <w:webHidden/>
          </w:rPr>
          <w:instrText xml:space="preserve"> PAGEREF _Toc421534271 \h </w:instrText>
        </w:r>
        <w:r w:rsidR="007647A2">
          <w:rPr>
            <w:noProof/>
            <w:webHidden/>
          </w:rPr>
        </w:r>
        <w:r w:rsidR="007647A2">
          <w:rPr>
            <w:noProof/>
            <w:webHidden/>
          </w:rPr>
          <w:fldChar w:fldCharType="separate"/>
        </w:r>
        <w:r w:rsidR="007647A2">
          <w:rPr>
            <w:noProof/>
            <w:webHidden/>
          </w:rPr>
          <w:t>27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72" w:history="1">
        <w:r w:rsidR="007647A2" w:rsidRPr="00AC4D5B">
          <w:rPr>
            <w:rStyle w:val="Hypertextovodkaz"/>
            <w:noProof/>
          </w:rPr>
          <w:t>4.3.1</w:t>
        </w:r>
        <w:r w:rsidR="007647A2">
          <w:rPr>
            <w:rFonts w:asciiTheme="minorHAnsi" w:eastAsiaTheme="minorEastAsia" w:hAnsiTheme="minorHAnsi" w:cstheme="minorBidi"/>
            <w:noProof/>
            <w:szCs w:val="22"/>
          </w:rPr>
          <w:tab/>
        </w:r>
        <w:r w:rsidR="007647A2" w:rsidRPr="00AC4D5B">
          <w:rPr>
            <w:rStyle w:val="Hypertextovodkaz"/>
            <w:noProof/>
          </w:rPr>
          <w:t>Analýza tržní situace</w:t>
        </w:r>
        <w:r w:rsidR="007647A2">
          <w:rPr>
            <w:noProof/>
            <w:webHidden/>
          </w:rPr>
          <w:tab/>
        </w:r>
        <w:r w:rsidR="007647A2">
          <w:rPr>
            <w:noProof/>
            <w:webHidden/>
          </w:rPr>
          <w:fldChar w:fldCharType="begin"/>
        </w:r>
        <w:r w:rsidR="007647A2">
          <w:rPr>
            <w:noProof/>
            <w:webHidden/>
          </w:rPr>
          <w:instrText xml:space="preserve"> PAGEREF _Toc421534272 \h </w:instrText>
        </w:r>
        <w:r w:rsidR="007647A2">
          <w:rPr>
            <w:noProof/>
            <w:webHidden/>
          </w:rPr>
        </w:r>
        <w:r w:rsidR="007647A2">
          <w:rPr>
            <w:noProof/>
            <w:webHidden/>
          </w:rPr>
          <w:fldChar w:fldCharType="separate"/>
        </w:r>
        <w:r w:rsidR="007647A2">
          <w:rPr>
            <w:noProof/>
            <w:webHidden/>
          </w:rPr>
          <w:t>28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73" w:history="1">
        <w:r w:rsidR="007647A2" w:rsidRPr="00AC4D5B">
          <w:rPr>
            <w:rStyle w:val="Hypertextovodkaz"/>
            <w:noProof/>
          </w:rPr>
          <w:t>4.3.2</w:t>
        </w:r>
        <w:r w:rsidR="007647A2">
          <w:rPr>
            <w:rFonts w:asciiTheme="minorHAnsi" w:eastAsiaTheme="minorEastAsia" w:hAnsiTheme="minorHAnsi" w:cstheme="minorBidi"/>
            <w:noProof/>
            <w:szCs w:val="22"/>
          </w:rPr>
          <w:tab/>
        </w:r>
        <w:r w:rsidR="007647A2" w:rsidRPr="00AC4D5B">
          <w:rPr>
            <w:rStyle w:val="Hypertextovodkaz"/>
            <w:noProof/>
          </w:rPr>
          <w:t>Návrh vhodné strategie</w:t>
        </w:r>
        <w:r w:rsidR="007647A2">
          <w:rPr>
            <w:noProof/>
            <w:webHidden/>
          </w:rPr>
          <w:tab/>
        </w:r>
        <w:r w:rsidR="007647A2">
          <w:rPr>
            <w:noProof/>
            <w:webHidden/>
          </w:rPr>
          <w:fldChar w:fldCharType="begin"/>
        </w:r>
        <w:r w:rsidR="007647A2">
          <w:rPr>
            <w:noProof/>
            <w:webHidden/>
          </w:rPr>
          <w:instrText xml:space="preserve"> PAGEREF _Toc421534273 \h </w:instrText>
        </w:r>
        <w:r w:rsidR="007647A2">
          <w:rPr>
            <w:noProof/>
            <w:webHidden/>
          </w:rPr>
        </w:r>
        <w:r w:rsidR="007647A2">
          <w:rPr>
            <w:noProof/>
            <w:webHidden/>
          </w:rPr>
          <w:fldChar w:fldCharType="separate"/>
        </w:r>
        <w:r w:rsidR="007647A2">
          <w:rPr>
            <w:noProof/>
            <w:webHidden/>
          </w:rPr>
          <w:t>29</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274" w:history="1">
        <w:r w:rsidR="007647A2" w:rsidRPr="00AC4D5B">
          <w:rPr>
            <w:rStyle w:val="Hypertextovodkaz"/>
            <w:noProof/>
          </w:rPr>
          <w:t>5</w:t>
        </w:r>
        <w:r w:rsidR="007647A2">
          <w:rPr>
            <w:rFonts w:asciiTheme="minorHAnsi" w:eastAsiaTheme="minorEastAsia" w:hAnsiTheme="minorHAnsi" w:cstheme="minorBidi"/>
            <w:noProof/>
            <w:szCs w:val="22"/>
          </w:rPr>
          <w:tab/>
        </w:r>
        <w:r w:rsidR="007647A2" w:rsidRPr="00AC4D5B">
          <w:rPr>
            <w:rStyle w:val="Hypertextovodkaz"/>
            <w:noProof/>
          </w:rPr>
          <w:t>Blok I.: Analýza tržní situace</w:t>
        </w:r>
        <w:r w:rsidR="007647A2">
          <w:rPr>
            <w:noProof/>
            <w:webHidden/>
          </w:rPr>
          <w:tab/>
        </w:r>
        <w:r w:rsidR="007647A2">
          <w:rPr>
            <w:noProof/>
            <w:webHidden/>
          </w:rPr>
          <w:fldChar w:fldCharType="begin"/>
        </w:r>
        <w:r w:rsidR="007647A2">
          <w:rPr>
            <w:noProof/>
            <w:webHidden/>
          </w:rPr>
          <w:instrText xml:space="preserve"> PAGEREF _Toc421534274 \h </w:instrText>
        </w:r>
        <w:r w:rsidR="007647A2">
          <w:rPr>
            <w:noProof/>
            <w:webHidden/>
          </w:rPr>
        </w:r>
        <w:r w:rsidR="007647A2">
          <w:rPr>
            <w:noProof/>
            <w:webHidden/>
          </w:rPr>
          <w:fldChar w:fldCharType="separate"/>
        </w:r>
        <w:r w:rsidR="007647A2">
          <w:rPr>
            <w:noProof/>
            <w:webHidden/>
          </w:rPr>
          <w:t>31</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75" w:history="1">
        <w:r w:rsidR="007647A2" w:rsidRPr="00AC4D5B">
          <w:rPr>
            <w:rStyle w:val="Hypertextovodkaz"/>
            <w:noProof/>
          </w:rPr>
          <w:t>5.1</w:t>
        </w:r>
        <w:r w:rsidR="007647A2">
          <w:rPr>
            <w:rFonts w:asciiTheme="minorHAnsi" w:eastAsiaTheme="minorEastAsia" w:hAnsiTheme="minorHAnsi" w:cstheme="minorBidi"/>
            <w:noProof/>
            <w:szCs w:val="22"/>
          </w:rPr>
          <w:tab/>
        </w:r>
        <w:r w:rsidR="007647A2" w:rsidRPr="00AC4D5B">
          <w:rPr>
            <w:rStyle w:val="Hypertextovodkaz"/>
            <w:noProof/>
          </w:rPr>
          <w:t>Specifický cíl 1.1 – Zvýšení inovační výkonnosti podniků</w:t>
        </w:r>
        <w:r w:rsidR="007647A2">
          <w:rPr>
            <w:noProof/>
            <w:webHidden/>
          </w:rPr>
          <w:tab/>
        </w:r>
        <w:r w:rsidR="007647A2">
          <w:rPr>
            <w:noProof/>
            <w:webHidden/>
          </w:rPr>
          <w:fldChar w:fldCharType="begin"/>
        </w:r>
        <w:r w:rsidR="007647A2">
          <w:rPr>
            <w:noProof/>
            <w:webHidden/>
          </w:rPr>
          <w:instrText xml:space="preserve"> PAGEREF _Toc421534275 \h </w:instrText>
        </w:r>
        <w:r w:rsidR="007647A2">
          <w:rPr>
            <w:noProof/>
            <w:webHidden/>
          </w:rPr>
        </w:r>
        <w:r w:rsidR="007647A2">
          <w:rPr>
            <w:noProof/>
            <w:webHidden/>
          </w:rPr>
          <w:fldChar w:fldCharType="separate"/>
        </w:r>
        <w:r w:rsidR="007647A2">
          <w:rPr>
            <w:noProof/>
            <w:webHidden/>
          </w:rPr>
          <w:t>31</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76" w:history="1">
        <w:r w:rsidR="007647A2" w:rsidRPr="00AC4D5B">
          <w:rPr>
            <w:rStyle w:val="Hypertextovodkaz"/>
            <w:noProof/>
          </w:rPr>
          <w:t>5.1.1</w:t>
        </w:r>
        <w:r w:rsidR="007647A2">
          <w:rPr>
            <w:rFonts w:asciiTheme="minorHAnsi" w:eastAsiaTheme="minorEastAsia" w:hAnsiTheme="minorHAnsi" w:cstheme="minorBidi"/>
            <w:noProof/>
            <w:szCs w:val="22"/>
          </w:rPr>
          <w:tab/>
        </w:r>
        <w:r w:rsidR="007647A2" w:rsidRPr="00AC4D5B">
          <w:rPr>
            <w:rStyle w:val="Hypertextovodkaz"/>
            <w:noProof/>
          </w:rPr>
          <w:t>Zaměření specifického cíle</w:t>
        </w:r>
        <w:r w:rsidR="007647A2">
          <w:rPr>
            <w:noProof/>
            <w:webHidden/>
          </w:rPr>
          <w:tab/>
        </w:r>
        <w:r w:rsidR="007647A2">
          <w:rPr>
            <w:noProof/>
            <w:webHidden/>
          </w:rPr>
          <w:fldChar w:fldCharType="begin"/>
        </w:r>
        <w:r w:rsidR="007647A2">
          <w:rPr>
            <w:noProof/>
            <w:webHidden/>
          </w:rPr>
          <w:instrText xml:space="preserve"> PAGEREF _Toc421534276 \h </w:instrText>
        </w:r>
        <w:r w:rsidR="007647A2">
          <w:rPr>
            <w:noProof/>
            <w:webHidden/>
          </w:rPr>
        </w:r>
        <w:r w:rsidR="007647A2">
          <w:rPr>
            <w:noProof/>
            <w:webHidden/>
          </w:rPr>
          <w:fldChar w:fldCharType="separate"/>
        </w:r>
        <w:r w:rsidR="007647A2">
          <w:rPr>
            <w:noProof/>
            <w:webHidden/>
          </w:rPr>
          <w:t>31</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77" w:history="1">
        <w:r w:rsidR="007647A2" w:rsidRPr="00AC4D5B">
          <w:rPr>
            <w:rStyle w:val="Hypertextovodkaz"/>
            <w:noProof/>
          </w:rPr>
          <w:t>5.1.2</w:t>
        </w:r>
        <w:r w:rsidR="007647A2">
          <w:rPr>
            <w:rFonts w:asciiTheme="minorHAnsi" w:eastAsiaTheme="minorEastAsia" w:hAnsiTheme="minorHAnsi" w:cstheme="minorBidi"/>
            <w:noProof/>
            <w:szCs w:val="22"/>
          </w:rPr>
          <w:tab/>
        </w:r>
        <w:r w:rsidR="007647A2" w:rsidRPr="00AC4D5B">
          <w:rPr>
            <w:rStyle w:val="Hypertextovodkaz"/>
            <w:noProof/>
          </w:rPr>
          <w:t>Analýza selhání trhu</w:t>
        </w:r>
        <w:r w:rsidR="007647A2">
          <w:rPr>
            <w:noProof/>
            <w:webHidden/>
          </w:rPr>
          <w:tab/>
        </w:r>
        <w:r w:rsidR="007647A2">
          <w:rPr>
            <w:noProof/>
            <w:webHidden/>
          </w:rPr>
          <w:fldChar w:fldCharType="begin"/>
        </w:r>
        <w:r w:rsidR="007647A2">
          <w:rPr>
            <w:noProof/>
            <w:webHidden/>
          </w:rPr>
          <w:instrText xml:space="preserve"> PAGEREF _Toc421534277 \h </w:instrText>
        </w:r>
        <w:r w:rsidR="007647A2">
          <w:rPr>
            <w:noProof/>
            <w:webHidden/>
          </w:rPr>
        </w:r>
        <w:r w:rsidR="007647A2">
          <w:rPr>
            <w:noProof/>
            <w:webHidden/>
          </w:rPr>
          <w:fldChar w:fldCharType="separate"/>
        </w:r>
        <w:r w:rsidR="007647A2">
          <w:rPr>
            <w:noProof/>
            <w:webHidden/>
          </w:rPr>
          <w:t>32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78" w:history="1">
        <w:r w:rsidR="007647A2" w:rsidRPr="00AC4D5B">
          <w:rPr>
            <w:rStyle w:val="Hypertextovodkaz"/>
            <w:noProof/>
          </w:rPr>
          <w:t>5.1.3</w:t>
        </w:r>
        <w:r w:rsidR="007647A2">
          <w:rPr>
            <w:rFonts w:asciiTheme="minorHAnsi" w:eastAsiaTheme="minorEastAsia" w:hAnsiTheme="minorHAnsi" w:cstheme="minorBidi"/>
            <w:noProof/>
            <w:szCs w:val="22"/>
          </w:rPr>
          <w:tab/>
        </w:r>
        <w:r w:rsidR="007647A2" w:rsidRPr="00AC4D5B">
          <w:rPr>
            <w:rStyle w:val="Hypertextovodkaz"/>
            <w:noProof/>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_Toc421534278 \h </w:instrText>
        </w:r>
        <w:r w:rsidR="007647A2">
          <w:rPr>
            <w:noProof/>
            <w:webHidden/>
          </w:rPr>
        </w:r>
        <w:r w:rsidR="007647A2">
          <w:rPr>
            <w:noProof/>
            <w:webHidden/>
          </w:rPr>
          <w:fldChar w:fldCharType="separate"/>
        </w:r>
        <w:r w:rsidR="007647A2">
          <w:rPr>
            <w:noProof/>
            <w:webHidden/>
          </w:rPr>
          <w:t>41</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79" w:history="1">
        <w:r w:rsidR="007647A2" w:rsidRPr="00AC4D5B">
          <w:rPr>
            <w:rStyle w:val="Hypertextovodkaz"/>
            <w:noProof/>
          </w:rPr>
          <w:t>5.1.4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_Toc421534279 \h </w:instrText>
        </w:r>
        <w:r w:rsidR="007647A2">
          <w:rPr>
            <w:noProof/>
            <w:webHidden/>
          </w:rPr>
        </w:r>
        <w:r w:rsidR="007647A2">
          <w:rPr>
            <w:noProof/>
            <w:webHidden/>
          </w:rPr>
          <w:fldChar w:fldCharType="separate"/>
        </w:r>
        <w:r w:rsidR="007647A2">
          <w:rPr>
            <w:noProof/>
            <w:webHidden/>
          </w:rPr>
          <w:t>47</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80" w:history="1">
        <w:r w:rsidR="007647A2" w:rsidRPr="00AC4D5B">
          <w:rPr>
            <w:rStyle w:val="Hypertextovodkaz"/>
            <w:noProof/>
          </w:rPr>
          <w:t>5.2</w:t>
        </w:r>
        <w:r w:rsidR="007647A2">
          <w:rPr>
            <w:rFonts w:asciiTheme="minorHAnsi" w:eastAsiaTheme="minorEastAsia" w:hAnsiTheme="minorHAnsi" w:cstheme="minorBidi"/>
            <w:noProof/>
            <w:szCs w:val="22"/>
          </w:rPr>
          <w:tab/>
        </w:r>
        <w:r w:rsidR="007647A2" w:rsidRPr="00AC4D5B">
          <w:rPr>
            <w:rStyle w:val="Hypertextovodkaz"/>
            <w:noProof/>
          </w:rPr>
          <w:t>Specifický cíl 1.2 – Zvýšit intenzitu a účinnost spolupráce ve výzkumu, vývoji a inovacích</w:t>
        </w:r>
        <w:r w:rsidR="007647A2">
          <w:rPr>
            <w:noProof/>
            <w:webHidden/>
          </w:rPr>
          <w:tab/>
        </w:r>
        <w:r w:rsidR="007647A2">
          <w:rPr>
            <w:noProof/>
            <w:webHidden/>
          </w:rPr>
          <w:fldChar w:fldCharType="begin"/>
        </w:r>
        <w:r w:rsidR="007647A2">
          <w:rPr>
            <w:noProof/>
            <w:webHidden/>
          </w:rPr>
          <w:instrText xml:space="preserve"> PAGEREF _Toc421534280 \h </w:instrText>
        </w:r>
        <w:r w:rsidR="007647A2">
          <w:rPr>
            <w:noProof/>
            <w:webHidden/>
          </w:rPr>
        </w:r>
        <w:r w:rsidR="007647A2">
          <w:rPr>
            <w:noProof/>
            <w:webHidden/>
          </w:rPr>
          <w:fldChar w:fldCharType="separate"/>
        </w:r>
        <w:r w:rsidR="007647A2">
          <w:rPr>
            <w:noProof/>
            <w:webHidden/>
          </w:rPr>
          <w:t>48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1" w:history="1">
        <w:r w:rsidR="007647A2" w:rsidRPr="00AC4D5B">
          <w:rPr>
            <w:rStyle w:val="Hypertextovodkaz"/>
            <w:noProof/>
          </w:rPr>
          <w:t>5.2.1</w:t>
        </w:r>
        <w:r w:rsidR="007647A2">
          <w:rPr>
            <w:rFonts w:asciiTheme="minorHAnsi" w:eastAsiaTheme="minorEastAsia" w:hAnsiTheme="minorHAnsi" w:cstheme="minorBidi"/>
            <w:noProof/>
            <w:szCs w:val="22"/>
          </w:rPr>
          <w:tab/>
        </w:r>
        <w:r w:rsidR="007647A2" w:rsidRPr="00AC4D5B">
          <w:rPr>
            <w:rStyle w:val="Hypertextovodkaz"/>
            <w:noProof/>
          </w:rPr>
          <w:t>Zaměření specifického cíle</w:t>
        </w:r>
        <w:r w:rsidR="007647A2">
          <w:rPr>
            <w:noProof/>
            <w:webHidden/>
          </w:rPr>
          <w:tab/>
        </w:r>
        <w:r w:rsidR="007647A2">
          <w:rPr>
            <w:noProof/>
            <w:webHidden/>
          </w:rPr>
          <w:fldChar w:fldCharType="begin"/>
        </w:r>
        <w:r w:rsidR="007647A2">
          <w:rPr>
            <w:noProof/>
            <w:webHidden/>
          </w:rPr>
          <w:instrText xml:space="preserve"> PAGEREF _Toc421534281 \h </w:instrText>
        </w:r>
        <w:r w:rsidR="007647A2">
          <w:rPr>
            <w:noProof/>
            <w:webHidden/>
          </w:rPr>
        </w:r>
        <w:r w:rsidR="007647A2">
          <w:rPr>
            <w:noProof/>
            <w:webHidden/>
          </w:rPr>
          <w:fldChar w:fldCharType="separate"/>
        </w:r>
        <w:r w:rsidR="007647A2">
          <w:rPr>
            <w:noProof/>
            <w:webHidden/>
          </w:rPr>
          <w:t>48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2" w:history="1">
        <w:r w:rsidR="007647A2" w:rsidRPr="00AC4D5B">
          <w:rPr>
            <w:rStyle w:val="Hypertextovodkaz"/>
            <w:noProof/>
          </w:rPr>
          <w:t>5.2.2</w:t>
        </w:r>
        <w:r w:rsidR="007647A2">
          <w:rPr>
            <w:rFonts w:asciiTheme="minorHAnsi" w:eastAsiaTheme="minorEastAsia" w:hAnsiTheme="minorHAnsi" w:cstheme="minorBidi"/>
            <w:noProof/>
            <w:szCs w:val="22"/>
          </w:rPr>
          <w:tab/>
        </w:r>
        <w:r w:rsidR="007647A2" w:rsidRPr="00AC4D5B">
          <w:rPr>
            <w:rStyle w:val="Hypertextovodkaz"/>
            <w:noProof/>
          </w:rPr>
          <w:t>Analýza selhání trhu</w:t>
        </w:r>
        <w:r w:rsidR="007647A2">
          <w:rPr>
            <w:noProof/>
            <w:webHidden/>
          </w:rPr>
          <w:tab/>
        </w:r>
        <w:r w:rsidR="007647A2">
          <w:rPr>
            <w:noProof/>
            <w:webHidden/>
          </w:rPr>
          <w:fldChar w:fldCharType="begin"/>
        </w:r>
        <w:r w:rsidR="007647A2">
          <w:rPr>
            <w:noProof/>
            <w:webHidden/>
          </w:rPr>
          <w:instrText xml:space="preserve"> PAGEREF _Toc421534282 \h </w:instrText>
        </w:r>
        <w:r w:rsidR="007647A2">
          <w:rPr>
            <w:noProof/>
            <w:webHidden/>
          </w:rPr>
        </w:r>
        <w:r w:rsidR="007647A2">
          <w:rPr>
            <w:noProof/>
            <w:webHidden/>
          </w:rPr>
          <w:fldChar w:fldCharType="separate"/>
        </w:r>
        <w:r w:rsidR="007647A2">
          <w:rPr>
            <w:noProof/>
            <w:webHidden/>
          </w:rPr>
          <w:t>48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3" w:history="1">
        <w:r w:rsidR="007647A2" w:rsidRPr="00AC4D5B">
          <w:rPr>
            <w:rStyle w:val="Hypertextovodkaz"/>
            <w:noProof/>
          </w:rPr>
          <w:t>5.2.3</w:t>
        </w:r>
        <w:r w:rsidR="007647A2">
          <w:rPr>
            <w:rFonts w:asciiTheme="minorHAnsi" w:eastAsiaTheme="minorEastAsia" w:hAnsiTheme="minorHAnsi" w:cstheme="minorBidi"/>
            <w:noProof/>
            <w:szCs w:val="22"/>
          </w:rPr>
          <w:tab/>
        </w:r>
        <w:r w:rsidR="007647A2" w:rsidRPr="00AC4D5B">
          <w:rPr>
            <w:rStyle w:val="Hypertextovodkaz"/>
            <w:noProof/>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_Toc421534283 \h </w:instrText>
        </w:r>
        <w:r w:rsidR="007647A2">
          <w:rPr>
            <w:noProof/>
            <w:webHidden/>
          </w:rPr>
        </w:r>
        <w:r w:rsidR="007647A2">
          <w:rPr>
            <w:noProof/>
            <w:webHidden/>
          </w:rPr>
          <w:fldChar w:fldCharType="separate"/>
        </w:r>
        <w:r w:rsidR="007647A2">
          <w:rPr>
            <w:noProof/>
            <w:webHidden/>
          </w:rPr>
          <w:t>54</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4" w:history="1">
        <w:r w:rsidR="007647A2" w:rsidRPr="00AC4D5B">
          <w:rPr>
            <w:rStyle w:val="Hypertextovodkaz"/>
            <w:noProof/>
          </w:rPr>
          <w:t>5.2.4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_Toc421534284 \h </w:instrText>
        </w:r>
        <w:r w:rsidR="007647A2">
          <w:rPr>
            <w:noProof/>
            <w:webHidden/>
          </w:rPr>
        </w:r>
        <w:r w:rsidR="007647A2">
          <w:rPr>
            <w:noProof/>
            <w:webHidden/>
          </w:rPr>
          <w:fldChar w:fldCharType="separate"/>
        </w:r>
        <w:r w:rsidR="007647A2">
          <w:rPr>
            <w:noProof/>
            <w:webHidden/>
          </w:rPr>
          <w:t>57</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85" w:history="1">
        <w:r w:rsidR="007647A2" w:rsidRPr="00AC4D5B">
          <w:rPr>
            <w:rStyle w:val="Hypertextovodkaz"/>
            <w:noProof/>
          </w:rPr>
          <w:t>5.3</w:t>
        </w:r>
        <w:r w:rsidR="007647A2">
          <w:rPr>
            <w:rFonts w:asciiTheme="minorHAnsi" w:eastAsiaTheme="minorEastAsia" w:hAnsiTheme="minorHAnsi" w:cstheme="minorBidi"/>
            <w:noProof/>
            <w:szCs w:val="22"/>
          </w:rPr>
          <w:tab/>
        </w:r>
        <w:r w:rsidR="007647A2" w:rsidRPr="00AC4D5B">
          <w:rPr>
            <w:rStyle w:val="Hypertextovodkaz"/>
            <w:noProof/>
          </w:rPr>
          <w:t>Specifický cíl 2.1 – Zvýšit konkurenceschopnost začínajících a rozvojových MSP</w:t>
        </w:r>
        <w:r w:rsidR="007647A2">
          <w:rPr>
            <w:noProof/>
            <w:webHidden/>
          </w:rPr>
          <w:tab/>
        </w:r>
        <w:r w:rsidR="007647A2">
          <w:rPr>
            <w:noProof/>
            <w:webHidden/>
          </w:rPr>
          <w:fldChar w:fldCharType="begin"/>
        </w:r>
        <w:r w:rsidR="007647A2">
          <w:rPr>
            <w:noProof/>
            <w:webHidden/>
          </w:rPr>
          <w:instrText xml:space="preserve"> PAGEREF _Toc421534285 \h </w:instrText>
        </w:r>
        <w:r w:rsidR="007647A2">
          <w:rPr>
            <w:noProof/>
            <w:webHidden/>
          </w:rPr>
        </w:r>
        <w:r w:rsidR="007647A2">
          <w:rPr>
            <w:noProof/>
            <w:webHidden/>
          </w:rPr>
          <w:fldChar w:fldCharType="separate"/>
        </w:r>
        <w:r w:rsidR="007647A2">
          <w:rPr>
            <w:noProof/>
            <w:webHidden/>
          </w:rPr>
          <w:t>58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6" w:history="1">
        <w:r w:rsidR="007647A2" w:rsidRPr="00AC4D5B">
          <w:rPr>
            <w:rStyle w:val="Hypertextovodkaz"/>
            <w:noProof/>
          </w:rPr>
          <w:t>5.3.1</w:t>
        </w:r>
        <w:r w:rsidR="007647A2">
          <w:rPr>
            <w:rFonts w:asciiTheme="minorHAnsi" w:eastAsiaTheme="minorEastAsia" w:hAnsiTheme="minorHAnsi" w:cstheme="minorBidi"/>
            <w:noProof/>
            <w:szCs w:val="22"/>
          </w:rPr>
          <w:tab/>
        </w:r>
        <w:r w:rsidR="007647A2" w:rsidRPr="00AC4D5B">
          <w:rPr>
            <w:rStyle w:val="Hypertextovodkaz"/>
            <w:noProof/>
          </w:rPr>
          <w:t>Zaměření specifického cíle</w:t>
        </w:r>
        <w:r w:rsidR="007647A2">
          <w:rPr>
            <w:noProof/>
            <w:webHidden/>
          </w:rPr>
          <w:tab/>
        </w:r>
        <w:r w:rsidR="007647A2">
          <w:rPr>
            <w:noProof/>
            <w:webHidden/>
          </w:rPr>
          <w:fldChar w:fldCharType="begin"/>
        </w:r>
        <w:r w:rsidR="007647A2">
          <w:rPr>
            <w:noProof/>
            <w:webHidden/>
          </w:rPr>
          <w:instrText xml:space="preserve"> PAGEREF _Toc421534286 \h </w:instrText>
        </w:r>
        <w:r w:rsidR="007647A2">
          <w:rPr>
            <w:noProof/>
            <w:webHidden/>
          </w:rPr>
        </w:r>
        <w:r w:rsidR="007647A2">
          <w:rPr>
            <w:noProof/>
            <w:webHidden/>
          </w:rPr>
          <w:fldChar w:fldCharType="separate"/>
        </w:r>
        <w:r w:rsidR="007647A2">
          <w:rPr>
            <w:noProof/>
            <w:webHidden/>
          </w:rPr>
          <w:t>58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7" w:history="1">
        <w:r w:rsidR="007647A2" w:rsidRPr="00AC4D5B">
          <w:rPr>
            <w:rStyle w:val="Hypertextovodkaz"/>
            <w:noProof/>
          </w:rPr>
          <w:t>5.3.2</w:t>
        </w:r>
        <w:r w:rsidR="007647A2">
          <w:rPr>
            <w:rFonts w:asciiTheme="minorHAnsi" w:eastAsiaTheme="minorEastAsia" w:hAnsiTheme="minorHAnsi" w:cstheme="minorBidi"/>
            <w:noProof/>
            <w:szCs w:val="22"/>
          </w:rPr>
          <w:tab/>
        </w:r>
        <w:r w:rsidR="007647A2" w:rsidRPr="00AC4D5B">
          <w:rPr>
            <w:rStyle w:val="Hypertextovodkaz"/>
            <w:noProof/>
          </w:rPr>
          <w:t>Analýza selhání trhu</w:t>
        </w:r>
        <w:r w:rsidR="007647A2">
          <w:rPr>
            <w:noProof/>
            <w:webHidden/>
          </w:rPr>
          <w:tab/>
        </w:r>
        <w:r w:rsidR="007647A2">
          <w:rPr>
            <w:noProof/>
            <w:webHidden/>
          </w:rPr>
          <w:fldChar w:fldCharType="begin"/>
        </w:r>
        <w:r w:rsidR="007647A2">
          <w:rPr>
            <w:noProof/>
            <w:webHidden/>
          </w:rPr>
          <w:instrText xml:space="preserve"> PAGEREF _Toc421534287 \h </w:instrText>
        </w:r>
        <w:r w:rsidR="007647A2">
          <w:rPr>
            <w:noProof/>
            <w:webHidden/>
          </w:rPr>
        </w:r>
        <w:r w:rsidR="007647A2">
          <w:rPr>
            <w:noProof/>
            <w:webHidden/>
          </w:rPr>
          <w:fldChar w:fldCharType="separate"/>
        </w:r>
        <w:r w:rsidR="007647A2">
          <w:rPr>
            <w:noProof/>
            <w:webHidden/>
          </w:rPr>
          <w:t>58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8" w:history="1">
        <w:r w:rsidR="007647A2" w:rsidRPr="00AC4D5B">
          <w:rPr>
            <w:rStyle w:val="Hypertextovodkaz"/>
            <w:noProof/>
          </w:rPr>
          <w:t>5.3.3</w:t>
        </w:r>
        <w:r w:rsidR="007647A2">
          <w:rPr>
            <w:rFonts w:asciiTheme="minorHAnsi" w:eastAsiaTheme="minorEastAsia" w:hAnsiTheme="minorHAnsi" w:cstheme="minorBidi"/>
            <w:noProof/>
            <w:szCs w:val="22"/>
          </w:rPr>
          <w:tab/>
        </w:r>
        <w:r w:rsidR="007647A2" w:rsidRPr="00AC4D5B">
          <w:rPr>
            <w:rStyle w:val="Hypertextovodkaz"/>
            <w:noProof/>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_Toc421534288 \h </w:instrText>
        </w:r>
        <w:r w:rsidR="007647A2">
          <w:rPr>
            <w:noProof/>
            <w:webHidden/>
          </w:rPr>
        </w:r>
        <w:r w:rsidR="007647A2">
          <w:rPr>
            <w:noProof/>
            <w:webHidden/>
          </w:rPr>
          <w:fldChar w:fldCharType="separate"/>
        </w:r>
        <w:r w:rsidR="007647A2">
          <w:rPr>
            <w:noProof/>
            <w:webHidden/>
          </w:rPr>
          <w:t>78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89" w:history="1">
        <w:r w:rsidR="007647A2" w:rsidRPr="00AC4D5B">
          <w:rPr>
            <w:rStyle w:val="Hypertextovodkaz"/>
            <w:noProof/>
          </w:rPr>
          <w:t>5.3.4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_Toc421534289 \h </w:instrText>
        </w:r>
        <w:r w:rsidR="007647A2">
          <w:rPr>
            <w:noProof/>
            <w:webHidden/>
          </w:rPr>
        </w:r>
        <w:r w:rsidR="007647A2">
          <w:rPr>
            <w:noProof/>
            <w:webHidden/>
          </w:rPr>
          <w:fldChar w:fldCharType="separate"/>
        </w:r>
        <w:r w:rsidR="007647A2">
          <w:rPr>
            <w:noProof/>
            <w:webHidden/>
          </w:rPr>
          <w:t>85</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90" w:history="1">
        <w:r w:rsidR="007647A2" w:rsidRPr="00AC4D5B">
          <w:rPr>
            <w:rStyle w:val="Hypertextovodkaz"/>
            <w:noProof/>
            <w:lang w:eastAsia="en-US"/>
          </w:rPr>
          <w:t>5.4</w:t>
        </w:r>
        <w:r w:rsidR="007647A2">
          <w:rPr>
            <w:rFonts w:asciiTheme="minorHAnsi" w:eastAsiaTheme="minorEastAsia" w:hAnsiTheme="minorHAnsi" w:cstheme="minorBidi"/>
            <w:noProof/>
            <w:szCs w:val="22"/>
          </w:rPr>
          <w:tab/>
        </w:r>
        <w:r w:rsidR="007647A2" w:rsidRPr="00AC4D5B">
          <w:rPr>
            <w:rStyle w:val="Hypertextovodkaz"/>
            <w:noProof/>
            <w:lang w:eastAsia="en-US"/>
          </w:rPr>
          <w:t>Specifický cíl 2.3 - Zvýšit využitelnost infrastruktury pro podnikání</w:t>
        </w:r>
        <w:r w:rsidR="007647A2">
          <w:rPr>
            <w:noProof/>
            <w:webHidden/>
          </w:rPr>
          <w:tab/>
        </w:r>
        <w:r w:rsidR="007647A2">
          <w:rPr>
            <w:noProof/>
            <w:webHidden/>
          </w:rPr>
          <w:fldChar w:fldCharType="begin"/>
        </w:r>
        <w:r w:rsidR="007647A2">
          <w:rPr>
            <w:noProof/>
            <w:webHidden/>
          </w:rPr>
          <w:instrText xml:space="preserve"> PAGEREF _Toc421534290 \h </w:instrText>
        </w:r>
        <w:r w:rsidR="007647A2">
          <w:rPr>
            <w:noProof/>
            <w:webHidden/>
          </w:rPr>
        </w:r>
        <w:r w:rsidR="007647A2">
          <w:rPr>
            <w:noProof/>
            <w:webHidden/>
          </w:rPr>
          <w:fldChar w:fldCharType="separate"/>
        </w:r>
        <w:r w:rsidR="007647A2">
          <w:rPr>
            <w:noProof/>
            <w:webHidden/>
          </w:rPr>
          <w:t>88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1" w:history="1">
        <w:r w:rsidR="007647A2" w:rsidRPr="00AC4D5B">
          <w:rPr>
            <w:rStyle w:val="Hypertextovodkaz"/>
            <w:noProof/>
          </w:rPr>
          <w:t>5.4.1</w:t>
        </w:r>
        <w:r w:rsidR="007647A2">
          <w:rPr>
            <w:rFonts w:asciiTheme="minorHAnsi" w:eastAsiaTheme="minorEastAsia" w:hAnsiTheme="minorHAnsi" w:cstheme="minorBidi"/>
            <w:noProof/>
            <w:szCs w:val="22"/>
          </w:rPr>
          <w:tab/>
        </w:r>
        <w:r w:rsidR="007647A2" w:rsidRPr="00AC4D5B">
          <w:rPr>
            <w:rStyle w:val="Hypertextovodkaz"/>
            <w:noProof/>
          </w:rPr>
          <w:t>Zaměření specifického cíle</w:t>
        </w:r>
        <w:r w:rsidR="007647A2">
          <w:rPr>
            <w:noProof/>
            <w:webHidden/>
          </w:rPr>
          <w:tab/>
        </w:r>
        <w:r w:rsidR="007647A2">
          <w:rPr>
            <w:noProof/>
            <w:webHidden/>
          </w:rPr>
          <w:fldChar w:fldCharType="begin"/>
        </w:r>
        <w:r w:rsidR="007647A2">
          <w:rPr>
            <w:noProof/>
            <w:webHidden/>
          </w:rPr>
          <w:instrText xml:space="preserve"> PAGEREF _Toc421534291 \h </w:instrText>
        </w:r>
        <w:r w:rsidR="007647A2">
          <w:rPr>
            <w:noProof/>
            <w:webHidden/>
          </w:rPr>
        </w:r>
        <w:r w:rsidR="007647A2">
          <w:rPr>
            <w:noProof/>
            <w:webHidden/>
          </w:rPr>
          <w:fldChar w:fldCharType="separate"/>
        </w:r>
        <w:r w:rsidR="007647A2">
          <w:rPr>
            <w:noProof/>
            <w:webHidden/>
          </w:rPr>
          <w:t>88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2" w:history="1">
        <w:r w:rsidR="007647A2" w:rsidRPr="00AC4D5B">
          <w:rPr>
            <w:rStyle w:val="Hypertextovodkaz"/>
            <w:noProof/>
            <w:lang w:eastAsia="en-US"/>
          </w:rPr>
          <w:t>5.4.2</w:t>
        </w:r>
        <w:r w:rsidR="007647A2">
          <w:rPr>
            <w:rFonts w:asciiTheme="minorHAnsi" w:eastAsiaTheme="minorEastAsia" w:hAnsiTheme="minorHAnsi" w:cstheme="minorBidi"/>
            <w:noProof/>
            <w:szCs w:val="22"/>
          </w:rPr>
          <w:tab/>
        </w:r>
        <w:r w:rsidR="007647A2" w:rsidRPr="00AC4D5B">
          <w:rPr>
            <w:rStyle w:val="Hypertextovodkaz"/>
            <w:noProof/>
            <w:lang w:eastAsia="en-US"/>
          </w:rPr>
          <w:t>Analýza selhání trhu</w:t>
        </w:r>
        <w:r w:rsidR="007647A2">
          <w:rPr>
            <w:noProof/>
            <w:webHidden/>
          </w:rPr>
          <w:tab/>
        </w:r>
        <w:r w:rsidR="007647A2">
          <w:rPr>
            <w:noProof/>
            <w:webHidden/>
          </w:rPr>
          <w:fldChar w:fldCharType="begin"/>
        </w:r>
        <w:r w:rsidR="007647A2">
          <w:rPr>
            <w:noProof/>
            <w:webHidden/>
          </w:rPr>
          <w:instrText xml:space="preserve"> PAGEREF _Toc421534292 \h </w:instrText>
        </w:r>
        <w:r w:rsidR="007647A2">
          <w:rPr>
            <w:noProof/>
            <w:webHidden/>
          </w:rPr>
        </w:r>
        <w:r w:rsidR="007647A2">
          <w:rPr>
            <w:noProof/>
            <w:webHidden/>
          </w:rPr>
          <w:fldChar w:fldCharType="separate"/>
        </w:r>
        <w:r w:rsidR="007647A2">
          <w:rPr>
            <w:noProof/>
            <w:webHidden/>
          </w:rPr>
          <w:t>89</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3" w:history="1">
        <w:r w:rsidR="007647A2" w:rsidRPr="00AC4D5B">
          <w:rPr>
            <w:rStyle w:val="Hypertextovodkaz"/>
            <w:noProof/>
            <w:lang w:eastAsia="en-US"/>
          </w:rPr>
          <w:t>5.4.3</w:t>
        </w:r>
        <w:r w:rsidR="007647A2">
          <w:rPr>
            <w:rFonts w:asciiTheme="minorHAnsi" w:eastAsiaTheme="minorEastAsia" w:hAnsiTheme="minorHAnsi" w:cstheme="minorBidi"/>
            <w:noProof/>
            <w:szCs w:val="22"/>
          </w:rPr>
          <w:tab/>
        </w:r>
        <w:r w:rsidR="007647A2" w:rsidRPr="00AC4D5B">
          <w:rPr>
            <w:rStyle w:val="Hypertextovodkaz"/>
            <w:noProof/>
            <w:lang w:eastAsia="en-US"/>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_Toc421534293 \h </w:instrText>
        </w:r>
        <w:r w:rsidR="007647A2">
          <w:rPr>
            <w:noProof/>
            <w:webHidden/>
          </w:rPr>
        </w:r>
        <w:r w:rsidR="007647A2">
          <w:rPr>
            <w:noProof/>
            <w:webHidden/>
          </w:rPr>
          <w:fldChar w:fldCharType="separate"/>
        </w:r>
        <w:r w:rsidR="007647A2">
          <w:rPr>
            <w:noProof/>
            <w:webHidden/>
          </w:rPr>
          <w:t>99</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4" w:history="1">
        <w:r w:rsidR="007647A2" w:rsidRPr="00AC4D5B">
          <w:rPr>
            <w:rStyle w:val="Hypertextovodkaz"/>
            <w:noProof/>
          </w:rPr>
          <w:t>5.4.4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_Toc421534294 \h </w:instrText>
        </w:r>
        <w:r w:rsidR="007647A2">
          <w:rPr>
            <w:noProof/>
            <w:webHidden/>
          </w:rPr>
        </w:r>
        <w:r w:rsidR="007647A2">
          <w:rPr>
            <w:noProof/>
            <w:webHidden/>
          </w:rPr>
          <w:fldChar w:fldCharType="separate"/>
        </w:r>
        <w:r w:rsidR="007647A2">
          <w:rPr>
            <w:noProof/>
            <w:webHidden/>
          </w:rPr>
          <w:t>104</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295" w:history="1">
        <w:r w:rsidR="007647A2" w:rsidRPr="00AC4D5B">
          <w:rPr>
            <w:rStyle w:val="Hypertextovodkaz"/>
            <w:noProof/>
            <w:lang w:eastAsia="en-US"/>
          </w:rPr>
          <w:t>5.5</w:t>
        </w:r>
        <w:r w:rsidR="007647A2">
          <w:rPr>
            <w:rFonts w:asciiTheme="minorHAnsi" w:eastAsiaTheme="minorEastAsia" w:hAnsiTheme="minorHAnsi" w:cstheme="minorBidi"/>
            <w:noProof/>
            <w:szCs w:val="22"/>
          </w:rPr>
          <w:tab/>
        </w:r>
        <w:r w:rsidR="007647A2" w:rsidRPr="00AC4D5B">
          <w:rPr>
            <w:rStyle w:val="Hypertextovodkaz"/>
            <w:noProof/>
            <w:lang w:eastAsia="en-US"/>
          </w:rPr>
          <w:t xml:space="preserve">Specifický cíl 3.1- </w:t>
        </w:r>
        <w:r w:rsidR="007647A2" w:rsidRPr="00AC4D5B">
          <w:rPr>
            <w:rStyle w:val="Hypertextovodkaz"/>
            <w:noProof/>
          </w:rPr>
          <w:t>Zvýšit podíl výroby energie z obnovitelných zdrojů na hrubé konečné spotřebě ČR</w:t>
        </w:r>
        <w:r w:rsidR="007647A2">
          <w:rPr>
            <w:noProof/>
            <w:webHidden/>
          </w:rPr>
          <w:tab/>
        </w:r>
        <w:r w:rsidR="007647A2">
          <w:rPr>
            <w:noProof/>
            <w:webHidden/>
          </w:rPr>
          <w:fldChar w:fldCharType="begin"/>
        </w:r>
        <w:r w:rsidR="007647A2">
          <w:rPr>
            <w:noProof/>
            <w:webHidden/>
          </w:rPr>
          <w:instrText xml:space="preserve"> PAGEREF _Toc421534295 \h </w:instrText>
        </w:r>
        <w:r w:rsidR="007647A2">
          <w:rPr>
            <w:noProof/>
            <w:webHidden/>
          </w:rPr>
        </w:r>
        <w:r w:rsidR="007647A2">
          <w:rPr>
            <w:noProof/>
            <w:webHidden/>
          </w:rPr>
          <w:fldChar w:fldCharType="separate"/>
        </w:r>
        <w:r w:rsidR="007647A2">
          <w:rPr>
            <w:noProof/>
            <w:webHidden/>
          </w:rPr>
          <w:t>105</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6" w:history="1">
        <w:r w:rsidR="007647A2" w:rsidRPr="00AC4D5B">
          <w:rPr>
            <w:rStyle w:val="Hypertextovodkaz"/>
            <w:noProof/>
          </w:rPr>
          <w:t>5.5.1</w:t>
        </w:r>
        <w:r w:rsidR="007647A2">
          <w:rPr>
            <w:rFonts w:asciiTheme="minorHAnsi" w:eastAsiaTheme="minorEastAsia" w:hAnsiTheme="minorHAnsi" w:cstheme="minorBidi"/>
            <w:noProof/>
            <w:szCs w:val="22"/>
          </w:rPr>
          <w:tab/>
        </w:r>
        <w:r w:rsidR="007647A2" w:rsidRPr="00AC4D5B">
          <w:rPr>
            <w:rStyle w:val="Hypertextovodkaz"/>
            <w:noProof/>
          </w:rPr>
          <w:t>Zaměření cíle</w:t>
        </w:r>
        <w:r w:rsidR="007647A2">
          <w:rPr>
            <w:noProof/>
            <w:webHidden/>
          </w:rPr>
          <w:tab/>
        </w:r>
        <w:r w:rsidR="007647A2">
          <w:rPr>
            <w:noProof/>
            <w:webHidden/>
          </w:rPr>
          <w:fldChar w:fldCharType="begin"/>
        </w:r>
        <w:r w:rsidR="007647A2">
          <w:rPr>
            <w:noProof/>
            <w:webHidden/>
          </w:rPr>
          <w:instrText xml:space="preserve"> PAGEREF _Toc421534296 \h </w:instrText>
        </w:r>
        <w:r w:rsidR="007647A2">
          <w:rPr>
            <w:noProof/>
            <w:webHidden/>
          </w:rPr>
        </w:r>
        <w:r w:rsidR="007647A2">
          <w:rPr>
            <w:noProof/>
            <w:webHidden/>
          </w:rPr>
          <w:fldChar w:fldCharType="separate"/>
        </w:r>
        <w:r w:rsidR="007647A2">
          <w:rPr>
            <w:noProof/>
            <w:webHidden/>
          </w:rPr>
          <w:t>105</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7" w:history="1">
        <w:r w:rsidR="007647A2" w:rsidRPr="00AC4D5B">
          <w:rPr>
            <w:rStyle w:val="Hypertextovodkaz"/>
            <w:noProof/>
          </w:rPr>
          <w:t>5.5.2</w:t>
        </w:r>
        <w:r w:rsidR="007647A2">
          <w:rPr>
            <w:rFonts w:asciiTheme="minorHAnsi" w:eastAsiaTheme="minorEastAsia" w:hAnsiTheme="minorHAnsi" w:cstheme="minorBidi"/>
            <w:noProof/>
            <w:szCs w:val="22"/>
          </w:rPr>
          <w:tab/>
        </w:r>
        <w:r w:rsidR="007647A2" w:rsidRPr="00AC4D5B">
          <w:rPr>
            <w:rStyle w:val="Hypertextovodkaz"/>
            <w:noProof/>
          </w:rPr>
          <w:t>Analýza selhání trhu</w:t>
        </w:r>
        <w:r w:rsidR="007647A2">
          <w:rPr>
            <w:noProof/>
            <w:webHidden/>
          </w:rPr>
          <w:tab/>
        </w:r>
        <w:r w:rsidR="007647A2">
          <w:rPr>
            <w:noProof/>
            <w:webHidden/>
          </w:rPr>
          <w:fldChar w:fldCharType="begin"/>
        </w:r>
        <w:r w:rsidR="007647A2">
          <w:rPr>
            <w:noProof/>
            <w:webHidden/>
          </w:rPr>
          <w:instrText xml:space="preserve"> PAGEREF _Toc421534297 \h </w:instrText>
        </w:r>
        <w:r w:rsidR="007647A2">
          <w:rPr>
            <w:noProof/>
            <w:webHidden/>
          </w:rPr>
        </w:r>
        <w:r w:rsidR="007647A2">
          <w:rPr>
            <w:noProof/>
            <w:webHidden/>
          </w:rPr>
          <w:fldChar w:fldCharType="separate"/>
        </w:r>
        <w:r w:rsidR="007647A2">
          <w:rPr>
            <w:noProof/>
            <w:webHidden/>
          </w:rPr>
          <w:t>106</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8" w:history="1">
        <w:r w:rsidR="007647A2" w:rsidRPr="00AC4D5B">
          <w:rPr>
            <w:rStyle w:val="Hypertextovodkaz"/>
            <w:noProof/>
            <w:lang w:eastAsia="en-US"/>
          </w:rPr>
          <w:t>5.5.3</w:t>
        </w:r>
        <w:r w:rsidR="007647A2">
          <w:rPr>
            <w:rFonts w:asciiTheme="minorHAnsi" w:eastAsiaTheme="minorEastAsia" w:hAnsiTheme="minorHAnsi" w:cstheme="minorBidi"/>
            <w:noProof/>
            <w:szCs w:val="22"/>
          </w:rPr>
          <w:tab/>
        </w:r>
        <w:r w:rsidR="007647A2" w:rsidRPr="00AC4D5B">
          <w:rPr>
            <w:rStyle w:val="Hypertextovodkaz"/>
            <w:noProof/>
            <w:lang w:eastAsia="en-US"/>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_Toc421534298 \h </w:instrText>
        </w:r>
        <w:r w:rsidR="007647A2">
          <w:rPr>
            <w:noProof/>
            <w:webHidden/>
          </w:rPr>
        </w:r>
        <w:r w:rsidR="007647A2">
          <w:rPr>
            <w:noProof/>
            <w:webHidden/>
          </w:rPr>
          <w:fldChar w:fldCharType="separate"/>
        </w:r>
        <w:r w:rsidR="007647A2">
          <w:rPr>
            <w:noProof/>
            <w:webHidden/>
          </w:rPr>
          <w:t>112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299" w:history="1">
        <w:r w:rsidR="007647A2" w:rsidRPr="00AC4D5B">
          <w:rPr>
            <w:rStyle w:val="Hypertextovodkaz"/>
            <w:noProof/>
          </w:rPr>
          <w:t>5.5.4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_Toc421534299 \h </w:instrText>
        </w:r>
        <w:r w:rsidR="007647A2">
          <w:rPr>
            <w:noProof/>
            <w:webHidden/>
          </w:rPr>
        </w:r>
        <w:r w:rsidR="007647A2">
          <w:rPr>
            <w:noProof/>
            <w:webHidden/>
          </w:rPr>
          <w:fldChar w:fldCharType="separate"/>
        </w:r>
        <w:r w:rsidR="007647A2">
          <w:rPr>
            <w:noProof/>
            <w:webHidden/>
          </w:rPr>
          <w:t>116</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00" w:history="1">
        <w:r w:rsidR="007647A2" w:rsidRPr="00AC4D5B">
          <w:rPr>
            <w:rStyle w:val="Hypertextovodkaz"/>
            <w:noProof/>
            <w:lang w:eastAsia="en-US"/>
          </w:rPr>
          <w:t>5.6</w:t>
        </w:r>
        <w:r w:rsidR="007647A2">
          <w:rPr>
            <w:rFonts w:asciiTheme="minorHAnsi" w:eastAsiaTheme="minorEastAsia" w:hAnsiTheme="minorHAnsi" w:cstheme="minorBidi"/>
            <w:noProof/>
            <w:szCs w:val="22"/>
          </w:rPr>
          <w:tab/>
        </w:r>
        <w:r w:rsidR="007647A2" w:rsidRPr="00AC4D5B">
          <w:rPr>
            <w:rStyle w:val="Hypertextovodkaz"/>
            <w:noProof/>
            <w:lang w:eastAsia="en-US"/>
          </w:rPr>
          <w:t>Specifický cíl 3.2- Snižování energetické náročnosti podnikatelského sektoru a rozvíjení energetických služeb</w:t>
        </w:r>
        <w:r w:rsidR="007647A2">
          <w:rPr>
            <w:noProof/>
            <w:webHidden/>
          </w:rPr>
          <w:tab/>
        </w:r>
        <w:r w:rsidR="007647A2">
          <w:rPr>
            <w:noProof/>
            <w:webHidden/>
          </w:rPr>
          <w:fldChar w:fldCharType="begin"/>
        </w:r>
        <w:r w:rsidR="007647A2">
          <w:rPr>
            <w:noProof/>
            <w:webHidden/>
          </w:rPr>
          <w:instrText xml:space="preserve"> PAGEREF _Toc421534300 \h </w:instrText>
        </w:r>
        <w:r w:rsidR="007647A2">
          <w:rPr>
            <w:noProof/>
            <w:webHidden/>
          </w:rPr>
        </w:r>
        <w:r w:rsidR="007647A2">
          <w:rPr>
            <w:noProof/>
            <w:webHidden/>
          </w:rPr>
          <w:fldChar w:fldCharType="separate"/>
        </w:r>
        <w:r w:rsidR="007647A2">
          <w:rPr>
            <w:noProof/>
            <w:webHidden/>
          </w:rPr>
          <w:t>117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1" w:history="1">
        <w:r w:rsidR="007647A2" w:rsidRPr="00AC4D5B">
          <w:rPr>
            <w:rStyle w:val="Hypertextovodkaz"/>
            <w:noProof/>
          </w:rPr>
          <w:t>5.6.1</w:t>
        </w:r>
        <w:r w:rsidR="007647A2">
          <w:rPr>
            <w:rFonts w:asciiTheme="minorHAnsi" w:eastAsiaTheme="minorEastAsia" w:hAnsiTheme="minorHAnsi" w:cstheme="minorBidi"/>
            <w:noProof/>
            <w:szCs w:val="22"/>
          </w:rPr>
          <w:tab/>
        </w:r>
        <w:r w:rsidR="007647A2" w:rsidRPr="00AC4D5B">
          <w:rPr>
            <w:rStyle w:val="Hypertextovodkaz"/>
            <w:noProof/>
          </w:rPr>
          <w:t>Zaměření cíle</w:t>
        </w:r>
        <w:r w:rsidR="007647A2">
          <w:rPr>
            <w:noProof/>
            <w:webHidden/>
          </w:rPr>
          <w:tab/>
        </w:r>
        <w:r w:rsidR="007647A2">
          <w:rPr>
            <w:noProof/>
            <w:webHidden/>
          </w:rPr>
          <w:fldChar w:fldCharType="begin"/>
        </w:r>
        <w:r w:rsidR="007647A2">
          <w:rPr>
            <w:noProof/>
            <w:webHidden/>
          </w:rPr>
          <w:instrText xml:space="preserve"> PAGEREF _Toc421534301 \h </w:instrText>
        </w:r>
        <w:r w:rsidR="007647A2">
          <w:rPr>
            <w:noProof/>
            <w:webHidden/>
          </w:rPr>
        </w:r>
        <w:r w:rsidR="007647A2">
          <w:rPr>
            <w:noProof/>
            <w:webHidden/>
          </w:rPr>
          <w:fldChar w:fldCharType="separate"/>
        </w:r>
        <w:r w:rsidR="007647A2">
          <w:rPr>
            <w:noProof/>
            <w:webHidden/>
          </w:rPr>
          <w:t>117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2" w:history="1">
        <w:r w:rsidR="007647A2" w:rsidRPr="00AC4D5B">
          <w:rPr>
            <w:rStyle w:val="Hypertextovodkaz"/>
            <w:noProof/>
            <w:lang w:eastAsia="en-US"/>
          </w:rPr>
          <w:t>5.6.2</w:t>
        </w:r>
        <w:r w:rsidR="007647A2">
          <w:rPr>
            <w:rFonts w:asciiTheme="minorHAnsi" w:eastAsiaTheme="minorEastAsia" w:hAnsiTheme="minorHAnsi" w:cstheme="minorBidi"/>
            <w:noProof/>
            <w:szCs w:val="22"/>
          </w:rPr>
          <w:tab/>
        </w:r>
        <w:r w:rsidR="007647A2" w:rsidRPr="00AC4D5B">
          <w:rPr>
            <w:rStyle w:val="Hypertextovodkaz"/>
            <w:noProof/>
            <w:lang w:eastAsia="en-US"/>
          </w:rPr>
          <w:t>Analýza selhání trhu</w:t>
        </w:r>
        <w:r w:rsidR="007647A2">
          <w:rPr>
            <w:noProof/>
            <w:webHidden/>
          </w:rPr>
          <w:tab/>
        </w:r>
        <w:r w:rsidR="007647A2">
          <w:rPr>
            <w:noProof/>
            <w:webHidden/>
          </w:rPr>
          <w:fldChar w:fldCharType="begin"/>
        </w:r>
        <w:r w:rsidR="007647A2">
          <w:rPr>
            <w:noProof/>
            <w:webHidden/>
          </w:rPr>
          <w:instrText xml:space="preserve"> PAGEREF _Toc421534302 \h </w:instrText>
        </w:r>
        <w:r w:rsidR="007647A2">
          <w:rPr>
            <w:noProof/>
            <w:webHidden/>
          </w:rPr>
        </w:r>
        <w:r w:rsidR="007647A2">
          <w:rPr>
            <w:noProof/>
            <w:webHidden/>
          </w:rPr>
          <w:fldChar w:fldCharType="separate"/>
        </w:r>
        <w:r w:rsidR="007647A2">
          <w:rPr>
            <w:noProof/>
            <w:webHidden/>
          </w:rPr>
          <w:t>118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3" w:history="1">
        <w:r w:rsidR="007647A2" w:rsidRPr="00AC4D5B">
          <w:rPr>
            <w:rStyle w:val="Hypertextovodkaz"/>
            <w:noProof/>
            <w:lang w:eastAsia="en-US"/>
          </w:rPr>
          <w:t>5.6.3</w:t>
        </w:r>
        <w:r w:rsidR="007647A2">
          <w:rPr>
            <w:rFonts w:asciiTheme="minorHAnsi" w:eastAsiaTheme="minorEastAsia" w:hAnsiTheme="minorHAnsi" w:cstheme="minorBidi"/>
            <w:noProof/>
            <w:szCs w:val="22"/>
          </w:rPr>
          <w:tab/>
        </w:r>
        <w:r w:rsidR="007647A2" w:rsidRPr="00AC4D5B">
          <w:rPr>
            <w:rStyle w:val="Hypertextovodkaz"/>
            <w:noProof/>
            <w:lang w:eastAsia="en-US"/>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_Toc421534303 \h </w:instrText>
        </w:r>
        <w:r w:rsidR="007647A2">
          <w:rPr>
            <w:noProof/>
            <w:webHidden/>
          </w:rPr>
        </w:r>
        <w:r w:rsidR="007647A2">
          <w:rPr>
            <w:noProof/>
            <w:webHidden/>
          </w:rPr>
          <w:fldChar w:fldCharType="separate"/>
        </w:r>
        <w:r w:rsidR="007647A2">
          <w:rPr>
            <w:noProof/>
            <w:webHidden/>
          </w:rPr>
          <w:t>127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4" w:history="1">
        <w:r w:rsidR="007647A2" w:rsidRPr="00AC4D5B">
          <w:rPr>
            <w:rStyle w:val="Hypertextovodkaz"/>
            <w:noProof/>
          </w:rPr>
          <w:t>5.6.4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_Toc421534304 \h </w:instrText>
        </w:r>
        <w:r w:rsidR="007647A2">
          <w:rPr>
            <w:noProof/>
            <w:webHidden/>
          </w:rPr>
        </w:r>
        <w:r w:rsidR="007647A2">
          <w:rPr>
            <w:noProof/>
            <w:webHidden/>
          </w:rPr>
          <w:fldChar w:fldCharType="separate"/>
        </w:r>
        <w:r w:rsidR="007647A2">
          <w:rPr>
            <w:noProof/>
            <w:webHidden/>
          </w:rPr>
          <w:t>131</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05" w:history="1">
        <w:r w:rsidR="007647A2" w:rsidRPr="00AC4D5B">
          <w:rPr>
            <w:rStyle w:val="Hypertextovodkaz"/>
            <w:noProof/>
            <w:lang w:eastAsia="en-US"/>
          </w:rPr>
          <w:t>5.7</w:t>
        </w:r>
        <w:r w:rsidR="007647A2">
          <w:rPr>
            <w:rFonts w:asciiTheme="minorHAnsi" w:eastAsiaTheme="minorEastAsia" w:hAnsiTheme="minorHAnsi" w:cstheme="minorBidi"/>
            <w:noProof/>
            <w:szCs w:val="22"/>
          </w:rPr>
          <w:tab/>
        </w:r>
        <w:r w:rsidR="007647A2" w:rsidRPr="00AC4D5B">
          <w:rPr>
            <w:rStyle w:val="Hypertextovodkaz"/>
            <w:noProof/>
            <w:lang w:eastAsia="en-US"/>
          </w:rPr>
          <w:t xml:space="preserve">Specifický cíl 3.5 – </w:t>
        </w:r>
        <w:r w:rsidR="007647A2" w:rsidRPr="00AC4D5B">
          <w:rPr>
            <w:rStyle w:val="Hypertextovodkaz"/>
            <w:noProof/>
          </w:rPr>
          <w:t>Zvýšit účinnost soustav zásobování teplem</w:t>
        </w:r>
        <w:r w:rsidR="007647A2">
          <w:rPr>
            <w:noProof/>
            <w:webHidden/>
          </w:rPr>
          <w:tab/>
        </w:r>
        <w:r w:rsidR="007647A2">
          <w:rPr>
            <w:noProof/>
            <w:webHidden/>
          </w:rPr>
          <w:fldChar w:fldCharType="begin"/>
        </w:r>
        <w:r w:rsidR="007647A2">
          <w:rPr>
            <w:noProof/>
            <w:webHidden/>
          </w:rPr>
          <w:instrText xml:space="preserve"> PAGEREF _Toc421534305 \h </w:instrText>
        </w:r>
        <w:r w:rsidR="007647A2">
          <w:rPr>
            <w:noProof/>
            <w:webHidden/>
          </w:rPr>
        </w:r>
        <w:r w:rsidR="007647A2">
          <w:rPr>
            <w:noProof/>
            <w:webHidden/>
          </w:rPr>
          <w:fldChar w:fldCharType="separate"/>
        </w:r>
        <w:r w:rsidR="007647A2">
          <w:rPr>
            <w:noProof/>
            <w:webHidden/>
          </w:rPr>
          <w:t>132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6" w:history="1">
        <w:r w:rsidR="007647A2" w:rsidRPr="00AC4D5B">
          <w:rPr>
            <w:rStyle w:val="Hypertextovodkaz"/>
            <w:noProof/>
          </w:rPr>
          <w:t>5.7.1</w:t>
        </w:r>
        <w:r w:rsidR="007647A2">
          <w:rPr>
            <w:rFonts w:asciiTheme="minorHAnsi" w:eastAsiaTheme="minorEastAsia" w:hAnsiTheme="minorHAnsi" w:cstheme="minorBidi"/>
            <w:noProof/>
            <w:szCs w:val="22"/>
          </w:rPr>
          <w:tab/>
        </w:r>
        <w:r w:rsidR="007647A2" w:rsidRPr="00AC4D5B">
          <w:rPr>
            <w:rStyle w:val="Hypertextovodkaz"/>
            <w:noProof/>
          </w:rPr>
          <w:t>Zaměření specifického cíle</w:t>
        </w:r>
        <w:r w:rsidR="007647A2">
          <w:rPr>
            <w:noProof/>
            <w:webHidden/>
          </w:rPr>
          <w:tab/>
        </w:r>
        <w:r w:rsidR="007647A2">
          <w:rPr>
            <w:noProof/>
            <w:webHidden/>
          </w:rPr>
          <w:fldChar w:fldCharType="begin"/>
        </w:r>
        <w:r w:rsidR="007647A2">
          <w:rPr>
            <w:noProof/>
            <w:webHidden/>
          </w:rPr>
          <w:instrText xml:space="preserve"> PAGEREF _Toc421534306 \h </w:instrText>
        </w:r>
        <w:r w:rsidR="007647A2">
          <w:rPr>
            <w:noProof/>
            <w:webHidden/>
          </w:rPr>
        </w:r>
        <w:r w:rsidR="007647A2">
          <w:rPr>
            <w:noProof/>
            <w:webHidden/>
          </w:rPr>
          <w:fldChar w:fldCharType="separate"/>
        </w:r>
        <w:r w:rsidR="007647A2">
          <w:rPr>
            <w:noProof/>
            <w:webHidden/>
          </w:rPr>
          <w:t>132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7" w:history="1">
        <w:r w:rsidR="007647A2" w:rsidRPr="00AC4D5B">
          <w:rPr>
            <w:rStyle w:val="Hypertextovodkaz"/>
            <w:noProof/>
            <w:lang w:eastAsia="en-US"/>
          </w:rPr>
          <w:t>5.7.2</w:t>
        </w:r>
        <w:r w:rsidR="007647A2">
          <w:rPr>
            <w:rFonts w:asciiTheme="minorHAnsi" w:eastAsiaTheme="minorEastAsia" w:hAnsiTheme="minorHAnsi" w:cstheme="minorBidi"/>
            <w:noProof/>
            <w:szCs w:val="22"/>
          </w:rPr>
          <w:tab/>
        </w:r>
        <w:r w:rsidR="007647A2" w:rsidRPr="00AC4D5B">
          <w:rPr>
            <w:rStyle w:val="Hypertextovodkaz"/>
            <w:noProof/>
            <w:lang w:eastAsia="en-US"/>
          </w:rPr>
          <w:t>Analýza selhání trhu</w:t>
        </w:r>
        <w:r w:rsidR="007647A2">
          <w:rPr>
            <w:noProof/>
            <w:webHidden/>
          </w:rPr>
          <w:tab/>
        </w:r>
        <w:r w:rsidR="007647A2">
          <w:rPr>
            <w:noProof/>
            <w:webHidden/>
          </w:rPr>
          <w:fldChar w:fldCharType="begin"/>
        </w:r>
        <w:r w:rsidR="007647A2">
          <w:rPr>
            <w:noProof/>
            <w:webHidden/>
          </w:rPr>
          <w:instrText xml:space="preserve"> PAGEREF _Toc421534307 \h </w:instrText>
        </w:r>
        <w:r w:rsidR="007647A2">
          <w:rPr>
            <w:noProof/>
            <w:webHidden/>
          </w:rPr>
        </w:r>
        <w:r w:rsidR="007647A2">
          <w:rPr>
            <w:noProof/>
            <w:webHidden/>
          </w:rPr>
          <w:fldChar w:fldCharType="separate"/>
        </w:r>
        <w:r w:rsidR="007647A2">
          <w:rPr>
            <w:noProof/>
            <w:webHidden/>
          </w:rPr>
          <w:t>133</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8" w:history="1">
        <w:r w:rsidR="007647A2" w:rsidRPr="00AC4D5B">
          <w:rPr>
            <w:rStyle w:val="Hypertextovodkaz"/>
            <w:noProof/>
            <w:lang w:eastAsia="en-US"/>
          </w:rPr>
          <w:t>5.7.3</w:t>
        </w:r>
        <w:r w:rsidR="007647A2">
          <w:rPr>
            <w:rFonts w:asciiTheme="minorHAnsi" w:eastAsiaTheme="minorEastAsia" w:hAnsiTheme="minorHAnsi" w:cstheme="minorBidi"/>
            <w:noProof/>
            <w:szCs w:val="22"/>
          </w:rPr>
          <w:tab/>
        </w:r>
        <w:r w:rsidR="007647A2" w:rsidRPr="00AC4D5B">
          <w:rPr>
            <w:rStyle w:val="Hypertextovodkaz"/>
            <w:noProof/>
            <w:lang w:eastAsia="en-US"/>
          </w:rPr>
          <w:t>Posouzení přidané hodnoty finančních nástrojů</w:t>
        </w:r>
        <w:r w:rsidR="007647A2">
          <w:rPr>
            <w:noProof/>
            <w:webHidden/>
          </w:rPr>
          <w:tab/>
        </w:r>
        <w:r w:rsidR="007647A2">
          <w:rPr>
            <w:noProof/>
            <w:webHidden/>
          </w:rPr>
          <w:fldChar w:fldCharType="begin"/>
        </w:r>
        <w:r w:rsidR="007647A2">
          <w:rPr>
            <w:noProof/>
            <w:webHidden/>
          </w:rPr>
          <w:instrText xml:space="preserve"> PAGEREF _Toc421534308 \h </w:instrText>
        </w:r>
        <w:r w:rsidR="007647A2">
          <w:rPr>
            <w:noProof/>
            <w:webHidden/>
          </w:rPr>
        </w:r>
        <w:r w:rsidR="007647A2">
          <w:rPr>
            <w:noProof/>
            <w:webHidden/>
          </w:rPr>
          <w:fldChar w:fldCharType="separate"/>
        </w:r>
        <w:r w:rsidR="007647A2">
          <w:rPr>
            <w:noProof/>
            <w:webHidden/>
          </w:rPr>
          <w:t>138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09" w:history="1">
        <w:r w:rsidR="007647A2" w:rsidRPr="00AC4D5B">
          <w:rPr>
            <w:rStyle w:val="Hypertextovodkaz"/>
            <w:noProof/>
          </w:rPr>
          <w:t>5.7.4</w:t>
        </w:r>
        <w:r w:rsidR="007647A2">
          <w:rPr>
            <w:rFonts w:asciiTheme="minorHAnsi" w:eastAsiaTheme="minorEastAsia" w:hAnsiTheme="minorHAnsi" w:cstheme="minorBidi"/>
            <w:noProof/>
            <w:szCs w:val="22"/>
          </w:rPr>
          <w:tab/>
        </w:r>
        <w:r w:rsidR="007647A2" w:rsidRPr="00AC4D5B">
          <w:rPr>
            <w:rStyle w:val="Hypertextovodkaz"/>
            <w:noProof/>
          </w:rPr>
          <w:t>Odhad dodatečných veřejných a soukromých zdrojů</w:t>
        </w:r>
        <w:r w:rsidR="007647A2">
          <w:rPr>
            <w:noProof/>
            <w:webHidden/>
          </w:rPr>
          <w:tab/>
        </w:r>
        <w:r w:rsidR="007647A2">
          <w:rPr>
            <w:noProof/>
            <w:webHidden/>
          </w:rPr>
          <w:fldChar w:fldCharType="begin"/>
        </w:r>
        <w:r w:rsidR="007647A2">
          <w:rPr>
            <w:noProof/>
            <w:webHidden/>
          </w:rPr>
          <w:instrText xml:space="preserve"> PAGEREF _Toc421534309 \h </w:instrText>
        </w:r>
        <w:r w:rsidR="007647A2">
          <w:rPr>
            <w:noProof/>
            <w:webHidden/>
          </w:rPr>
        </w:r>
        <w:r w:rsidR="007647A2">
          <w:rPr>
            <w:noProof/>
            <w:webHidden/>
          </w:rPr>
          <w:fldChar w:fldCharType="separate"/>
        </w:r>
        <w:r w:rsidR="007647A2">
          <w:rPr>
            <w:noProof/>
            <w:webHidden/>
          </w:rPr>
          <w:t>141</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10" w:history="1">
        <w:r w:rsidR="007647A2" w:rsidRPr="00AC4D5B">
          <w:rPr>
            <w:rStyle w:val="Hypertextovodkaz"/>
            <w:noProof/>
            <w:lang w:eastAsia="en-US"/>
          </w:rPr>
          <w:t>5.8</w:t>
        </w:r>
        <w:r w:rsidR="007647A2">
          <w:rPr>
            <w:rFonts w:asciiTheme="minorHAnsi" w:eastAsiaTheme="minorEastAsia" w:hAnsiTheme="minorHAnsi" w:cstheme="minorBidi"/>
            <w:noProof/>
            <w:szCs w:val="22"/>
          </w:rPr>
          <w:tab/>
        </w:r>
        <w:r w:rsidR="007647A2" w:rsidRPr="00AC4D5B">
          <w:rPr>
            <w:rStyle w:val="Hypertextovodkaz"/>
            <w:noProof/>
            <w:lang w:eastAsia="en-US"/>
          </w:rPr>
          <w:t xml:space="preserve">Specifický cíl 4.1- </w:t>
        </w:r>
        <w:r w:rsidR="007647A2" w:rsidRPr="00AC4D5B">
          <w:rPr>
            <w:rStyle w:val="Hypertextovodkaz"/>
            <w:noProof/>
          </w:rPr>
          <w:t>Zvětšit pokrytí vysokorychlostním přístupem k internetu</w:t>
        </w:r>
        <w:r w:rsidR="007647A2">
          <w:rPr>
            <w:noProof/>
            <w:webHidden/>
          </w:rPr>
          <w:tab/>
        </w:r>
        <w:r w:rsidR="007647A2">
          <w:rPr>
            <w:noProof/>
            <w:webHidden/>
          </w:rPr>
          <w:fldChar w:fldCharType="begin"/>
        </w:r>
        <w:r w:rsidR="007647A2">
          <w:rPr>
            <w:noProof/>
            <w:webHidden/>
          </w:rPr>
          <w:instrText xml:space="preserve"> PAGEREF _Toc421534310 \h </w:instrText>
        </w:r>
        <w:r w:rsidR="007647A2">
          <w:rPr>
            <w:noProof/>
            <w:webHidden/>
          </w:rPr>
        </w:r>
        <w:r w:rsidR="007647A2">
          <w:rPr>
            <w:noProof/>
            <w:webHidden/>
          </w:rPr>
          <w:fldChar w:fldCharType="separate"/>
        </w:r>
        <w:r w:rsidR="007647A2">
          <w:rPr>
            <w:noProof/>
            <w:webHidden/>
          </w:rPr>
          <w:t>142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1" w:history="1">
        <w:r w:rsidR="007647A2" w:rsidRPr="00AC4D5B">
          <w:rPr>
            <w:rStyle w:val="Hypertextovodkaz"/>
            <w:noProof/>
          </w:rPr>
          <w:t>5.8.1</w:t>
        </w:r>
        <w:r w:rsidR="007647A2">
          <w:rPr>
            <w:rFonts w:asciiTheme="minorHAnsi" w:eastAsiaTheme="minorEastAsia" w:hAnsiTheme="minorHAnsi" w:cstheme="minorBidi"/>
            <w:noProof/>
            <w:szCs w:val="22"/>
          </w:rPr>
          <w:tab/>
        </w:r>
        <w:r w:rsidR="007647A2" w:rsidRPr="00AC4D5B">
          <w:rPr>
            <w:rStyle w:val="Hypertextovodkaz"/>
            <w:noProof/>
          </w:rPr>
          <w:t>Zaměření specifického cíle</w:t>
        </w:r>
        <w:r w:rsidR="007647A2">
          <w:rPr>
            <w:noProof/>
            <w:webHidden/>
          </w:rPr>
          <w:tab/>
        </w:r>
        <w:r w:rsidR="007647A2">
          <w:rPr>
            <w:noProof/>
            <w:webHidden/>
          </w:rPr>
          <w:fldChar w:fldCharType="begin"/>
        </w:r>
        <w:r w:rsidR="007647A2">
          <w:rPr>
            <w:noProof/>
            <w:webHidden/>
          </w:rPr>
          <w:instrText xml:space="preserve"> PAGEREF _Toc421534311 \h </w:instrText>
        </w:r>
        <w:r w:rsidR="007647A2">
          <w:rPr>
            <w:noProof/>
            <w:webHidden/>
          </w:rPr>
        </w:r>
        <w:r w:rsidR="007647A2">
          <w:rPr>
            <w:noProof/>
            <w:webHidden/>
          </w:rPr>
          <w:fldChar w:fldCharType="separate"/>
        </w:r>
        <w:r w:rsidR="007647A2">
          <w:rPr>
            <w:noProof/>
            <w:webHidden/>
          </w:rPr>
          <w:t>142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2" w:history="1">
        <w:r w:rsidR="007647A2" w:rsidRPr="00AC4D5B">
          <w:rPr>
            <w:rStyle w:val="Hypertextovodkaz"/>
            <w:noProof/>
          </w:rPr>
          <w:t>5.8.2</w:t>
        </w:r>
        <w:r w:rsidR="007647A2">
          <w:rPr>
            <w:rFonts w:asciiTheme="minorHAnsi" w:eastAsiaTheme="minorEastAsia" w:hAnsiTheme="minorHAnsi" w:cstheme="minorBidi"/>
            <w:noProof/>
            <w:szCs w:val="22"/>
          </w:rPr>
          <w:tab/>
        </w:r>
        <w:r w:rsidR="007647A2" w:rsidRPr="00AC4D5B">
          <w:rPr>
            <w:rStyle w:val="Hypertextovodkaz"/>
            <w:noProof/>
          </w:rPr>
          <w:t>Analýza selhání trhu</w:t>
        </w:r>
        <w:r w:rsidR="007647A2">
          <w:rPr>
            <w:noProof/>
            <w:webHidden/>
          </w:rPr>
          <w:tab/>
        </w:r>
        <w:r w:rsidR="007647A2">
          <w:rPr>
            <w:noProof/>
            <w:webHidden/>
          </w:rPr>
          <w:fldChar w:fldCharType="begin"/>
        </w:r>
        <w:r w:rsidR="007647A2">
          <w:rPr>
            <w:noProof/>
            <w:webHidden/>
          </w:rPr>
          <w:instrText xml:space="preserve"> PAGEREF _Toc421534312 \h </w:instrText>
        </w:r>
        <w:r w:rsidR="007647A2">
          <w:rPr>
            <w:noProof/>
            <w:webHidden/>
          </w:rPr>
        </w:r>
        <w:r w:rsidR="007647A2">
          <w:rPr>
            <w:noProof/>
            <w:webHidden/>
          </w:rPr>
          <w:fldChar w:fldCharType="separate"/>
        </w:r>
        <w:r w:rsidR="007647A2">
          <w:rPr>
            <w:noProof/>
            <w:webHidden/>
          </w:rPr>
          <w:t>143</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313" w:history="1">
        <w:r w:rsidR="007647A2" w:rsidRPr="00AC4D5B">
          <w:rPr>
            <w:rStyle w:val="Hypertextovodkaz"/>
            <w:noProof/>
          </w:rPr>
          <w:t>6</w:t>
        </w:r>
        <w:r w:rsidR="007647A2">
          <w:rPr>
            <w:rFonts w:asciiTheme="minorHAnsi" w:eastAsiaTheme="minorEastAsia" w:hAnsiTheme="minorHAnsi" w:cstheme="minorBidi"/>
            <w:noProof/>
            <w:szCs w:val="22"/>
          </w:rPr>
          <w:tab/>
        </w:r>
        <w:r w:rsidR="007647A2" w:rsidRPr="00AC4D5B">
          <w:rPr>
            <w:rStyle w:val="Hypertextovodkaz"/>
            <w:noProof/>
          </w:rPr>
          <w:t>Blok II.: Návrh vhodné strategie</w:t>
        </w:r>
        <w:r w:rsidR="007647A2">
          <w:rPr>
            <w:noProof/>
            <w:webHidden/>
          </w:rPr>
          <w:tab/>
        </w:r>
        <w:r w:rsidR="007647A2">
          <w:rPr>
            <w:noProof/>
            <w:webHidden/>
          </w:rPr>
          <w:fldChar w:fldCharType="begin"/>
        </w:r>
        <w:r w:rsidR="007647A2">
          <w:rPr>
            <w:noProof/>
            <w:webHidden/>
          </w:rPr>
          <w:instrText xml:space="preserve"> PAGEREF _Toc421534313 \h </w:instrText>
        </w:r>
        <w:r w:rsidR="007647A2">
          <w:rPr>
            <w:noProof/>
            <w:webHidden/>
          </w:rPr>
        </w:r>
        <w:r w:rsidR="007647A2">
          <w:rPr>
            <w:noProof/>
            <w:webHidden/>
          </w:rPr>
          <w:fldChar w:fldCharType="separate"/>
        </w:r>
        <w:r w:rsidR="007647A2">
          <w:rPr>
            <w:noProof/>
            <w:webHidden/>
          </w:rPr>
          <w:t>148</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14" w:history="1">
        <w:r w:rsidR="007647A2" w:rsidRPr="00AC4D5B">
          <w:rPr>
            <w:rStyle w:val="Hypertextovodkaz"/>
            <w:noProof/>
          </w:rPr>
          <w:t>6.1</w:t>
        </w:r>
        <w:r w:rsidR="007647A2">
          <w:rPr>
            <w:rFonts w:asciiTheme="minorHAnsi" w:eastAsiaTheme="minorEastAsia" w:hAnsiTheme="minorHAnsi" w:cstheme="minorBidi"/>
            <w:noProof/>
            <w:szCs w:val="22"/>
          </w:rPr>
          <w:tab/>
        </w:r>
        <w:r w:rsidR="007647A2" w:rsidRPr="00AC4D5B">
          <w:rPr>
            <w:rStyle w:val="Hypertextovodkaz"/>
            <w:noProof/>
          </w:rPr>
          <w:t>Posouzení zkušeností získaných v minulosti</w:t>
        </w:r>
        <w:r w:rsidR="007647A2">
          <w:rPr>
            <w:noProof/>
            <w:webHidden/>
          </w:rPr>
          <w:tab/>
        </w:r>
        <w:r w:rsidR="007647A2">
          <w:rPr>
            <w:noProof/>
            <w:webHidden/>
          </w:rPr>
          <w:fldChar w:fldCharType="begin"/>
        </w:r>
        <w:r w:rsidR="007647A2">
          <w:rPr>
            <w:noProof/>
            <w:webHidden/>
          </w:rPr>
          <w:instrText xml:space="preserve"> PAGEREF _Toc421534314 \h </w:instrText>
        </w:r>
        <w:r w:rsidR="007647A2">
          <w:rPr>
            <w:noProof/>
            <w:webHidden/>
          </w:rPr>
        </w:r>
        <w:r w:rsidR="007647A2">
          <w:rPr>
            <w:noProof/>
            <w:webHidden/>
          </w:rPr>
          <w:fldChar w:fldCharType="separate"/>
        </w:r>
        <w:r w:rsidR="007647A2">
          <w:rPr>
            <w:noProof/>
            <w:webHidden/>
          </w:rPr>
          <w:t>148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5" w:history="1">
        <w:r w:rsidR="007647A2" w:rsidRPr="00AC4D5B">
          <w:rPr>
            <w:rStyle w:val="Hypertextovodkaz"/>
            <w:noProof/>
          </w:rPr>
          <w:t>6.1.1</w:t>
        </w:r>
        <w:r w:rsidR="007647A2">
          <w:rPr>
            <w:rFonts w:asciiTheme="minorHAnsi" w:eastAsiaTheme="minorEastAsia" w:hAnsiTheme="minorHAnsi" w:cstheme="minorBidi"/>
            <w:noProof/>
            <w:szCs w:val="22"/>
          </w:rPr>
          <w:tab/>
        </w:r>
        <w:r w:rsidR="007647A2" w:rsidRPr="00AC4D5B">
          <w:rPr>
            <w:rStyle w:val="Hypertextovodkaz"/>
            <w:noProof/>
          </w:rPr>
          <w:t>Specifický cíl 1.1</w:t>
        </w:r>
        <w:r w:rsidR="007647A2">
          <w:rPr>
            <w:noProof/>
            <w:webHidden/>
          </w:rPr>
          <w:tab/>
        </w:r>
        <w:r w:rsidR="007647A2">
          <w:rPr>
            <w:noProof/>
            <w:webHidden/>
          </w:rPr>
          <w:fldChar w:fldCharType="begin"/>
        </w:r>
        <w:r w:rsidR="007647A2">
          <w:rPr>
            <w:noProof/>
            <w:webHidden/>
          </w:rPr>
          <w:instrText xml:space="preserve"> PAGEREF _Toc421534315 \h </w:instrText>
        </w:r>
        <w:r w:rsidR="007647A2">
          <w:rPr>
            <w:noProof/>
            <w:webHidden/>
          </w:rPr>
        </w:r>
        <w:r w:rsidR="007647A2">
          <w:rPr>
            <w:noProof/>
            <w:webHidden/>
          </w:rPr>
          <w:fldChar w:fldCharType="separate"/>
        </w:r>
        <w:r w:rsidR="007647A2">
          <w:rPr>
            <w:noProof/>
            <w:webHidden/>
          </w:rPr>
          <w:t>148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6" w:history="1">
        <w:r w:rsidR="007647A2" w:rsidRPr="00AC4D5B">
          <w:rPr>
            <w:rStyle w:val="Hypertextovodkaz"/>
            <w:noProof/>
          </w:rPr>
          <w:t>6.1.2</w:t>
        </w:r>
        <w:r w:rsidR="007647A2">
          <w:rPr>
            <w:rFonts w:asciiTheme="minorHAnsi" w:eastAsiaTheme="minorEastAsia" w:hAnsiTheme="minorHAnsi" w:cstheme="minorBidi"/>
            <w:noProof/>
            <w:szCs w:val="22"/>
          </w:rPr>
          <w:tab/>
        </w:r>
        <w:r w:rsidR="007647A2" w:rsidRPr="00AC4D5B">
          <w:rPr>
            <w:rStyle w:val="Hypertextovodkaz"/>
            <w:noProof/>
          </w:rPr>
          <w:t>Specifický cíl 1.2</w:t>
        </w:r>
        <w:r w:rsidR="007647A2">
          <w:rPr>
            <w:noProof/>
            <w:webHidden/>
          </w:rPr>
          <w:tab/>
        </w:r>
        <w:r w:rsidR="007647A2">
          <w:rPr>
            <w:noProof/>
            <w:webHidden/>
          </w:rPr>
          <w:fldChar w:fldCharType="begin"/>
        </w:r>
        <w:r w:rsidR="007647A2">
          <w:rPr>
            <w:noProof/>
            <w:webHidden/>
          </w:rPr>
          <w:instrText xml:space="preserve"> PAGEREF _Toc421534316 \h </w:instrText>
        </w:r>
        <w:r w:rsidR="007647A2">
          <w:rPr>
            <w:noProof/>
            <w:webHidden/>
          </w:rPr>
        </w:r>
        <w:r w:rsidR="007647A2">
          <w:rPr>
            <w:noProof/>
            <w:webHidden/>
          </w:rPr>
          <w:fldChar w:fldCharType="separate"/>
        </w:r>
        <w:r w:rsidR="007647A2">
          <w:rPr>
            <w:noProof/>
            <w:webHidden/>
          </w:rPr>
          <w:t>149</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7" w:history="1">
        <w:r w:rsidR="007647A2" w:rsidRPr="00AC4D5B">
          <w:rPr>
            <w:rStyle w:val="Hypertextovodkaz"/>
            <w:noProof/>
          </w:rPr>
          <w:t>6.1.3</w:t>
        </w:r>
        <w:r w:rsidR="007647A2">
          <w:rPr>
            <w:rFonts w:asciiTheme="minorHAnsi" w:eastAsiaTheme="minorEastAsia" w:hAnsiTheme="minorHAnsi" w:cstheme="minorBidi"/>
            <w:noProof/>
            <w:szCs w:val="22"/>
          </w:rPr>
          <w:tab/>
        </w:r>
        <w:r w:rsidR="007647A2" w:rsidRPr="00AC4D5B">
          <w:rPr>
            <w:rStyle w:val="Hypertextovodkaz"/>
            <w:noProof/>
          </w:rPr>
          <w:t>Specifický cíl 2.1</w:t>
        </w:r>
        <w:r w:rsidR="007647A2">
          <w:rPr>
            <w:noProof/>
            <w:webHidden/>
          </w:rPr>
          <w:tab/>
        </w:r>
        <w:r w:rsidR="007647A2">
          <w:rPr>
            <w:noProof/>
            <w:webHidden/>
          </w:rPr>
          <w:fldChar w:fldCharType="begin"/>
        </w:r>
        <w:r w:rsidR="007647A2">
          <w:rPr>
            <w:noProof/>
            <w:webHidden/>
          </w:rPr>
          <w:instrText xml:space="preserve"> PAGEREF _Toc421534317 \h </w:instrText>
        </w:r>
        <w:r w:rsidR="007647A2">
          <w:rPr>
            <w:noProof/>
            <w:webHidden/>
          </w:rPr>
        </w:r>
        <w:r w:rsidR="007647A2">
          <w:rPr>
            <w:noProof/>
            <w:webHidden/>
          </w:rPr>
          <w:fldChar w:fldCharType="separate"/>
        </w:r>
        <w:r w:rsidR="007647A2">
          <w:rPr>
            <w:noProof/>
            <w:webHidden/>
          </w:rPr>
          <w:t>152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8" w:history="1">
        <w:r w:rsidR="007647A2" w:rsidRPr="00AC4D5B">
          <w:rPr>
            <w:rStyle w:val="Hypertextovodkaz"/>
            <w:noProof/>
          </w:rPr>
          <w:t>6.1.4</w:t>
        </w:r>
        <w:r w:rsidR="007647A2">
          <w:rPr>
            <w:rFonts w:asciiTheme="minorHAnsi" w:eastAsiaTheme="minorEastAsia" w:hAnsiTheme="minorHAnsi" w:cstheme="minorBidi"/>
            <w:noProof/>
            <w:szCs w:val="22"/>
          </w:rPr>
          <w:tab/>
        </w:r>
        <w:r w:rsidR="007647A2" w:rsidRPr="00AC4D5B">
          <w:rPr>
            <w:rStyle w:val="Hypertextovodkaz"/>
            <w:noProof/>
          </w:rPr>
          <w:t>Specifický cíl 2.3</w:t>
        </w:r>
        <w:r w:rsidR="007647A2">
          <w:rPr>
            <w:noProof/>
            <w:webHidden/>
          </w:rPr>
          <w:tab/>
        </w:r>
        <w:r w:rsidR="007647A2">
          <w:rPr>
            <w:noProof/>
            <w:webHidden/>
          </w:rPr>
          <w:fldChar w:fldCharType="begin"/>
        </w:r>
        <w:r w:rsidR="007647A2">
          <w:rPr>
            <w:noProof/>
            <w:webHidden/>
          </w:rPr>
          <w:instrText xml:space="preserve"> PAGEREF _Toc421534318 \h </w:instrText>
        </w:r>
        <w:r w:rsidR="007647A2">
          <w:rPr>
            <w:noProof/>
            <w:webHidden/>
          </w:rPr>
        </w:r>
        <w:r w:rsidR="007647A2">
          <w:rPr>
            <w:noProof/>
            <w:webHidden/>
          </w:rPr>
          <w:fldChar w:fldCharType="separate"/>
        </w:r>
        <w:r w:rsidR="007647A2">
          <w:rPr>
            <w:noProof/>
            <w:webHidden/>
          </w:rPr>
          <w:t>157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19" w:history="1">
        <w:r w:rsidR="007647A2" w:rsidRPr="00AC4D5B">
          <w:rPr>
            <w:rStyle w:val="Hypertextovodkaz"/>
            <w:noProof/>
          </w:rPr>
          <w:t>6.1.5</w:t>
        </w:r>
        <w:r w:rsidR="007647A2">
          <w:rPr>
            <w:rFonts w:asciiTheme="minorHAnsi" w:eastAsiaTheme="minorEastAsia" w:hAnsiTheme="minorHAnsi" w:cstheme="minorBidi"/>
            <w:noProof/>
            <w:szCs w:val="22"/>
          </w:rPr>
          <w:tab/>
        </w:r>
        <w:r w:rsidR="007647A2" w:rsidRPr="00AC4D5B">
          <w:rPr>
            <w:rStyle w:val="Hypertextovodkaz"/>
            <w:noProof/>
          </w:rPr>
          <w:t>Specifický cíl 3.1</w:t>
        </w:r>
        <w:r w:rsidR="007647A2">
          <w:rPr>
            <w:noProof/>
            <w:webHidden/>
          </w:rPr>
          <w:tab/>
        </w:r>
        <w:r w:rsidR="007647A2">
          <w:rPr>
            <w:noProof/>
            <w:webHidden/>
          </w:rPr>
          <w:fldChar w:fldCharType="begin"/>
        </w:r>
        <w:r w:rsidR="007647A2">
          <w:rPr>
            <w:noProof/>
            <w:webHidden/>
          </w:rPr>
          <w:instrText xml:space="preserve"> PAGEREF _Toc421534319 \h </w:instrText>
        </w:r>
        <w:r w:rsidR="007647A2">
          <w:rPr>
            <w:noProof/>
            <w:webHidden/>
          </w:rPr>
        </w:r>
        <w:r w:rsidR="007647A2">
          <w:rPr>
            <w:noProof/>
            <w:webHidden/>
          </w:rPr>
          <w:fldChar w:fldCharType="separate"/>
        </w:r>
        <w:r w:rsidR="007647A2">
          <w:rPr>
            <w:noProof/>
            <w:webHidden/>
          </w:rPr>
          <w:t>161</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0" w:history="1">
        <w:r w:rsidR="007647A2" w:rsidRPr="00AC4D5B">
          <w:rPr>
            <w:rStyle w:val="Hypertextovodkaz"/>
            <w:noProof/>
          </w:rPr>
          <w:t>6.1.6</w:t>
        </w:r>
        <w:r w:rsidR="007647A2">
          <w:rPr>
            <w:rFonts w:asciiTheme="minorHAnsi" w:eastAsiaTheme="minorEastAsia" w:hAnsiTheme="minorHAnsi" w:cstheme="minorBidi"/>
            <w:noProof/>
            <w:szCs w:val="22"/>
          </w:rPr>
          <w:tab/>
        </w:r>
        <w:r w:rsidR="007647A2" w:rsidRPr="00AC4D5B">
          <w:rPr>
            <w:rStyle w:val="Hypertextovodkaz"/>
            <w:noProof/>
          </w:rPr>
          <w:t>Specifický cíl 3.2</w:t>
        </w:r>
        <w:r w:rsidR="007647A2">
          <w:rPr>
            <w:noProof/>
            <w:webHidden/>
          </w:rPr>
          <w:tab/>
        </w:r>
        <w:r w:rsidR="007647A2">
          <w:rPr>
            <w:noProof/>
            <w:webHidden/>
          </w:rPr>
          <w:fldChar w:fldCharType="begin"/>
        </w:r>
        <w:r w:rsidR="007647A2">
          <w:rPr>
            <w:noProof/>
            <w:webHidden/>
          </w:rPr>
          <w:instrText xml:space="preserve"> PAGEREF _Toc421534320 \h </w:instrText>
        </w:r>
        <w:r w:rsidR="007647A2">
          <w:rPr>
            <w:noProof/>
            <w:webHidden/>
          </w:rPr>
        </w:r>
        <w:r w:rsidR="007647A2">
          <w:rPr>
            <w:noProof/>
            <w:webHidden/>
          </w:rPr>
          <w:fldChar w:fldCharType="separate"/>
        </w:r>
        <w:r w:rsidR="007647A2">
          <w:rPr>
            <w:noProof/>
            <w:webHidden/>
          </w:rPr>
          <w:t>162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1" w:history="1">
        <w:r w:rsidR="007647A2" w:rsidRPr="00AC4D5B">
          <w:rPr>
            <w:rStyle w:val="Hypertextovodkaz"/>
            <w:noProof/>
          </w:rPr>
          <w:t>6.1.7</w:t>
        </w:r>
        <w:r w:rsidR="007647A2">
          <w:rPr>
            <w:rFonts w:asciiTheme="minorHAnsi" w:eastAsiaTheme="minorEastAsia" w:hAnsiTheme="minorHAnsi" w:cstheme="minorBidi"/>
            <w:noProof/>
            <w:szCs w:val="22"/>
          </w:rPr>
          <w:tab/>
        </w:r>
        <w:r w:rsidR="007647A2" w:rsidRPr="00AC4D5B">
          <w:rPr>
            <w:rStyle w:val="Hypertextovodkaz"/>
            <w:noProof/>
          </w:rPr>
          <w:t>Specifický cíl 3.5</w:t>
        </w:r>
        <w:r w:rsidR="007647A2">
          <w:rPr>
            <w:noProof/>
            <w:webHidden/>
          </w:rPr>
          <w:tab/>
        </w:r>
        <w:r w:rsidR="007647A2">
          <w:rPr>
            <w:noProof/>
            <w:webHidden/>
          </w:rPr>
          <w:fldChar w:fldCharType="begin"/>
        </w:r>
        <w:r w:rsidR="007647A2">
          <w:rPr>
            <w:noProof/>
            <w:webHidden/>
          </w:rPr>
          <w:instrText xml:space="preserve"> PAGEREF _Toc421534321 \h </w:instrText>
        </w:r>
        <w:r w:rsidR="007647A2">
          <w:rPr>
            <w:noProof/>
            <w:webHidden/>
          </w:rPr>
        </w:r>
        <w:r w:rsidR="007647A2">
          <w:rPr>
            <w:noProof/>
            <w:webHidden/>
          </w:rPr>
          <w:fldChar w:fldCharType="separate"/>
        </w:r>
        <w:r w:rsidR="007647A2">
          <w:rPr>
            <w:noProof/>
            <w:webHidden/>
          </w:rPr>
          <w:t>164</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2" w:history="1">
        <w:r w:rsidR="007647A2" w:rsidRPr="00AC4D5B">
          <w:rPr>
            <w:rStyle w:val="Hypertextovodkaz"/>
            <w:noProof/>
          </w:rPr>
          <w:t>6.1.8</w:t>
        </w:r>
        <w:r w:rsidR="007647A2">
          <w:rPr>
            <w:rFonts w:asciiTheme="minorHAnsi" w:eastAsiaTheme="minorEastAsia" w:hAnsiTheme="minorHAnsi" w:cstheme="minorBidi"/>
            <w:noProof/>
            <w:szCs w:val="22"/>
          </w:rPr>
          <w:tab/>
        </w:r>
        <w:r w:rsidR="007647A2" w:rsidRPr="00AC4D5B">
          <w:rPr>
            <w:rStyle w:val="Hypertextovodkaz"/>
            <w:noProof/>
          </w:rPr>
          <w:t>Specifický cíl 4.1</w:t>
        </w:r>
        <w:r w:rsidR="007647A2">
          <w:rPr>
            <w:noProof/>
            <w:webHidden/>
          </w:rPr>
          <w:tab/>
        </w:r>
        <w:r w:rsidR="007647A2">
          <w:rPr>
            <w:noProof/>
            <w:webHidden/>
          </w:rPr>
          <w:fldChar w:fldCharType="begin"/>
        </w:r>
        <w:r w:rsidR="007647A2">
          <w:rPr>
            <w:noProof/>
            <w:webHidden/>
          </w:rPr>
          <w:instrText xml:space="preserve"> PAGEREF _Toc421534322 \h </w:instrText>
        </w:r>
        <w:r w:rsidR="007647A2">
          <w:rPr>
            <w:noProof/>
            <w:webHidden/>
          </w:rPr>
        </w:r>
        <w:r w:rsidR="007647A2">
          <w:rPr>
            <w:noProof/>
            <w:webHidden/>
          </w:rPr>
          <w:fldChar w:fldCharType="separate"/>
        </w:r>
        <w:r w:rsidR="007647A2">
          <w:rPr>
            <w:noProof/>
            <w:webHidden/>
          </w:rPr>
          <w:t>165</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23" w:history="1">
        <w:r w:rsidR="007647A2" w:rsidRPr="00AC4D5B">
          <w:rPr>
            <w:rStyle w:val="Hypertextovodkaz"/>
            <w:noProof/>
          </w:rPr>
          <w:t>6.2</w:t>
        </w:r>
        <w:r w:rsidR="007647A2">
          <w:rPr>
            <w:rFonts w:asciiTheme="minorHAnsi" w:eastAsiaTheme="minorEastAsia" w:hAnsiTheme="minorHAnsi" w:cstheme="minorBidi"/>
            <w:noProof/>
            <w:szCs w:val="22"/>
          </w:rPr>
          <w:tab/>
        </w:r>
        <w:r w:rsidR="007647A2" w:rsidRPr="00AC4D5B">
          <w:rPr>
            <w:rStyle w:val="Hypertextovodkaz"/>
            <w:noProof/>
          </w:rPr>
          <w:t>Navrhovaná investiční strategie a očekávané výsledky</w:t>
        </w:r>
        <w:r w:rsidR="007647A2">
          <w:rPr>
            <w:noProof/>
            <w:webHidden/>
          </w:rPr>
          <w:tab/>
        </w:r>
        <w:r w:rsidR="007647A2">
          <w:rPr>
            <w:noProof/>
            <w:webHidden/>
          </w:rPr>
          <w:fldChar w:fldCharType="begin"/>
        </w:r>
        <w:r w:rsidR="007647A2">
          <w:rPr>
            <w:noProof/>
            <w:webHidden/>
          </w:rPr>
          <w:instrText xml:space="preserve"> PAGEREF _Toc421534323 \h </w:instrText>
        </w:r>
        <w:r w:rsidR="007647A2">
          <w:rPr>
            <w:noProof/>
            <w:webHidden/>
          </w:rPr>
        </w:r>
        <w:r w:rsidR="007647A2">
          <w:rPr>
            <w:noProof/>
            <w:webHidden/>
          </w:rPr>
          <w:fldChar w:fldCharType="separate"/>
        </w:r>
        <w:r w:rsidR="007647A2">
          <w:rPr>
            <w:noProof/>
            <w:webHidden/>
          </w:rPr>
          <w:t>167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4" w:history="1">
        <w:r w:rsidR="007647A2" w:rsidRPr="00AC4D5B">
          <w:rPr>
            <w:rStyle w:val="Hypertextovodkaz"/>
            <w:noProof/>
          </w:rPr>
          <w:t>6.2.1</w:t>
        </w:r>
        <w:r w:rsidR="007647A2">
          <w:rPr>
            <w:rFonts w:asciiTheme="minorHAnsi" w:eastAsiaTheme="minorEastAsia" w:hAnsiTheme="minorHAnsi" w:cstheme="minorBidi"/>
            <w:noProof/>
            <w:szCs w:val="22"/>
          </w:rPr>
          <w:tab/>
        </w:r>
        <w:r w:rsidR="007647A2" w:rsidRPr="00AC4D5B">
          <w:rPr>
            <w:rStyle w:val="Hypertextovodkaz"/>
            <w:noProof/>
          </w:rPr>
          <w:t>Specifický cíl 1.1</w:t>
        </w:r>
        <w:r w:rsidR="007647A2">
          <w:rPr>
            <w:noProof/>
            <w:webHidden/>
          </w:rPr>
          <w:tab/>
        </w:r>
        <w:r w:rsidR="007647A2">
          <w:rPr>
            <w:noProof/>
            <w:webHidden/>
          </w:rPr>
          <w:fldChar w:fldCharType="begin"/>
        </w:r>
        <w:r w:rsidR="007647A2">
          <w:rPr>
            <w:noProof/>
            <w:webHidden/>
          </w:rPr>
          <w:instrText xml:space="preserve"> PAGEREF _Toc421534324 \h </w:instrText>
        </w:r>
        <w:r w:rsidR="007647A2">
          <w:rPr>
            <w:noProof/>
            <w:webHidden/>
          </w:rPr>
        </w:r>
        <w:r w:rsidR="007647A2">
          <w:rPr>
            <w:noProof/>
            <w:webHidden/>
          </w:rPr>
          <w:fldChar w:fldCharType="separate"/>
        </w:r>
        <w:r w:rsidR="007647A2">
          <w:rPr>
            <w:noProof/>
            <w:webHidden/>
          </w:rPr>
          <w:t>167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5" w:history="1">
        <w:r w:rsidR="007647A2" w:rsidRPr="00AC4D5B">
          <w:rPr>
            <w:rStyle w:val="Hypertextovodkaz"/>
            <w:noProof/>
          </w:rPr>
          <w:t>6.2.2</w:t>
        </w:r>
        <w:r w:rsidR="007647A2">
          <w:rPr>
            <w:rFonts w:asciiTheme="minorHAnsi" w:eastAsiaTheme="minorEastAsia" w:hAnsiTheme="minorHAnsi" w:cstheme="minorBidi"/>
            <w:noProof/>
            <w:szCs w:val="22"/>
          </w:rPr>
          <w:tab/>
        </w:r>
        <w:r w:rsidR="007647A2" w:rsidRPr="00AC4D5B">
          <w:rPr>
            <w:rStyle w:val="Hypertextovodkaz"/>
            <w:noProof/>
          </w:rPr>
          <w:t>Specifický cíl 1.2</w:t>
        </w:r>
        <w:r w:rsidR="007647A2">
          <w:rPr>
            <w:noProof/>
            <w:webHidden/>
          </w:rPr>
          <w:tab/>
        </w:r>
        <w:r w:rsidR="007647A2">
          <w:rPr>
            <w:noProof/>
            <w:webHidden/>
          </w:rPr>
          <w:fldChar w:fldCharType="begin"/>
        </w:r>
        <w:r w:rsidR="007647A2">
          <w:rPr>
            <w:noProof/>
            <w:webHidden/>
          </w:rPr>
          <w:instrText xml:space="preserve"> PAGEREF _Toc421534325 \h </w:instrText>
        </w:r>
        <w:r w:rsidR="007647A2">
          <w:rPr>
            <w:noProof/>
            <w:webHidden/>
          </w:rPr>
        </w:r>
        <w:r w:rsidR="007647A2">
          <w:rPr>
            <w:noProof/>
            <w:webHidden/>
          </w:rPr>
          <w:fldChar w:fldCharType="separate"/>
        </w:r>
        <w:r w:rsidR="007647A2">
          <w:rPr>
            <w:noProof/>
            <w:webHidden/>
          </w:rPr>
          <w:t>171</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6" w:history="1">
        <w:r w:rsidR="007647A2" w:rsidRPr="00AC4D5B">
          <w:rPr>
            <w:rStyle w:val="Hypertextovodkaz"/>
            <w:noProof/>
          </w:rPr>
          <w:t>6.2.3</w:t>
        </w:r>
        <w:r w:rsidR="007647A2">
          <w:rPr>
            <w:rFonts w:asciiTheme="minorHAnsi" w:eastAsiaTheme="minorEastAsia" w:hAnsiTheme="minorHAnsi" w:cstheme="minorBidi"/>
            <w:noProof/>
            <w:szCs w:val="22"/>
          </w:rPr>
          <w:tab/>
        </w:r>
        <w:r w:rsidR="007647A2" w:rsidRPr="00AC4D5B">
          <w:rPr>
            <w:rStyle w:val="Hypertextovodkaz"/>
            <w:noProof/>
          </w:rPr>
          <w:t>Specifický cíl 2.1</w:t>
        </w:r>
        <w:r w:rsidR="007647A2">
          <w:rPr>
            <w:noProof/>
            <w:webHidden/>
          </w:rPr>
          <w:tab/>
        </w:r>
        <w:r w:rsidR="007647A2">
          <w:rPr>
            <w:noProof/>
            <w:webHidden/>
          </w:rPr>
          <w:fldChar w:fldCharType="begin"/>
        </w:r>
        <w:r w:rsidR="007647A2">
          <w:rPr>
            <w:noProof/>
            <w:webHidden/>
          </w:rPr>
          <w:instrText xml:space="preserve"> PAGEREF _Toc421534326 \h </w:instrText>
        </w:r>
        <w:r w:rsidR="007647A2">
          <w:rPr>
            <w:noProof/>
            <w:webHidden/>
          </w:rPr>
        </w:r>
        <w:r w:rsidR="007647A2">
          <w:rPr>
            <w:noProof/>
            <w:webHidden/>
          </w:rPr>
          <w:fldChar w:fldCharType="separate"/>
        </w:r>
        <w:r w:rsidR="007647A2">
          <w:rPr>
            <w:noProof/>
            <w:webHidden/>
          </w:rPr>
          <w:t>178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7" w:history="1">
        <w:r w:rsidR="007647A2" w:rsidRPr="00AC4D5B">
          <w:rPr>
            <w:rStyle w:val="Hypertextovodkaz"/>
            <w:noProof/>
          </w:rPr>
          <w:t>6.2.4</w:t>
        </w:r>
        <w:r w:rsidR="007647A2">
          <w:rPr>
            <w:rFonts w:asciiTheme="minorHAnsi" w:eastAsiaTheme="minorEastAsia" w:hAnsiTheme="minorHAnsi" w:cstheme="minorBidi"/>
            <w:noProof/>
            <w:szCs w:val="22"/>
          </w:rPr>
          <w:tab/>
        </w:r>
        <w:r w:rsidR="007647A2" w:rsidRPr="00AC4D5B">
          <w:rPr>
            <w:rStyle w:val="Hypertextovodkaz"/>
            <w:noProof/>
          </w:rPr>
          <w:t>Specifický cíl 2.3</w:t>
        </w:r>
        <w:r w:rsidR="007647A2">
          <w:rPr>
            <w:noProof/>
            <w:webHidden/>
          </w:rPr>
          <w:tab/>
        </w:r>
        <w:r w:rsidR="007647A2">
          <w:rPr>
            <w:noProof/>
            <w:webHidden/>
          </w:rPr>
          <w:fldChar w:fldCharType="begin"/>
        </w:r>
        <w:r w:rsidR="007647A2">
          <w:rPr>
            <w:noProof/>
            <w:webHidden/>
          </w:rPr>
          <w:instrText xml:space="preserve"> PAGEREF _Toc421534327 \h </w:instrText>
        </w:r>
        <w:r w:rsidR="007647A2">
          <w:rPr>
            <w:noProof/>
            <w:webHidden/>
          </w:rPr>
        </w:r>
        <w:r w:rsidR="007647A2">
          <w:rPr>
            <w:noProof/>
            <w:webHidden/>
          </w:rPr>
          <w:fldChar w:fldCharType="separate"/>
        </w:r>
        <w:r w:rsidR="007647A2">
          <w:rPr>
            <w:noProof/>
            <w:webHidden/>
          </w:rPr>
          <w:t>190</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8" w:history="1">
        <w:r w:rsidR="007647A2" w:rsidRPr="00AC4D5B">
          <w:rPr>
            <w:rStyle w:val="Hypertextovodkaz"/>
            <w:noProof/>
          </w:rPr>
          <w:t>6.2.5</w:t>
        </w:r>
        <w:r w:rsidR="007647A2">
          <w:rPr>
            <w:rFonts w:asciiTheme="minorHAnsi" w:eastAsiaTheme="minorEastAsia" w:hAnsiTheme="minorHAnsi" w:cstheme="minorBidi"/>
            <w:noProof/>
            <w:szCs w:val="22"/>
          </w:rPr>
          <w:tab/>
        </w:r>
        <w:r w:rsidR="007647A2" w:rsidRPr="00AC4D5B">
          <w:rPr>
            <w:rStyle w:val="Hypertextovodkaz"/>
            <w:noProof/>
          </w:rPr>
          <w:t>Specifický cíl 3.1</w:t>
        </w:r>
        <w:r w:rsidR="007647A2">
          <w:rPr>
            <w:noProof/>
            <w:webHidden/>
          </w:rPr>
          <w:tab/>
        </w:r>
        <w:r w:rsidR="007647A2">
          <w:rPr>
            <w:noProof/>
            <w:webHidden/>
          </w:rPr>
          <w:fldChar w:fldCharType="begin"/>
        </w:r>
        <w:r w:rsidR="007647A2">
          <w:rPr>
            <w:noProof/>
            <w:webHidden/>
          </w:rPr>
          <w:instrText xml:space="preserve"> PAGEREF _Toc421534328 \h </w:instrText>
        </w:r>
        <w:r w:rsidR="007647A2">
          <w:rPr>
            <w:noProof/>
            <w:webHidden/>
          </w:rPr>
        </w:r>
        <w:r w:rsidR="007647A2">
          <w:rPr>
            <w:noProof/>
            <w:webHidden/>
          </w:rPr>
          <w:fldChar w:fldCharType="separate"/>
        </w:r>
        <w:r w:rsidR="007647A2">
          <w:rPr>
            <w:noProof/>
            <w:webHidden/>
          </w:rPr>
          <w:t>197</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29" w:history="1">
        <w:r w:rsidR="007647A2" w:rsidRPr="00AC4D5B">
          <w:rPr>
            <w:rStyle w:val="Hypertextovodkaz"/>
            <w:noProof/>
          </w:rPr>
          <w:t>6.2.6</w:t>
        </w:r>
        <w:r w:rsidR="007647A2">
          <w:rPr>
            <w:rFonts w:asciiTheme="minorHAnsi" w:eastAsiaTheme="minorEastAsia" w:hAnsiTheme="minorHAnsi" w:cstheme="minorBidi"/>
            <w:noProof/>
            <w:szCs w:val="22"/>
          </w:rPr>
          <w:tab/>
        </w:r>
        <w:r w:rsidR="007647A2" w:rsidRPr="00AC4D5B">
          <w:rPr>
            <w:rStyle w:val="Hypertextovodkaz"/>
            <w:noProof/>
          </w:rPr>
          <w:t>Specifický cíl 3.2</w:t>
        </w:r>
        <w:r w:rsidR="007647A2">
          <w:rPr>
            <w:noProof/>
            <w:webHidden/>
          </w:rPr>
          <w:tab/>
        </w:r>
        <w:r w:rsidR="007647A2">
          <w:rPr>
            <w:noProof/>
            <w:webHidden/>
          </w:rPr>
          <w:fldChar w:fldCharType="begin"/>
        </w:r>
        <w:r w:rsidR="007647A2">
          <w:rPr>
            <w:noProof/>
            <w:webHidden/>
          </w:rPr>
          <w:instrText xml:space="preserve"> PAGEREF _Toc421534329 \h </w:instrText>
        </w:r>
        <w:r w:rsidR="007647A2">
          <w:rPr>
            <w:noProof/>
            <w:webHidden/>
          </w:rPr>
        </w:r>
        <w:r w:rsidR="007647A2">
          <w:rPr>
            <w:noProof/>
            <w:webHidden/>
          </w:rPr>
          <w:fldChar w:fldCharType="separate"/>
        </w:r>
        <w:r w:rsidR="007647A2">
          <w:rPr>
            <w:noProof/>
            <w:webHidden/>
          </w:rPr>
          <w:t>202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0" w:history="1">
        <w:r w:rsidR="007647A2" w:rsidRPr="00AC4D5B">
          <w:rPr>
            <w:rStyle w:val="Hypertextovodkaz"/>
            <w:noProof/>
          </w:rPr>
          <w:t>6.2.7</w:t>
        </w:r>
        <w:r w:rsidR="007647A2">
          <w:rPr>
            <w:rFonts w:asciiTheme="minorHAnsi" w:eastAsiaTheme="minorEastAsia" w:hAnsiTheme="minorHAnsi" w:cstheme="minorBidi"/>
            <w:noProof/>
            <w:szCs w:val="22"/>
          </w:rPr>
          <w:tab/>
        </w:r>
        <w:r w:rsidR="007647A2" w:rsidRPr="00AC4D5B">
          <w:rPr>
            <w:rStyle w:val="Hypertextovodkaz"/>
            <w:noProof/>
          </w:rPr>
          <w:t>Specifický cíl 3.5</w:t>
        </w:r>
        <w:r w:rsidR="007647A2">
          <w:rPr>
            <w:noProof/>
            <w:webHidden/>
          </w:rPr>
          <w:tab/>
        </w:r>
        <w:r w:rsidR="007647A2">
          <w:rPr>
            <w:noProof/>
            <w:webHidden/>
          </w:rPr>
          <w:fldChar w:fldCharType="begin"/>
        </w:r>
        <w:r w:rsidR="007647A2">
          <w:rPr>
            <w:noProof/>
            <w:webHidden/>
          </w:rPr>
          <w:instrText xml:space="preserve"> PAGEREF _Toc421534330 \h </w:instrText>
        </w:r>
        <w:r w:rsidR="007647A2">
          <w:rPr>
            <w:noProof/>
            <w:webHidden/>
          </w:rPr>
        </w:r>
        <w:r w:rsidR="007647A2">
          <w:rPr>
            <w:noProof/>
            <w:webHidden/>
          </w:rPr>
          <w:fldChar w:fldCharType="separate"/>
        </w:r>
        <w:r w:rsidR="007647A2">
          <w:rPr>
            <w:noProof/>
            <w:webHidden/>
          </w:rPr>
          <w:t>209</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1" w:history="1">
        <w:r w:rsidR="007647A2" w:rsidRPr="00AC4D5B">
          <w:rPr>
            <w:rStyle w:val="Hypertextovodkaz"/>
            <w:noProof/>
          </w:rPr>
          <w:t>6.2.8</w:t>
        </w:r>
        <w:r w:rsidR="007647A2">
          <w:rPr>
            <w:rFonts w:asciiTheme="minorHAnsi" w:eastAsiaTheme="minorEastAsia" w:hAnsiTheme="minorHAnsi" w:cstheme="minorBidi"/>
            <w:noProof/>
            <w:szCs w:val="22"/>
          </w:rPr>
          <w:tab/>
        </w:r>
        <w:r w:rsidR="007647A2" w:rsidRPr="00AC4D5B">
          <w:rPr>
            <w:rStyle w:val="Hypertextovodkaz"/>
            <w:noProof/>
          </w:rPr>
          <w:t>Specifický cíl 4.1</w:t>
        </w:r>
        <w:r w:rsidR="007647A2">
          <w:rPr>
            <w:noProof/>
            <w:webHidden/>
          </w:rPr>
          <w:tab/>
        </w:r>
        <w:r w:rsidR="007647A2">
          <w:rPr>
            <w:noProof/>
            <w:webHidden/>
          </w:rPr>
          <w:fldChar w:fldCharType="begin"/>
        </w:r>
        <w:r w:rsidR="007647A2">
          <w:rPr>
            <w:noProof/>
            <w:webHidden/>
          </w:rPr>
          <w:instrText xml:space="preserve"> PAGEREF _Toc421534331 \h </w:instrText>
        </w:r>
        <w:r w:rsidR="007647A2">
          <w:rPr>
            <w:noProof/>
            <w:webHidden/>
          </w:rPr>
        </w:r>
        <w:r w:rsidR="007647A2">
          <w:rPr>
            <w:noProof/>
            <w:webHidden/>
          </w:rPr>
          <w:fldChar w:fldCharType="separate"/>
        </w:r>
        <w:r w:rsidR="007647A2">
          <w:rPr>
            <w:noProof/>
            <w:webHidden/>
          </w:rPr>
          <w:t>214</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32" w:history="1">
        <w:r w:rsidR="007647A2" w:rsidRPr="00AC4D5B">
          <w:rPr>
            <w:rStyle w:val="Hypertextovodkaz"/>
            <w:noProof/>
          </w:rPr>
          <w:t>6.3</w:t>
        </w:r>
        <w:r w:rsidR="007647A2">
          <w:rPr>
            <w:rFonts w:asciiTheme="minorHAnsi" w:eastAsiaTheme="minorEastAsia" w:hAnsiTheme="minorHAnsi" w:cstheme="minorBidi"/>
            <w:noProof/>
            <w:szCs w:val="22"/>
          </w:rPr>
          <w:tab/>
        </w:r>
        <w:r w:rsidR="007647A2" w:rsidRPr="00AC4D5B">
          <w:rPr>
            <w:rStyle w:val="Hypertextovodkaz"/>
            <w:noProof/>
          </w:rPr>
          <w:t>Implementace finančních nástrojů</w:t>
        </w:r>
        <w:r w:rsidR="007647A2">
          <w:rPr>
            <w:noProof/>
            <w:webHidden/>
          </w:rPr>
          <w:tab/>
        </w:r>
        <w:r w:rsidR="007647A2">
          <w:rPr>
            <w:noProof/>
            <w:webHidden/>
          </w:rPr>
          <w:fldChar w:fldCharType="begin"/>
        </w:r>
        <w:r w:rsidR="007647A2">
          <w:rPr>
            <w:noProof/>
            <w:webHidden/>
          </w:rPr>
          <w:instrText xml:space="preserve"> PAGEREF _Toc421534332 \h </w:instrText>
        </w:r>
        <w:r w:rsidR="007647A2">
          <w:rPr>
            <w:noProof/>
            <w:webHidden/>
          </w:rPr>
        </w:r>
        <w:r w:rsidR="007647A2">
          <w:rPr>
            <w:noProof/>
            <w:webHidden/>
          </w:rPr>
          <w:fldChar w:fldCharType="separate"/>
        </w:r>
        <w:r w:rsidR="007647A2">
          <w:rPr>
            <w:noProof/>
            <w:webHidden/>
          </w:rPr>
          <w:t>216</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3" w:history="1">
        <w:r w:rsidR="007647A2" w:rsidRPr="00AC4D5B">
          <w:rPr>
            <w:rStyle w:val="Hypertextovodkaz"/>
            <w:noProof/>
          </w:rPr>
          <w:t>6.3.1</w:t>
        </w:r>
        <w:r w:rsidR="007647A2">
          <w:rPr>
            <w:rFonts w:asciiTheme="minorHAnsi" w:eastAsiaTheme="minorEastAsia" w:hAnsiTheme="minorHAnsi" w:cstheme="minorBidi"/>
            <w:noProof/>
            <w:szCs w:val="22"/>
          </w:rPr>
          <w:tab/>
        </w:r>
        <w:r w:rsidR="007647A2" w:rsidRPr="00AC4D5B">
          <w:rPr>
            <w:rStyle w:val="Hypertextovodkaz"/>
            <w:noProof/>
          </w:rPr>
          <w:t>Volba implementačního uspořádání</w:t>
        </w:r>
        <w:r w:rsidR="007647A2">
          <w:rPr>
            <w:noProof/>
            <w:webHidden/>
          </w:rPr>
          <w:tab/>
        </w:r>
        <w:r w:rsidR="007647A2">
          <w:rPr>
            <w:noProof/>
            <w:webHidden/>
          </w:rPr>
          <w:fldChar w:fldCharType="begin"/>
        </w:r>
        <w:r w:rsidR="007647A2">
          <w:rPr>
            <w:noProof/>
            <w:webHidden/>
          </w:rPr>
          <w:instrText xml:space="preserve"> PAGEREF _Toc421534333 \h </w:instrText>
        </w:r>
        <w:r w:rsidR="007647A2">
          <w:rPr>
            <w:noProof/>
            <w:webHidden/>
          </w:rPr>
        </w:r>
        <w:r w:rsidR="007647A2">
          <w:rPr>
            <w:noProof/>
            <w:webHidden/>
          </w:rPr>
          <w:fldChar w:fldCharType="separate"/>
        </w:r>
        <w:r w:rsidR="007647A2">
          <w:rPr>
            <w:noProof/>
            <w:webHidden/>
          </w:rPr>
          <w:t>216</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4" w:history="1">
        <w:r w:rsidR="007647A2" w:rsidRPr="00AC4D5B">
          <w:rPr>
            <w:rStyle w:val="Hypertextovodkaz"/>
            <w:noProof/>
          </w:rPr>
          <w:t>6.3.2</w:t>
        </w:r>
        <w:r w:rsidR="007647A2">
          <w:rPr>
            <w:rFonts w:asciiTheme="minorHAnsi" w:eastAsiaTheme="minorEastAsia" w:hAnsiTheme="minorHAnsi" w:cstheme="minorBidi"/>
            <w:noProof/>
            <w:szCs w:val="22"/>
          </w:rPr>
          <w:tab/>
        </w:r>
        <w:r w:rsidR="007647A2" w:rsidRPr="00AC4D5B">
          <w:rPr>
            <w:rStyle w:val="Hypertextovodkaz"/>
            <w:noProof/>
          </w:rPr>
          <w:t>Způsob zajištění finančního a věcného monitoringu provádění finančních nástrojů</w:t>
        </w:r>
        <w:r w:rsidR="007647A2">
          <w:rPr>
            <w:noProof/>
            <w:webHidden/>
          </w:rPr>
          <w:tab/>
        </w:r>
        <w:r w:rsidR="007647A2">
          <w:rPr>
            <w:noProof/>
            <w:webHidden/>
          </w:rPr>
          <w:fldChar w:fldCharType="begin"/>
        </w:r>
        <w:r w:rsidR="007647A2">
          <w:rPr>
            <w:noProof/>
            <w:webHidden/>
          </w:rPr>
          <w:instrText xml:space="preserve"> PAGEREF _Toc421534334 \h </w:instrText>
        </w:r>
        <w:r w:rsidR="007647A2">
          <w:rPr>
            <w:noProof/>
            <w:webHidden/>
          </w:rPr>
        </w:r>
        <w:r w:rsidR="007647A2">
          <w:rPr>
            <w:noProof/>
            <w:webHidden/>
          </w:rPr>
          <w:fldChar w:fldCharType="separate"/>
        </w:r>
        <w:r w:rsidR="007647A2">
          <w:rPr>
            <w:noProof/>
            <w:webHidden/>
          </w:rPr>
          <w:t>222</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35" w:history="1">
        <w:r w:rsidR="007647A2" w:rsidRPr="00AC4D5B">
          <w:rPr>
            <w:rStyle w:val="Hypertextovodkaz"/>
            <w:noProof/>
          </w:rPr>
          <w:t>6.4</w:t>
        </w:r>
        <w:r w:rsidR="007647A2">
          <w:rPr>
            <w:rFonts w:asciiTheme="minorHAnsi" w:eastAsiaTheme="minorEastAsia" w:hAnsiTheme="minorHAnsi" w:cstheme="minorBidi"/>
            <w:noProof/>
            <w:szCs w:val="22"/>
          </w:rPr>
          <w:tab/>
        </w:r>
        <w:r w:rsidR="007647A2" w:rsidRPr="00AC4D5B">
          <w:rPr>
            <w:rStyle w:val="Hypertextovodkaz"/>
            <w:noProof/>
          </w:rPr>
          <w:t>Průřezové závěry návrhu investiční strategie</w:t>
        </w:r>
        <w:r w:rsidR="007647A2">
          <w:rPr>
            <w:noProof/>
            <w:webHidden/>
          </w:rPr>
          <w:tab/>
        </w:r>
        <w:r w:rsidR="007647A2">
          <w:rPr>
            <w:noProof/>
            <w:webHidden/>
          </w:rPr>
          <w:fldChar w:fldCharType="begin"/>
        </w:r>
        <w:r w:rsidR="007647A2">
          <w:rPr>
            <w:noProof/>
            <w:webHidden/>
          </w:rPr>
          <w:instrText xml:space="preserve"> PAGEREF _Toc421534335 \h </w:instrText>
        </w:r>
        <w:r w:rsidR="007647A2">
          <w:rPr>
            <w:noProof/>
            <w:webHidden/>
          </w:rPr>
        </w:r>
        <w:r w:rsidR="007647A2">
          <w:rPr>
            <w:noProof/>
            <w:webHidden/>
          </w:rPr>
          <w:fldChar w:fldCharType="separate"/>
        </w:r>
        <w:r w:rsidR="007647A2">
          <w:rPr>
            <w:noProof/>
            <w:webHidden/>
          </w:rPr>
          <w:t>222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6" w:history="1">
        <w:r w:rsidR="007647A2" w:rsidRPr="00AC4D5B">
          <w:rPr>
            <w:rStyle w:val="Hypertextovodkaz"/>
            <w:noProof/>
          </w:rPr>
          <w:t>6.4.1</w:t>
        </w:r>
        <w:r w:rsidR="007647A2">
          <w:rPr>
            <w:rFonts w:asciiTheme="minorHAnsi" w:eastAsiaTheme="minorEastAsia" w:hAnsiTheme="minorHAnsi" w:cstheme="minorBidi"/>
            <w:noProof/>
            <w:szCs w:val="22"/>
          </w:rPr>
          <w:tab/>
        </w:r>
        <w:r w:rsidR="007647A2" w:rsidRPr="00AC4D5B">
          <w:rPr>
            <w:rStyle w:val="Hypertextovodkaz"/>
            <w:noProof/>
          </w:rPr>
          <w:t>Kombinace finančních nástrojů s dalšími formami podpory</w:t>
        </w:r>
        <w:r w:rsidR="007647A2">
          <w:rPr>
            <w:noProof/>
            <w:webHidden/>
          </w:rPr>
          <w:tab/>
        </w:r>
        <w:r w:rsidR="007647A2">
          <w:rPr>
            <w:noProof/>
            <w:webHidden/>
          </w:rPr>
          <w:fldChar w:fldCharType="begin"/>
        </w:r>
        <w:r w:rsidR="007647A2">
          <w:rPr>
            <w:noProof/>
            <w:webHidden/>
          </w:rPr>
          <w:instrText xml:space="preserve"> PAGEREF _Toc421534336 \h </w:instrText>
        </w:r>
        <w:r w:rsidR="007647A2">
          <w:rPr>
            <w:noProof/>
            <w:webHidden/>
          </w:rPr>
        </w:r>
        <w:r w:rsidR="007647A2">
          <w:rPr>
            <w:noProof/>
            <w:webHidden/>
          </w:rPr>
          <w:fldChar w:fldCharType="separate"/>
        </w:r>
        <w:r w:rsidR="007647A2">
          <w:rPr>
            <w:noProof/>
            <w:webHidden/>
          </w:rPr>
          <w:t>222</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7" w:history="1">
        <w:r w:rsidR="007647A2" w:rsidRPr="00AC4D5B">
          <w:rPr>
            <w:rStyle w:val="Hypertextovodkaz"/>
            <w:noProof/>
          </w:rPr>
          <w:t>6.4.2</w:t>
        </w:r>
        <w:r w:rsidR="007647A2">
          <w:rPr>
            <w:rFonts w:asciiTheme="minorHAnsi" w:eastAsiaTheme="minorEastAsia" w:hAnsiTheme="minorHAnsi" w:cstheme="minorBidi"/>
            <w:noProof/>
            <w:szCs w:val="22"/>
          </w:rPr>
          <w:tab/>
        </w:r>
        <w:r w:rsidR="007647A2" w:rsidRPr="00AC4D5B">
          <w:rPr>
            <w:rStyle w:val="Hypertextovodkaz"/>
            <w:noProof/>
          </w:rPr>
          <w:t>Regionální dimenze a integrované přístupy</w:t>
        </w:r>
        <w:r w:rsidR="007647A2">
          <w:rPr>
            <w:noProof/>
            <w:webHidden/>
          </w:rPr>
          <w:tab/>
        </w:r>
        <w:r w:rsidR="007647A2">
          <w:rPr>
            <w:noProof/>
            <w:webHidden/>
          </w:rPr>
          <w:fldChar w:fldCharType="begin"/>
        </w:r>
        <w:r w:rsidR="007647A2">
          <w:rPr>
            <w:noProof/>
            <w:webHidden/>
          </w:rPr>
          <w:instrText xml:space="preserve"> PAGEREF _Toc421534337 \h </w:instrText>
        </w:r>
        <w:r w:rsidR="007647A2">
          <w:rPr>
            <w:noProof/>
            <w:webHidden/>
          </w:rPr>
        </w:r>
        <w:r w:rsidR="007647A2">
          <w:rPr>
            <w:noProof/>
            <w:webHidden/>
          </w:rPr>
          <w:fldChar w:fldCharType="separate"/>
        </w:r>
        <w:r w:rsidR="007647A2">
          <w:rPr>
            <w:noProof/>
            <w:webHidden/>
          </w:rPr>
          <w:t>225</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38" w:history="1">
        <w:r w:rsidR="007647A2" w:rsidRPr="00AC4D5B">
          <w:rPr>
            <w:rStyle w:val="Hypertextovodkaz"/>
            <w:noProof/>
          </w:rPr>
          <w:t>6.4.3</w:t>
        </w:r>
        <w:r w:rsidR="007647A2">
          <w:rPr>
            <w:rFonts w:asciiTheme="minorHAnsi" w:eastAsiaTheme="minorEastAsia" w:hAnsiTheme="minorHAnsi" w:cstheme="minorBidi"/>
            <w:noProof/>
            <w:szCs w:val="22"/>
          </w:rPr>
          <w:tab/>
        </w:r>
        <w:r w:rsidR="007647A2" w:rsidRPr="00AC4D5B">
          <w:rPr>
            <w:rStyle w:val="Hypertextovodkaz"/>
            <w:noProof/>
          </w:rPr>
          <w:t>Horizontální principy</w:t>
        </w:r>
        <w:r w:rsidR="007647A2">
          <w:rPr>
            <w:noProof/>
            <w:webHidden/>
          </w:rPr>
          <w:tab/>
        </w:r>
        <w:r w:rsidR="007647A2">
          <w:rPr>
            <w:noProof/>
            <w:webHidden/>
          </w:rPr>
          <w:fldChar w:fldCharType="begin"/>
        </w:r>
        <w:r w:rsidR="007647A2">
          <w:rPr>
            <w:noProof/>
            <w:webHidden/>
          </w:rPr>
          <w:instrText xml:space="preserve"> PAGEREF _Toc421534338 \h </w:instrText>
        </w:r>
        <w:r w:rsidR="007647A2">
          <w:rPr>
            <w:noProof/>
            <w:webHidden/>
          </w:rPr>
        </w:r>
        <w:r w:rsidR="007647A2">
          <w:rPr>
            <w:noProof/>
            <w:webHidden/>
          </w:rPr>
          <w:fldChar w:fldCharType="separate"/>
        </w:r>
        <w:r w:rsidR="007647A2">
          <w:rPr>
            <w:noProof/>
            <w:webHidden/>
          </w:rPr>
          <w:t>225</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39" w:history="1">
        <w:r w:rsidR="007647A2" w:rsidRPr="00AC4D5B">
          <w:rPr>
            <w:rStyle w:val="Hypertextovodkaz"/>
            <w:noProof/>
          </w:rPr>
          <w:t>6.5</w:t>
        </w:r>
        <w:r w:rsidR="007647A2">
          <w:rPr>
            <w:rFonts w:asciiTheme="minorHAnsi" w:eastAsiaTheme="minorEastAsia" w:hAnsiTheme="minorHAnsi" w:cstheme="minorBidi"/>
            <w:noProof/>
            <w:szCs w:val="22"/>
          </w:rPr>
          <w:tab/>
        </w:r>
        <w:r w:rsidR="007647A2" w:rsidRPr="00AC4D5B">
          <w:rPr>
            <w:rStyle w:val="Hypertextovodkaz"/>
            <w:noProof/>
          </w:rPr>
          <w:t>Přezkoumatelnost závěrů předběžného posouzení</w:t>
        </w:r>
        <w:r w:rsidR="007647A2">
          <w:rPr>
            <w:noProof/>
            <w:webHidden/>
          </w:rPr>
          <w:tab/>
        </w:r>
        <w:r w:rsidR="007647A2">
          <w:rPr>
            <w:noProof/>
            <w:webHidden/>
          </w:rPr>
          <w:fldChar w:fldCharType="begin"/>
        </w:r>
        <w:r w:rsidR="007647A2">
          <w:rPr>
            <w:noProof/>
            <w:webHidden/>
          </w:rPr>
          <w:instrText xml:space="preserve"> PAGEREF _Toc421534339 \h </w:instrText>
        </w:r>
        <w:r w:rsidR="007647A2">
          <w:rPr>
            <w:noProof/>
            <w:webHidden/>
          </w:rPr>
        </w:r>
        <w:r w:rsidR="007647A2">
          <w:rPr>
            <w:noProof/>
            <w:webHidden/>
          </w:rPr>
          <w:fldChar w:fldCharType="separate"/>
        </w:r>
        <w:r w:rsidR="007647A2">
          <w:rPr>
            <w:noProof/>
            <w:webHidden/>
          </w:rPr>
          <w:t>226</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340" w:history="1">
        <w:r w:rsidR="007647A2" w:rsidRPr="00AC4D5B">
          <w:rPr>
            <w:rStyle w:val="Hypertextovodkaz"/>
            <w:noProof/>
          </w:rPr>
          <w:t>7</w:t>
        </w:r>
        <w:r w:rsidR="007647A2">
          <w:rPr>
            <w:rFonts w:asciiTheme="minorHAnsi" w:eastAsiaTheme="minorEastAsia" w:hAnsiTheme="minorHAnsi" w:cstheme="minorBidi"/>
            <w:noProof/>
            <w:szCs w:val="22"/>
          </w:rPr>
          <w:tab/>
        </w:r>
        <w:r w:rsidR="007647A2" w:rsidRPr="00AC4D5B">
          <w:rPr>
            <w:rStyle w:val="Hypertextovodkaz"/>
            <w:noProof/>
          </w:rPr>
          <w:t>Technická příloha</w:t>
        </w:r>
        <w:r w:rsidR="007647A2">
          <w:rPr>
            <w:noProof/>
            <w:webHidden/>
          </w:rPr>
          <w:tab/>
        </w:r>
        <w:r w:rsidR="007647A2">
          <w:rPr>
            <w:noProof/>
            <w:webHidden/>
          </w:rPr>
          <w:fldChar w:fldCharType="begin"/>
        </w:r>
        <w:r w:rsidR="007647A2">
          <w:rPr>
            <w:noProof/>
            <w:webHidden/>
          </w:rPr>
          <w:instrText xml:space="preserve"> PAGEREF _Toc421534340 \h </w:instrText>
        </w:r>
        <w:r w:rsidR="007647A2">
          <w:rPr>
            <w:noProof/>
            <w:webHidden/>
          </w:rPr>
        </w:r>
        <w:r w:rsidR="007647A2">
          <w:rPr>
            <w:noProof/>
            <w:webHidden/>
          </w:rPr>
          <w:fldChar w:fldCharType="separate"/>
        </w:r>
        <w:r w:rsidR="007647A2">
          <w:rPr>
            <w:noProof/>
            <w:webHidden/>
          </w:rPr>
          <w:t>228</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41" w:history="1">
        <w:r w:rsidR="007647A2" w:rsidRPr="00AC4D5B">
          <w:rPr>
            <w:rStyle w:val="Hypertextovodkaz"/>
            <w:noProof/>
          </w:rPr>
          <w:t>7.1</w:t>
        </w:r>
        <w:r w:rsidR="007647A2">
          <w:rPr>
            <w:rFonts w:asciiTheme="minorHAnsi" w:eastAsiaTheme="minorEastAsia" w:hAnsiTheme="minorHAnsi" w:cstheme="minorBidi"/>
            <w:noProof/>
            <w:szCs w:val="22"/>
          </w:rPr>
          <w:tab/>
        </w:r>
        <w:r w:rsidR="007647A2" w:rsidRPr="00AC4D5B">
          <w:rPr>
            <w:rStyle w:val="Hypertextovodkaz"/>
            <w:noProof/>
          </w:rPr>
          <w:t>Dotazníková šetření</w:t>
        </w:r>
        <w:r w:rsidR="007647A2">
          <w:rPr>
            <w:noProof/>
            <w:webHidden/>
          </w:rPr>
          <w:tab/>
        </w:r>
        <w:r w:rsidR="007647A2">
          <w:rPr>
            <w:noProof/>
            <w:webHidden/>
          </w:rPr>
          <w:fldChar w:fldCharType="begin"/>
        </w:r>
        <w:r w:rsidR="007647A2">
          <w:rPr>
            <w:noProof/>
            <w:webHidden/>
          </w:rPr>
          <w:instrText xml:space="preserve"> PAGEREF _Toc421534341 \h </w:instrText>
        </w:r>
        <w:r w:rsidR="007647A2">
          <w:rPr>
            <w:noProof/>
            <w:webHidden/>
          </w:rPr>
        </w:r>
        <w:r w:rsidR="007647A2">
          <w:rPr>
            <w:noProof/>
            <w:webHidden/>
          </w:rPr>
          <w:fldChar w:fldCharType="separate"/>
        </w:r>
        <w:r w:rsidR="007647A2">
          <w:rPr>
            <w:noProof/>
            <w:webHidden/>
          </w:rPr>
          <w:t>228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42" w:history="1">
        <w:r w:rsidR="007647A2" w:rsidRPr="00AC4D5B">
          <w:rPr>
            <w:rStyle w:val="Hypertextovodkaz"/>
            <w:noProof/>
          </w:rPr>
          <w:t>7.1.1</w:t>
        </w:r>
        <w:r w:rsidR="007647A2">
          <w:rPr>
            <w:rFonts w:asciiTheme="minorHAnsi" w:eastAsiaTheme="minorEastAsia" w:hAnsiTheme="minorHAnsi" w:cstheme="minorBidi"/>
            <w:noProof/>
            <w:szCs w:val="22"/>
          </w:rPr>
          <w:tab/>
        </w:r>
        <w:r w:rsidR="007647A2" w:rsidRPr="00AC4D5B">
          <w:rPr>
            <w:rStyle w:val="Hypertextovodkaz"/>
            <w:noProof/>
          </w:rPr>
          <w:t>Základní informace o provedených dotazníkových šetřeních</w:t>
        </w:r>
        <w:r w:rsidR="007647A2">
          <w:rPr>
            <w:noProof/>
            <w:webHidden/>
          </w:rPr>
          <w:tab/>
        </w:r>
        <w:r w:rsidR="007647A2">
          <w:rPr>
            <w:noProof/>
            <w:webHidden/>
          </w:rPr>
          <w:fldChar w:fldCharType="begin"/>
        </w:r>
        <w:r w:rsidR="007647A2">
          <w:rPr>
            <w:noProof/>
            <w:webHidden/>
          </w:rPr>
          <w:instrText xml:space="preserve"> PAGEREF _Toc421534342 \h </w:instrText>
        </w:r>
        <w:r w:rsidR="007647A2">
          <w:rPr>
            <w:noProof/>
            <w:webHidden/>
          </w:rPr>
        </w:r>
        <w:r w:rsidR="007647A2">
          <w:rPr>
            <w:noProof/>
            <w:webHidden/>
          </w:rPr>
          <w:fldChar w:fldCharType="separate"/>
        </w:r>
        <w:r w:rsidR="007647A2">
          <w:rPr>
            <w:noProof/>
            <w:webHidden/>
          </w:rPr>
          <w:t>228</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43" w:history="1">
        <w:r w:rsidR="007647A2" w:rsidRPr="00AC4D5B">
          <w:rPr>
            <w:rStyle w:val="Hypertextovodkaz"/>
            <w:noProof/>
          </w:rPr>
          <w:t>7.1.2</w:t>
        </w:r>
        <w:r w:rsidR="007647A2">
          <w:rPr>
            <w:rFonts w:asciiTheme="minorHAnsi" w:eastAsiaTheme="minorEastAsia" w:hAnsiTheme="minorHAnsi" w:cstheme="minorBidi"/>
            <w:noProof/>
            <w:szCs w:val="22"/>
          </w:rPr>
          <w:tab/>
        </w:r>
        <w:r w:rsidR="007647A2" w:rsidRPr="00AC4D5B">
          <w:rPr>
            <w:rStyle w:val="Hypertextovodkaz"/>
            <w:noProof/>
          </w:rPr>
          <w:t>Závěry dotazníkových šetření</w:t>
        </w:r>
        <w:r w:rsidR="007647A2">
          <w:rPr>
            <w:noProof/>
            <w:webHidden/>
          </w:rPr>
          <w:tab/>
        </w:r>
        <w:r w:rsidR="007647A2">
          <w:rPr>
            <w:noProof/>
            <w:webHidden/>
          </w:rPr>
          <w:fldChar w:fldCharType="begin"/>
        </w:r>
        <w:r w:rsidR="007647A2">
          <w:rPr>
            <w:noProof/>
            <w:webHidden/>
          </w:rPr>
          <w:instrText xml:space="preserve"> PAGEREF _Toc421534343 \h </w:instrText>
        </w:r>
        <w:r w:rsidR="007647A2">
          <w:rPr>
            <w:noProof/>
            <w:webHidden/>
          </w:rPr>
        </w:r>
        <w:r w:rsidR="007647A2">
          <w:rPr>
            <w:noProof/>
            <w:webHidden/>
          </w:rPr>
          <w:fldChar w:fldCharType="separate"/>
        </w:r>
        <w:r w:rsidR="007647A2">
          <w:rPr>
            <w:noProof/>
            <w:webHidden/>
          </w:rPr>
          <w:t>229</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44" w:history="1">
        <w:r w:rsidR="007647A2" w:rsidRPr="00AC4D5B">
          <w:rPr>
            <w:rStyle w:val="Hypertextovodkaz"/>
            <w:noProof/>
          </w:rPr>
          <w:t>7.2</w:t>
        </w:r>
        <w:r w:rsidR="007647A2">
          <w:rPr>
            <w:rFonts w:asciiTheme="minorHAnsi" w:eastAsiaTheme="minorEastAsia" w:hAnsiTheme="minorHAnsi" w:cstheme="minorBidi"/>
            <w:noProof/>
            <w:szCs w:val="22"/>
          </w:rPr>
          <w:tab/>
        </w:r>
        <w:r w:rsidR="007647A2" w:rsidRPr="00AC4D5B">
          <w:rPr>
            <w:rStyle w:val="Hypertextovodkaz"/>
            <w:noProof/>
          </w:rPr>
          <w:t>Řízené rozhovory</w:t>
        </w:r>
        <w:r w:rsidR="007647A2">
          <w:rPr>
            <w:noProof/>
            <w:webHidden/>
          </w:rPr>
          <w:tab/>
        </w:r>
        <w:r w:rsidR="007647A2">
          <w:rPr>
            <w:noProof/>
            <w:webHidden/>
          </w:rPr>
          <w:fldChar w:fldCharType="begin"/>
        </w:r>
        <w:r w:rsidR="007647A2">
          <w:rPr>
            <w:noProof/>
            <w:webHidden/>
          </w:rPr>
          <w:instrText xml:space="preserve"> PAGEREF _Toc421534344 \h </w:instrText>
        </w:r>
        <w:r w:rsidR="007647A2">
          <w:rPr>
            <w:noProof/>
            <w:webHidden/>
          </w:rPr>
        </w:r>
        <w:r w:rsidR="007647A2">
          <w:rPr>
            <w:noProof/>
            <w:webHidden/>
          </w:rPr>
          <w:fldChar w:fldCharType="separate"/>
        </w:r>
        <w:r w:rsidR="007647A2">
          <w:rPr>
            <w:noProof/>
            <w:webHidden/>
          </w:rPr>
          <w:t>229</w:t>
        </w:r>
        <w:r w:rsidR="007647A2">
          <w:rPr>
            <w:noProof/>
            <w:webHidden/>
          </w:rPr>
          <w:fldChar w:fldCharType="end"/>
        </w:r>
      </w:hyperlink>
    </w:p>
    <w:p w:rsidR="007647A2" w:rsidRDefault="001C1A67">
      <w:pPr>
        <w:pStyle w:val="Obsah3"/>
        <w:tabs>
          <w:tab w:val="left" w:pos="1320"/>
          <w:tab w:val="right" w:leader="dot" w:pos="9062"/>
        </w:tabs>
        <w:rPr>
          <w:rFonts w:asciiTheme="minorHAnsi" w:eastAsiaTheme="minorEastAsia" w:hAnsiTheme="minorHAnsi" w:cstheme="minorBidi"/>
          <w:noProof/>
          <w:szCs w:val="22"/>
        </w:rPr>
      </w:pPr>
      <w:hyperlink w:anchor="_Toc421534345" w:history="1">
        <w:r w:rsidR="007647A2" w:rsidRPr="00AC4D5B">
          <w:rPr>
            <w:rStyle w:val="Hypertextovodkaz"/>
            <w:noProof/>
          </w:rPr>
          <w:t>7.2.1</w:t>
        </w:r>
        <w:r w:rsidR="007647A2">
          <w:rPr>
            <w:rFonts w:asciiTheme="minorHAnsi" w:eastAsiaTheme="minorEastAsia" w:hAnsiTheme="minorHAnsi" w:cstheme="minorBidi"/>
            <w:noProof/>
            <w:szCs w:val="22"/>
          </w:rPr>
          <w:tab/>
        </w:r>
        <w:r w:rsidR="007647A2" w:rsidRPr="00AC4D5B">
          <w:rPr>
            <w:rStyle w:val="Hypertextovodkaz"/>
            <w:noProof/>
          </w:rPr>
          <w:t>Seznam konzultovaných subjektů</w:t>
        </w:r>
        <w:r w:rsidR="007647A2">
          <w:rPr>
            <w:noProof/>
            <w:webHidden/>
          </w:rPr>
          <w:tab/>
        </w:r>
        <w:r w:rsidR="007647A2">
          <w:rPr>
            <w:noProof/>
            <w:webHidden/>
          </w:rPr>
          <w:fldChar w:fldCharType="begin"/>
        </w:r>
        <w:r w:rsidR="007647A2">
          <w:rPr>
            <w:noProof/>
            <w:webHidden/>
          </w:rPr>
          <w:instrText xml:space="preserve"> PAGEREF _Toc421534345 \h </w:instrText>
        </w:r>
        <w:r w:rsidR="007647A2">
          <w:rPr>
            <w:noProof/>
            <w:webHidden/>
          </w:rPr>
        </w:r>
        <w:r w:rsidR="007647A2">
          <w:rPr>
            <w:noProof/>
            <w:webHidden/>
          </w:rPr>
          <w:fldChar w:fldCharType="separate"/>
        </w:r>
        <w:r w:rsidR="007647A2">
          <w:rPr>
            <w:noProof/>
            <w:webHidden/>
          </w:rPr>
          <w:t>229</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346" w:history="1">
        <w:r w:rsidR="007647A2" w:rsidRPr="00AC4D5B">
          <w:rPr>
            <w:rStyle w:val="Hypertextovodkaz"/>
            <w:noProof/>
          </w:rPr>
          <w:t>8</w:t>
        </w:r>
        <w:r w:rsidR="007647A2">
          <w:rPr>
            <w:rFonts w:asciiTheme="minorHAnsi" w:eastAsiaTheme="minorEastAsia" w:hAnsiTheme="minorHAnsi" w:cstheme="minorBidi"/>
            <w:noProof/>
            <w:szCs w:val="22"/>
          </w:rPr>
          <w:tab/>
        </w:r>
        <w:r w:rsidR="007647A2" w:rsidRPr="00AC4D5B">
          <w:rPr>
            <w:rStyle w:val="Hypertextovodkaz"/>
            <w:noProof/>
          </w:rPr>
          <w:t>Použité zdroje</w:t>
        </w:r>
        <w:r w:rsidR="007647A2">
          <w:rPr>
            <w:noProof/>
            <w:webHidden/>
          </w:rPr>
          <w:tab/>
        </w:r>
        <w:r w:rsidR="007647A2">
          <w:rPr>
            <w:noProof/>
            <w:webHidden/>
          </w:rPr>
          <w:fldChar w:fldCharType="begin"/>
        </w:r>
        <w:r w:rsidR="007647A2">
          <w:rPr>
            <w:noProof/>
            <w:webHidden/>
          </w:rPr>
          <w:instrText xml:space="preserve"> PAGEREF _Toc421534346 \h </w:instrText>
        </w:r>
        <w:r w:rsidR="007647A2">
          <w:rPr>
            <w:noProof/>
            <w:webHidden/>
          </w:rPr>
        </w:r>
        <w:r w:rsidR="007647A2">
          <w:rPr>
            <w:noProof/>
            <w:webHidden/>
          </w:rPr>
          <w:fldChar w:fldCharType="separate"/>
        </w:r>
        <w:r w:rsidR="007647A2">
          <w:rPr>
            <w:noProof/>
            <w:webHidden/>
          </w:rPr>
          <w:t>231</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47" w:history="1">
        <w:r w:rsidR="007647A2" w:rsidRPr="00AC4D5B">
          <w:rPr>
            <w:rStyle w:val="Hypertextovodkaz"/>
            <w:noProof/>
          </w:rPr>
          <w:t>8.1</w:t>
        </w:r>
        <w:r w:rsidR="007647A2">
          <w:rPr>
            <w:rFonts w:asciiTheme="minorHAnsi" w:eastAsiaTheme="minorEastAsia" w:hAnsiTheme="minorHAnsi" w:cstheme="minorBidi"/>
            <w:noProof/>
            <w:szCs w:val="22"/>
          </w:rPr>
          <w:tab/>
        </w:r>
        <w:r w:rsidR="007647A2" w:rsidRPr="00AC4D5B">
          <w:rPr>
            <w:rStyle w:val="Hypertextovodkaz"/>
            <w:noProof/>
          </w:rPr>
          <w:t>Legislativní východiska</w:t>
        </w:r>
        <w:r w:rsidR="007647A2">
          <w:rPr>
            <w:noProof/>
            <w:webHidden/>
          </w:rPr>
          <w:tab/>
        </w:r>
        <w:r w:rsidR="007647A2">
          <w:rPr>
            <w:noProof/>
            <w:webHidden/>
          </w:rPr>
          <w:fldChar w:fldCharType="begin"/>
        </w:r>
        <w:r w:rsidR="007647A2">
          <w:rPr>
            <w:noProof/>
            <w:webHidden/>
          </w:rPr>
          <w:instrText xml:space="preserve"> PAGEREF _Toc421534347 \h </w:instrText>
        </w:r>
        <w:r w:rsidR="007647A2">
          <w:rPr>
            <w:noProof/>
            <w:webHidden/>
          </w:rPr>
        </w:r>
        <w:r w:rsidR="007647A2">
          <w:rPr>
            <w:noProof/>
            <w:webHidden/>
          </w:rPr>
          <w:fldChar w:fldCharType="separate"/>
        </w:r>
        <w:r w:rsidR="007647A2">
          <w:rPr>
            <w:noProof/>
            <w:webHidden/>
          </w:rPr>
          <w:t>231</w:t>
        </w:r>
        <w:r w:rsidR="007647A2">
          <w:rPr>
            <w:noProof/>
            <w:webHidden/>
          </w:rPr>
          <w:fldChar w:fldCharType="end"/>
        </w:r>
      </w:hyperlink>
    </w:p>
    <w:p w:rsidR="007647A2" w:rsidRDefault="001C1A67">
      <w:pPr>
        <w:pStyle w:val="Obsah2"/>
        <w:tabs>
          <w:tab w:val="left" w:pos="720"/>
          <w:tab w:val="right" w:leader="dot" w:pos="9062"/>
        </w:tabs>
        <w:rPr>
          <w:rFonts w:asciiTheme="minorHAnsi" w:eastAsiaTheme="minorEastAsia" w:hAnsiTheme="minorHAnsi" w:cstheme="minorBidi"/>
          <w:noProof/>
          <w:szCs w:val="22"/>
        </w:rPr>
      </w:pPr>
      <w:hyperlink w:anchor="_Toc421534348" w:history="1">
        <w:r w:rsidR="007647A2" w:rsidRPr="00AC4D5B">
          <w:rPr>
            <w:rStyle w:val="Hypertextovodkaz"/>
            <w:noProof/>
          </w:rPr>
          <w:t>8.2</w:t>
        </w:r>
        <w:r w:rsidR="007647A2">
          <w:rPr>
            <w:rFonts w:asciiTheme="minorHAnsi" w:eastAsiaTheme="minorEastAsia" w:hAnsiTheme="minorHAnsi" w:cstheme="minorBidi"/>
            <w:noProof/>
            <w:szCs w:val="22"/>
          </w:rPr>
          <w:tab/>
        </w:r>
        <w:r w:rsidR="007647A2" w:rsidRPr="00AC4D5B">
          <w:rPr>
            <w:rStyle w:val="Hypertextovodkaz"/>
            <w:noProof/>
          </w:rPr>
          <w:t>Další podkladové materiály</w:t>
        </w:r>
        <w:r w:rsidR="007647A2">
          <w:rPr>
            <w:noProof/>
            <w:webHidden/>
          </w:rPr>
          <w:tab/>
        </w:r>
        <w:r w:rsidR="007647A2">
          <w:rPr>
            <w:noProof/>
            <w:webHidden/>
          </w:rPr>
          <w:fldChar w:fldCharType="begin"/>
        </w:r>
        <w:r w:rsidR="007647A2">
          <w:rPr>
            <w:noProof/>
            <w:webHidden/>
          </w:rPr>
          <w:instrText xml:space="preserve"> PAGEREF _Toc421534348 \h </w:instrText>
        </w:r>
        <w:r w:rsidR="007647A2">
          <w:rPr>
            <w:noProof/>
            <w:webHidden/>
          </w:rPr>
        </w:r>
        <w:r w:rsidR="007647A2">
          <w:rPr>
            <w:noProof/>
            <w:webHidden/>
          </w:rPr>
          <w:fldChar w:fldCharType="separate"/>
        </w:r>
        <w:r w:rsidR="007647A2">
          <w:rPr>
            <w:noProof/>
            <w:webHidden/>
          </w:rPr>
          <w:t>232</w:t>
        </w:r>
        <w:r w:rsidR="007647A2">
          <w:rPr>
            <w:noProof/>
            <w:webHidden/>
          </w:rPr>
          <w:fldChar w:fldCharType="end"/>
        </w:r>
      </w:hyperlink>
    </w:p>
    <w:p w:rsidR="007647A2" w:rsidRDefault="001C1A67">
      <w:pPr>
        <w:pStyle w:val="Obsah1"/>
        <w:rPr>
          <w:rFonts w:asciiTheme="minorHAnsi" w:eastAsiaTheme="minorEastAsia" w:hAnsiTheme="minorHAnsi" w:cstheme="minorBidi"/>
          <w:noProof/>
          <w:szCs w:val="22"/>
        </w:rPr>
      </w:pPr>
      <w:hyperlink w:anchor="_Toc421534349" w:history="1">
        <w:r w:rsidR="007647A2" w:rsidRPr="00AC4D5B">
          <w:rPr>
            <w:rStyle w:val="Hypertextovodkaz"/>
            <w:noProof/>
          </w:rPr>
          <w:t>9</w:t>
        </w:r>
        <w:r w:rsidR="007647A2">
          <w:rPr>
            <w:rFonts w:asciiTheme="minorHAnsi" w:eastAsiaTheme="minorEastAsia" w:hAnsiTheme="minorHAnsi" w:cstheme="minorBidi"/>
            <w:noProof/>
            <w:szCs w:val="22"/>
          </w:rPr>
          <w:tab/>
        </w:r>
        <w:r w:rsidR="007647A2" w:rsidRPr="00AC4D5B">
          <w:rPr>
            <w:rStyle w:val="Hypertextovodkaz"/>
            <w:noProof/>
          </w:rPr>
          <w:t>Seznam zkratek</w:t>
        </w:r>
        <w:r w:rsidR="007647A2">
          <w:rPr>
            <w:noProof/>
            <w:webHidden/>
          </w:rPr>
          <w:tab/>
        </w:r>
        <w:r w:rsidR="007647A2">
          <w:rPr>
            <w:noProof/>
            <w:webHidden/>
          </w:rPr>
          <w:fldChar w:fldCharType="begin"/>
        </w:r>
        <w:r w:rsidR="007647A2">
          <w:rPr>
            <w:noProof/>
            <w:webHidden/>
          </w:rPr>
          <w:instrText xml:space="preserve"> PAGEREF _Toc421534349 \h </w:instrText>
        </w:r>
        <w:r w:rsidR="007647A2">
          <w:rPr>
            <w:noProof/>
            <w:webHidden/>
          </w:rPr>
        </w:r>
        <w:r w:rsidR="007647A2">
          <w:rPr>
            <w:noProof/>
            <w:webHidden/>
          </w:rPr>
          <w:fldChar w:fldCharType="separate"/>
        </w:r>
        <w:r w:rsidR="007647A2">
          <w:rPr>
            <w:noProof/>
            <w:webHidden/>
          </w:rPr>
          <w:t>234</w:t>
        </w:r>
        <w:r w:rsidR="007647A2">
          <w:rPr>
            <w:noProof/>
            <w:webHidden/>
          </w:rPr>
          <w:fldChar w:fldCharType="end"/>
        </w:r>
      </w:hyperlink>
    </w:p>
    <w:p w:rsidR="006D67F1" w:rsidRPr="002C224A" w:rsidRDefault="009333CC" w:rsidP="008074B1">
      <w:r w:rsidRPr="002C224A">
        <w:fldChar w:fldCharType="end"/>
      </w:r>
    </w:p>
    <w:p w:rsidR="006D67F1" w:rsidRPr="002C224A" w:rsidRDefault="006D67F1" w:rsidP="008074B1">
      <w:pPr>
        <w:pStyle w:val="Nadpis1"/>
        <w:rPr>
          <w:rFonts w:ascii="Calibri" w:hAnsi="Calibri"/>
        </w:rPr>
      </w:pPr>
      <w:r w:rsidRPr="002C224A">
        <w:rPr>
          <w:rFonts w:ascii="Calibri" w:hAnsi="Calibri" w:cs="Calibri"/>
          <w:szCs w:val="24"/>
        </w:rPr>
        <w:br w:type="page"/>
      </w:r>
      <w:bookmarkStart w:id="2" w:name="_Toc421534261"/>
      <w:r w:rsidRPr="002C224A">
        <w:rPr>
          <w:rFonts w:ascii="Calibri" w:hAnsi="Calibri"/>
        </w:rPr>
        <w:lastRenderedPageBreak/>
        <w:t>Definice základních pojmů</w:t>
      </w:r>
      <w:bookmarkEnd w:id="2"/>
    </w:p>
    <w:p w:rsidR="006D67F1" w:rsidRPr="00A50943" w:rsidRDefault="006D67F1" w:rsidP="008074B1"/>
    <w:p w:rsidR="006D67F1" w:rsidRPr="00A50943" w:rsidRDefault="006D67F1" w:rsidP="008074B1">
      <w:r w:rsidRPr="002C224A">
        <w:t>V kontextu tohoto předběžného posouzení finančních nástrojů a v souladu s Obecným nařízením</w:t>
      </w:r>
      <w:r w:rsidRPr="002C224A">
        <w:rPr>
          <w:rStyle w:val="Znakapoznpodarou"/>
          <w:rFonts w:ascii="Calibri" w:hAnsi="Calibri"/>
        </w:rPr>
        <w:footnoteReference w:id="1"/>
      </w:r>
      <w:r w:rsidRPr="00A50943">
        <w:t>, Finančním nařízením</w:t>
      </w:r>
      <w:r w:rsidRPr="00A50943">
        <w:rPr>
          <w:rStyle w:val="Znakapoznpodarou"/>
          <w:rFonts w:ascii="Calibri" w:hAnsi="Calibri" w:cs="Calibri"/>
          <w:color w:val="222222"/>
          <w:szCs w:val="22"/>
        </w:rPr>
        <w:footnoteReference w:id="2"/>
      </w:r>
      <w:r w:rsidRPr="00A50943">
        <w:t xml:space="preserve"> a Metodickým pokynem finančních toků</w:t>
      </w:r>
      <w:r w:rsidR="003F7F34" w:rsidRPr="002C224A">
        <w:rPr>
          <w:rStyle w:val="Znakapoznpodarou"/>
          <w:rFonts w:ascii="Calibri" w:hAnsi="Calibri"/>
        </w:rPr>
        <w:footnoteReference w:id="3"/>
      </w:r>
      <w:r w:rsidRPr="00A50943">
        <w:t xml:space="preserve"> se rozumí:</w:t>
      </w:r>
    </w:p>
    <w:p w:rsidR="006D67F1" w:rsidRPr="002C224A" w:rsidRDefault="006D67F1" w:rsidP="008074B1"/>
    <w:p w:rsidR="006D67F1" w:rsidRDefault="006D67F1" w:rsidP="00EF6121">
      <w:pPr>
        <w:pStyle w:val="Odstavecseseznamem"/>
        <w:numPr>
          <w:ilvl w:val="0"/>
          <w:numId w:val="99"/>
        </w:numPr>
      </w:pPr>
      <w:r w:rsidRPr="002C224A">
        <w:t>„finančním nástrojem“ opatření finanční podpory ve formě kapitálových či kvazikapitálových investic, půjček nebo záruk anebo jiných nástrojů ke sdílení rizik přičemž tam, kde je to vhodné, mohou být spojeny s granty, pokud není v Obecném nařízení stanoveno jinak;</w:t>
      </w:r>
    </w:p>
    <w:p w:rsidR="001E08E2" w:rsidRPr="001E08E2" w:rsidRDefault="001E08E2" w:rsidP="00EF6121">
      <w:pPr>
        <w:pStyle w:val="Odstavecseseznamem"/>
        <w:numPr>
          <w:ilvl w:val="0"/>
          <w:numId w:val="99"/>
        </w:numPr>
        <w:tabs>
          <w:tab w:val="left" w:pos="3402"/>
        </w:tabs>
        <w:spacing w:line="280" w:lineRule="atLeast"/>
        <w:rPr>
          <w:rFonts w:cs="Calibri"/>
          <w:szCs w:val="24"/>
        </w:rPr>
      </w:pPr>
      <w:r>
        <w:rPr>
          <w:rFonts w:cs="Calibri"/>
          <w:szCs w:val="24"/>
        </w:rPr>
        <w:t>„f</w:t>
      </w:r>
      <w:r w:rsidRPr="001E08E2">
        <w:rPr>
          <w:rFonts w:cs="Calibri"/>
          <w:szCs w:val="24"/>
        </w:rPr>
        <w:t>irst piece loss</w:t>
      </w:r>
      <w:r>
        <w:rPr>
          <w:rFonts w:cs="Calibri"/>
          <w:szCs w:val="24"/>
        </w:rPr>
        <w:t>“ – h</w:t>
      </w:r>
      <w:r w:rsidRPr="001E08E2">
        <w:rPr>
          <w:rFonts w:cs="Calibri"/>
          <w:szCs w:val="24"/>
        </w:rPr>
        <w:t>razení předem daných prvních ztrát portfolia</w:t>
      </w:r>
    </w:p>
    <w:p w:rsidR="001E08E2" w:rsidRPr="002C224A" w:rsidRDefault="001E08E2" w:rsidP="00EF6121">
      <w:pPr>
        <w:pStyle w:val="Odstavecseseznamem"/>
        <w:numPr>
          <w:ilvl w:val="0"/>
          <w:numId w:val="99"/>
        </w:numPr>
      </w:pPr>
      <w:r>
        <w:rPr>
          <w:rFonts w:cs="Calibri"/>
          <w:szCs w:val="24"/>
        </w:rPr>
        <w:t>„second piece loss“ – hrazení dalších ztrát portfolia</w:t>
      </w:r>
    </w:p>
    <w:p w:rsidR="006D67F1" w:rsidRPr="00802B96" w:rsidRDefault="006D67F1" w:rsidP="00EF6121">
      <w:pPr>
        <w:pStyle w:val="Odstavecseseznamem"/>
        <w:numPr>
          <w:ilvl w:val="0"/>
          <w:numId w:val="99"/>
        </w:numPr>
        <w:rPr>
          <w:rFonts w:cs="Calibri"/>
          <w:szCs w:val="24"/>
        </w:rPr>
      </w:pPr>
      <w:r w:rsidRPr="001C1A67">
        <w:rPr>
          <w:rFonts w:cs="Calibri"/>
          <w:szCs w:val="24"/>
        </w:rPr>
        <w:t xml:space="preserve">„fondem fondů“ fond, který investuje prostředky do více finančních nástrojů a pro svou činnost typicky </w:t>
      </w:r>
      <w:r w:rsidRPr="00802B96">
        <w:rPr>
          <w:rFonts w:cs="Calibri"/>
          <w:szCs w:val="24"/>
        </w:rPr>
        <w:t>využívá finanční zprostředkovatele;</w:t>
      </w:r>
    </w:p>
    <w:p w:rsidR="006D67F1" w:rsidRPr="00EF6121" w:rsidRDefault="006D67F1" w:rsidP="00EF6121">
      <w:pPr>
        <w:pStyle w:val="Odstavecseseznamem"/>
        <w:numPr>
          <w:ilvl w:val="0"/>
          <w:numId w:val="99"/>
        </w:numPr>
        <w:rPr>
          <w:rFonts w:cs="Calibri"/>
          <w:szCs w:val="24"/>
        </w:rPr>
      </w:pPr>
      <w:r w:rsidRPr="00EF6121">
        <w:rPr>
          <w:rFonts w:cs="Calibri"/>
          <w:szCs w:val="24"/>
        </w:rPr>
        <w:t>„příjemcem“ subjekt, který provádí finanční nástroj, popřípadě fond fondů. V případě, že je pro realizaci finančního nástroje nebo fondu fondů řídícím orgánem založeno SPV jako příjemce prostředků státního rozpočtu obhospodařované příjemcem, je v souladu s obecně závaznými právními předpisy možné, aby smlouvy s konečnými příjemci</w:t>
      </w:r>
      <w:r w:rsidR="00554FD3" w:rsidRPr="00EF6121">
        <w:rPr>
          <w:rFonts w:cs="Calibri"/>
          <w:szCs w:val="24"/>
        </w:rPr>
        <w:t xml:space="preserve"> a</w:t>
      </w:r>
      <w:r w:rsidR="00A11346" w:rsidRPr="00EF6121">
        <w:rPr>
          <w:rFonts w:cs="Calibri"/>
          <w:szCs w:val="24"/>
        </w:rPr>
        <w:t xml:space="preserve"> </w:t>
      </w:r>
      <w:r w:rsidRPr="00EF6121">
        <w:rPr>
          <w:rFonts w:cs="Calibri"/>
          <w:szCs w:val="24"/>
        </w:rPr>
        <w:t>soukromými spoluinvestory podepisoval příjemce jménem příjemce prostředků státního rozpočtu;</w:t>
      </w:r>
    </w:p>
    <w:p w:rsidR="006D67F1" w:rsidRPr="00EF6121" w:rsidRDefault="006D67F1" w:rsidP="00EF6121">
      <w:pPr>
        <w:pStyle w:val="Odstavecseseznamem"/>
        <w:numPr>
          <w:ilvl w:val="0"/>
          <w:numId w:val="99"/>
        </w:numPr>
        <w:rPr>
          <w:rFonts w:cs="Calibri"/>
          <w:szCs w:val="24"/>
        </w:rPr>
      </w:pPr>
      <w:r w:rsidRPr="00EF6121">
        <w:rPr>
          <w:rFonts w:cs="Calibri"/>
          <w:szCs w:val="24"/>
        </w:rPr>
        <w:t>„dohodou o financování“ dohoda o financování podle čl. 38 odst. 7 Obecného nařízení;</w:t>
      </w:r>
    </w:p>
    <w:p w:rsidR="006D67F1" w:rsidRPr="00EF6121" w:rsidRDefault="006D67F1" w:rsidP="00EF6121">
      <w:pPr>
        <w:pStyle w:val="Odstavecseseznamem"/>
        <w:numPr>
          <w:ilvl w:val="0"/>
          <w:numId w:val="99"/>
        </w:numPr>
        <w:rPr>
          <w:rFonts w:cs="Calibri"/>
          <w:szCs w:val="24"/>
        </w:rPr>
      </w:pPr>
      <w:r w:rsidRPr="00EF6121">
        <w:rPr>
          <w:rFonts w:cs="Calibri"/>
          <w:szCs w:val="24"/>
        </w:rPr>
        <w:t>„finančním zprostředkovatelem“ subjekt, kterému subjekt uvedený v čl. 38 odst. 4 prvním pododstavci písm. a) a b) Obecného nařízení při provádění fond</w:t>
      </w:r>
      <w:r w:rsidR="00C53B25" w:rsidRPr="00EF6121">
        <w:rPr>
          <w:rFonts w:cs="Calibri"/>
          <w:szCs w:val="24"/>
        </w:rPr>
        <w:t>u</w:t>
      </w:r>
      <w:r w:rsidRPr="00EF6121">
        <w:rPr>
          <w:rFonts w:cs="Calibri"/>
          <w:szCs w:val="24"/>
        </w:rPr>
        <w:t xml:space="preserve"> fondů svěřil část provádění za předpokladu, že tento subjekt na vlastní odpovědnost zajistí, aby finanční zprostředkovatel splňoval kritéria stanovená v čl. 140 odst. 1, </w:t>
      </w:r>
      <w:smartTag w:uri="urn:schemas-microsoft-com:office:smarttags" w:element="metricconverter">
        <w:smartTagPr>
          <w:attr w:name="ProductID" w:val="2 a"/>
        </w:smartTagPr>
        <w:r w:rsidRPr="00EF6121">
          <w:rPr>
            <w:rFonts w:cs="Calibri"/>
            <w:szCs w:val="24"/>
          </w:rPr>
          <w:t>2 a</w:t>
        </w:r>
      </w:smartTag>
      <w:r w:rsidRPr="00EF6121">
        <w:rPr>
          <w:rFonts w:cs="Calibri"/>
          <w:szCs w:val="24"/>
        </w:rPr>
        <w:t xml:space="preserve"> 4 Finančního nařízení. Finanční zprostředkovatelé se vybírají prostřednictvím otevřených, transparentních, přiměřených a nediskriminačních postupů, kdy je vyloučen střet zájmů;</w:t>
      </w:r>
    </w:p>
    <w:p w:rsidR="006D67F1" w:rsidRPr="00EF6121" w:rsidRDefault="006D67F1" w:rsidP="00EF6121">
      <w:pPr>
        <w:pStyle w:val="Odstavecseseznamem"/>
        <w:numPr>
          <w:ilvl w:val="0"/>
          <w:numId w:val="99"/>
        </w:numPr>
        <w:rPr>
          <w:rFonts w:cs="Calibri"/>
          <w:szCs w:val="24"/>
        </w:rPr>
      </w:pPr>
      <w:r w:rsidRPr="00EF6121">
        <w:rPr>
          <w:rFonts w:cs="Calibri"/>
          <w:szCs w:val="24"/>
        </w:rPr>
        <w:t>„konečným příjemcem“ právnická nebo fyzická osoba, která dostává finanční podporu z finančního nástroje;</w:t>
      </w:r>
    </w:p>
    <w:p w:rsidR="006D67F1" w:rsidRPr="00EF6121" w:rsidRDefault="006D67F1" w:rsidP="00EF6121">
      <w:pPr>
        <w:pStyle w:val="Odstavecseseznamem"/>
        <w:numPr>
          <w:ilvl w:val="0"/>
          <w:numId w:val="99"/>
        </w:numPr>
        <w:rPr>
          <w:rFonts w:cs="Calibri"/>
          <w:szCs w:val="24"/>
        </w:rPr>
      </w:pPr>
      <w:r w:rsidRPr="00EF6121">
        <w:rPr>
          <w:rFonts w:cs="Calibri"/>
          <w:szCs w:val="24"/>
        </w:rPr>
        <w:t>„operací“ finanční příspěvky z operačního programu na finanční nástroje a následná finanční podpora, kterou tyto finanční nástroje poskytují;</w:t>
      </w:r>
    </w:p>
    <w:p w:rsidR="006D67F1" w:rsidRPr="00EF6121" w:rsidRDefault="006D67F1" w:rsidP="00EF6121">
      <w:pPr>
        <w:pStyle w:val="Odstavecseseznamem"/>
        <w:numPr>
          <w:ilvl w:val="0"/>
          <w:numId w:val="99"/>
        </w:numPr>
        <w:rPr>
          <w:rFonts w:cs="Calibri"/>
          <w:szCs w:val="24"/>
        </w:rPr>
      </w:pPr>
      <w:r w:rsidRPr="00EF6121">
        <w:rPr>
          <w:rFonts w:cs="Calibri"/>
          <w:szCs w:val="24"/>
        </w:rPr>
        <w:t>„projektem konečného příjemce“ finanční, časový a materiální plán činností, který tvoří logický celek, zpracovaný v písemné formě, na který lze čerpat podporu z finančního nástroje v souladu s pravidly pro způsobilost výdajů;</w:t>
      </w:r>
    </w:p>
    <w:p w:rsidR="006D67F1" w:rsidRPr="00EF6121" w:rsidRDefault="006D67F1" w:rsidP="00EF6121">
      <w:pPr>
        <w:pStyle w:val="Odstavecseseznamem"/>
        <w:numPr>
          <w:ilvl w:val="0"/>
          <w:numId w:val="100"/>
        </w:numPr>
        <w:rPr>
          <w:rFonts w:cs="Calibri"/>
          <w:szCs w:val="24"/>
        </w:rPr>
      </w:pPr>
      <w:r w:rsidRPr="00EF6121">
        <w:rPr>
          <w:rFonts w:cs="Calibri"/>
          <w:szCs w:val="24"/>
        </w:rPr>
        <w:t>„půjčkou“ či „úvěrem“ smlouva, která zavazuje poskytovatele půjčky</w:t>
      </w:r>
      <w:r w:rsidR="00B24970" w:rsidRPr="00EF6121">
        <w:rPr>
          <w:rFonts w:cs="Calibri"/>
          <w:szCs w:val="24"/>
        </w:rPr>
        <w:t xml:space="preserve">/úvěru </w:t>
      </w:r>
      <w:r w:rsidRPr="00EF6121">
        <w:rPr>
          <w:rFonts w:cs="Calibri"/>
          <w:szCs w:val="24"/>
        </w:rPr>
        <w:t xml:space="preserve"> k tomu, aby dal příjemci půjčky</w:t>
      </w:r>
      <w:r w:rsidR="00B24970" w:rsidRPr="00EF6121">
        <w:rPr>
          <w:rFonts w:cs="Calibri"/>
          <w:szCs w:val="24"/>
        </w:rPr>
        <w:t>/úvěru</w:t>
      </w:r>
      <w:r w:rsidRPr="00EF6121">
        <w:rPr>
          <w:rFonts w:cs="Calibri"/>
          <w:szCs w:val="24"/>
        </w:rPr>
        <w:t xml:space="preserve"> k dispozici peněžní částku v dohodnuté výši a na dohodnutou dobu, již je příjemce půjčky</w:t>
      </w:r>
      <w:r w:rsidR="00B24970" w:rsidRPr="00EF6121">
        <w:rPr>
          <w:rFonts w:cs="Calibri"/>
          <w:szCs w:val="24"/>
        </w:rPr>
        <w:t xml:space="preserve">/úvěru </w:t>
      </w:r>
      <w:r w:rsidRPr="00EF6121">
        <w:rPr>
          <w:rFonts w:cs="Calibri"/>
          <w:szCs w:val="24"/>
        </w:rPr>
        <w:t xml:space="preserve"> povinen splatit v dohodnuté době; </w:t>
      </w:r>
    </w:p>
    <w:p w:rsidR="006D67F1" w:rsidRPr="00EF6121" w:rsidRDefault="006D67F1" w:rsidP="00EF6121">
      <w:pPr>
        <w:pStyle w:val="Odstavecseseznamem"/>
        <w:numPr>
          <w:ilvl w:val="0"/>
          <w:numId w:val="99"/>
        </w:numPr>
        <w:rPr>
          <w:rFonts w:cs="Calibri"/>
          <w:szCs w:val="24"/>
        </w:rPr>
      </w:pPr>
      <w:r w:rsidRPr="00EF6121">
        <w:rPr>
          <w:rFonts w:cs="Calibri"/>
          <w:szCs w:val="24"/>
        </w:rPr>
        <w:t xml:space="preserve">„zárukou“ písemný závazek, kterým ručitel přebírá odpovědnost za všechny či některé závazky či povinnosti třetí osoby anebo za úspěšné splnění povinností touto třetí osobou, nastane-li událost, která vede k uplatnění takové záruky, například prodlení při splácení půjčky; </w:t>
      </w:r>
    </w:p>
    <w:p w:rsidR="006D67F1" w:rsidRPr="00EF6121" w:rsidRDefault="006D67F1" w:rsidP="00EF6121">
      <w:pPr>
        <w:pStyle w:val="Odstavecseseznamem"/>
        <w:numPr>
          <w:ilvl w:val="0"/>
          <w:numId w:val="99"/>
        </w:numPr>
        <w:rPr>
          <w:rFonts w:cs="Calibri"/>
          <w:szCs w:val="24"/>
        </w:rPr>
      </w:pPr>
      <w:r w:rsidRPr="00EF6121">
        <w:rPr>
          <w:rFonts w:cs="Calibri"/>
          <w:szCs w:val="24"/>
        </w:rPr>
        <w:t xml:space="preserve">„kapitálovou investicí“ poskytnutí kapitálu společnosti investorem přímo či nepřímo výměnou za celkové nebo částečné vlastnictví této společnosti, při němž může investor převzít určitou kontrolu nad řízením společnosti a podílet se na jejím zisku; </w:t>
      </w:r>
    </w:p>
    <w:p w:rsidR="006D67F1" w:rsidRPr="00EF6121" w:rsidRDefault="006D67F1" w:rsidP="00EF6121">
      <w:pPr>
        <w:pStyle w:val="Odstavecseseznamem"/>
        <w:numPr>
          <w:ilvl w:val="0"/>
          <w:numId w:val="99"/>
        </w:numPr>
        <w:rPr>
          <w:rFonts w:cs="Calibri"/>
          <w:szCs w:val="24"/>
        </w:rPr>
      </w:pPr>
      <w:r w:rsidRPr="00EF6121">
        <w:rPr>
          <w:rFonts w:cs="Calibri"/>
          <w:szCs w:val="24"/>
        </w:rPr>
        <w:lastRenderedPageBreak/>
        <w:t>„kvazikapitálovou investicí“ takový typ financování, které stojí mezi kapitálovou investicí a dluhem, je rizikovější než přednostní dluh a méně rizikový než běžná kapitálová investice. Kvazikapitálové investice mohou mít strukturu dluhu, obvykle nezajištěného a podřízeného, který lze převést na kapitál nebo na preferenční kapitál;</w:t>
      </w:r>
    </w:p>
    <w:p w:rsidR="006D67F1" w:rsidRPr="00EF6121" w:rsidRDefault="006D67F1" w:rsidP="00EF6121">
      <w:pPr>
        <w:pStyle w:val="Odstavecseseznamem"/>
        <w:numPr>
          <w:ilvl w:val="0"/>
          <w:numId w:val="99"/>
        </w:numPr>
        <w:rPr>
          <w:rFonts w:cs="Calibri"/>
          <w:szCs w:val="24"/>
        </w:rPr>
      </w:pPr>
      <w:r w:rsidRPr="00EF6121">
        <w:rPr>
          <w:rFonts w:cs="Calibri"/>
          <w:szCs w:val="24"/>
        </w:rPr>
        <w:t>„nástrojem ke sdílení rizik“ finanční nástroj, který umožňuje sdílet definované riziko mezi dvěma či více subjekty, případně výměnou za dohodnutou odměnu;</w:t>
      </w:r>
    </w:p>
    <w:p w:rsidR="006D67F1" w:rsidRPr="002C224A" w:rsidRDefault="006D67F1" w:rsidP="00EF6121">
      <w:pPr>
        <w:pStyle w:val="Odstavecseseznamem"/>
        <w:numPr>
          <w:ilvl w:val="0"/>
          <w:numId w:val="99"/>
        </w:numPr>
      </w:pPr>
      <w:r w:rsidRPr="002C224A">
        <w:t>„EIB“ Evropská investiční banka, Evropský investiční fond nebo jakákoli dceřiná společnost Evropské investiční banky.</w:t>
      </w:r>
    </w:p>
    <w:p w:rsidR="006D67F1" w:rsidRPr="002C224A" w:rsidRDefault="006D67F1" w:rsidP="008074B1">
      <w:pPr>
        <w:pStyle w:val="Nadpis1"/>
        <w:rPr>
          <w:rFonts w:ascii="Calibri" w:hAnsi="Calibri"/>
        </w:rPr>
      </w:pPr>
      <w:r w:rsidRPr="002C224A">
        <w:rPr>
          <w:rFonts w:ascii="Calibri" w:hAnsi="Calibri"/>
        </w:rPr>
        <w:br w:type="page"/>
      </w:r>
      <w:bookmarkStart w:id="3" w:name="_Toc421534262"/>
      <w:r w:rsidRPr="002C224A">
        <w:rPr>
          <w:rFonts w:ascii="Calibri" w:hAnsi="Calibri"/>
        </w:rPr>
        <w:lastRenderedPageBreak/>
        <w:t>Manažerské shrnutí</w:t>
      </w:r>
      <w:bookmarkEnd w:id="3"/>
    </w:p>
    <w:p w:rsidR="006D67F1" w:rsidRPr="00A50943" w:rsidRDefault="006D67F1" w:rsidP="004D17FB"/>
    <w:p w:rsidR="006D67F1" w:rsidRPr="002C224A" w:rsidRDefault="006D67F1" w:rsidP="000672FF">
      <w:r w:rsidRPr="002C224A">
        <w:t>Předkládaný dokument představuje předběžné posouzení finančních nástrojů v Operačním programu Podnikání a inovace (OP PIK) podle čl. 37 odst. 2 Obecného nařízení, které tvoří první krok k implementaci finančních nástrojů v novém programovacím období 2014-2020 v rámci operačního programu Ministerstva průmyslu a obchodu (MPO).</w:t>
      </w:r>
    </w:p>
    <w:p w:rsidR="006D67F1" w:rsidRPr="002C224A" w:rsidRDefault="006D67F1" w:rsidP="000672FF"/>
    <w:p w:rsidR="006D67F1" w:rsidRPr="002C224A" w:rsidRDefault="006D67F1" w:rsidP="000672FF">
      <w:r w:rsidRPr="002C224A">
        <w:t>Evropská komise v minulosti mnohokrát deklarovala, že finanční nástroje (dále též jen „FN“) považuje za jedno z klíčových témat nového finančního rámce. Strategie Evropa 2020 v této souvislosti na několika místech mluví o „mobilizaci finančních nástrojů“. Již v programovém období 2007-2013 došlo v rámci jak kohezní politiky, tak iniciativ Komise k významnému pokroku ve využívání finančních nástrojů, období 2014-2020 má jejich význam dále posílit. Česká republika si tuto příležitost uvědomuje – význam finančních nástrojů akcentuje zejména současné úsilí vlády o aktivizaci Českomoravské záruční a rozvojové banky</w:t>
      </w:r>
      <w:r w:rsidR="00B24970" w:rsidRPr="002C224A">
        <w:t>, a.s.</w:t>
      </w:r>
      <w:r w:rsidRPr="002C224A">
        <w:t xml:space="preserve"> (ČMZRB). </w:t>
      </w:r>
    </w:p>
    <w:p w:rsidR="006D67F1" w:rsidRPr="002C224A" w:rsidRDefault="006D67F1" w:rsidP="000672FF"/>
    <w:p w:rsidR="006D67F1" w:rsidRPr="002C224A" w:rsidRDefault="006D67F1" w:rsidP="000672FF">
      <w:r w:rsidRPr="002C224A">
        <w:t>MPO chápe finanční nástroje jako efektivní formu realizace politiky podpory podnikání a inovací s potenciálem v řadě oblastí. Jedná se však o prostředek dosažení stanovených cílů v oblasti těchto politik, nikoliv o cíl samotný. Proto se tato analýza v první fázi zaměřuje především na strategický postup pro výběr vhodných opatření/strategických cílů OP PIK pro aplikaci finančních nástrojů.</w:t>
      </w:r>
      <w:r w:rsidR="00AA7B28" w:rsidRPr="002C224A">
        <w:t xml:space="preserve"> Závěry Předběžného posouzení finančních nástrojů OPPIK jsou v souladu se závěry Ex ante hodnocení OPPIK.</w:t>
      </w:r>
    </w:p>
    <w:p w:rsidR="006D67F1" w:rsidRPr="002C224A" w:rsidRDefault="006D67F1" w:rsidP="000672FF"/>
    <w:p w:rsidR="006D67F1" w:rsidRPr="002C224A" w:rsidRDefault="006D67F1" w:rsidP="000672FF">
      <w:pPr>
        <w:rPr>
          <w:b/>
        </w:rPr>
      </w:pPr>
      <w:r w:rsidRPr="002C224A">
        <w:rPr>
          <w:b/>
        </w:rPr>
        <w:t>Předběžné posouzení finančních nástrojů OP</w:t>
      </w:r>
      <w:r w:rsidR="000E7BA3" w:rsidRPr="002C224A">
        <w:rPr>
          <w:b/>
        </w:rPr>
        <w:t xml:space="preserve"> </w:t>
      </w:r>
      <w:r w:rsidRPr="002C224A">
        <w:rPr>
          <w:b/>
        </w:rPr>
        <w:t>PIK bylo připraveno v souladu se zaměřením operačního programu, přičemž navrhované finanční nástroje navazují kromě OP</w:t>
      </w:r>
      <w:r w:rsidR="000E7BA3" w:rsidRPr="002C224A">
        <w:rPr>
          <w:b/>
        </w:rPr>
        <w:t xml:space="preserve"> </w:t>
      </w:r>
      <w:r w:rsidRPr="002C224A">
        <w:rPr>
          <w:b/>
        </w:rPr>
        <w:t>PIK a Dohody o partnerství též na následující strategické dokumenty vlády, se kterými jsou svým zaměřením v souladu:</w:t>
      </w:r>
    </w:p>
    <w:p w:rsidR="006D67F1" w:rsidRPr="002C224A" w:rsidRDefault="006D67F1" w:rsidP="000672FF"/>
    <w:p w:rsidR="006D67F1" w:rsidRPr="002C224A" w:rsidRDefault="006D67F1" w:rsidP="000672FF">
      <w:pPr>
        <w:numPr>
          <w:ilvl w:val="0"/>
          <w:numId w:val="62"/>
        </w:numPr>
      </w:pPr>
      <w:r w:rsidRPr="002C224A">
        <w:t>Národní výzkumná a inovační strategie pro inteligentní specializaci České republiky (Národní RIS3 strategie)</w:t>
      </w:r>
    </w:p>
    <w:p w:rsidR="006D67F1" w:rsidRPr="002C224A" w:rsidRDefault="006D67F1" w:rsidP="000672FF">
      <w:pPr>
        <w:numPr>
          <w:ilvl w:val="0"/>
          <w:numId w:val="62"/>
        </w:numPr>
      </w:pPr>
      <w:r w:rsidRPr="002C224A">
        <w:t>Národní program reforem</w:t>
      </w:r>
    </w:p>
    <w:p w:rsidR="006D67F1" w:rsidRPr="002C224A" w:rsidRDefault="006D67F1" w:rsidP="000672FF">
      <w:pPr>
        <w:numPr>
          <w:ilvl w:val="0"/>
          <w:numId w:val="62"/>
        </w:numPr>
      </w:pPr>
      <w:r w:rsidRPr="002C224A">
        <w:t>Koncepce podpory malých a středních podnikatelů na období let 2014-2020</w:t>
      </w:r>
    </w:p>
    <w:p w:rsidR="006D67F1" w:rsidRPr="002C224A" w:rsidRDefault="006D67F1" w:rsidP="000672FF">
      <w:pPr>
        <w:numPr>
          <w:ilvl w:val="0"/>
          <w:numId w:val="62"/>
        </w:numPr>
      </w:pPr>
      <w:r w:rsidRPr="002C224A">
        <w:t>Strategie mezinárodní konkurenceschopnosti České republiky pro období 2012-2020</w:t>
      </w:r>
    </w:p>
    <w:p w:rsidR="006D67F1" w:rsidRPr="002C224A" w:rsidRDefault="006D67F1" w:rsidP="000672FF">
      <w:pPr>
        <w:numPr>
          <w:ilvl w:val="0"/>
          <w:numId w:val="62"/>
        </w:numPr>
      </w:pPr>
      <w:r w:rsidRPr="002C224A">
        <w:t>Strategie regionálního rozvoje ČR 2014 – 2020</w:t>
      </w:r>
    </w:p>
    <w:p w:rsidR="006D67F1" w:rsidRPr="002C224A" w:rsidRDefault="006D67F1" w:rsidP="000672FF"/>
    <w:p w:rsidR="006D67F1" w:rsidRPr="002C224A" w:rsidRDefault="006D67F1" w:rsidP="000672FF">
      <w:pPr>
        <w:rPr>
          <w:b/>
        </w:rPr>
      </w:pPr>
      <w:r w:rsidRPr="002C224A">
        <w:rPr>
          <w:b/>
        </w:rPr>
        <w:t>Na zpracování předběžného posouzení se podílel zejména odbor finančních nástrojů a řízení projektů MPO a společnost Deloitte Advisory, s.r.o, coby dodavatel externích podkladů a nezávislé oponentury.</w:t>
      </w:r>
    </w:p>
    <w:p w:rsidR="006D67F1" w:rsidRPr="002C224A" w:rsidRDefault="006D67F1" w:rsidP="004D17FB"/>
    <w:p w:rsidR="006D67F1" w:rsidRPr="002C224A" w:rsidRDefault="006D67F1" w:rsidP="004D17FB">
      <w:r w:rsidRPr="002C224A">
        <w:rPr>
          <w:b/>
        </w:rPr>
        <w:t>V rámci provádění předběžného posouzení byla provedena dvě dotazníková šetření.</w:t>
      </w:r>
      <w:r w:rsidRPr="002C224A">
        <w:t xml:space="preserve"> První bylo zaměřeno na všechny potenciální příjemce podpory z</w:t>
      </w:r>
      <w:r w:rsidR="000E7BA3" w:rsidRPr="002C224A">
        <w:t> </w:t>
      </w:r>
      <w:r w:rsidRPr="002C224A">
        <w:t>OP</w:t>
      </w:r>
      <w:r w:rsidR="000E7BA3" w:rsidRPr="002C224A">
        <w:t xml:space="preserve"> </w:t>
      </w:r>
      <w:r w:rsidRPr="002C224A">
        <w:t xml:space="preserve">PIK (malé, střední a velké podniky), kteří byli dotazováni na podmínky svého financování a investiční záměry v příštích letech. </w:t>
      </w:r>
      <w:r w:rsidR="004A1E07" w:rsidRPr="002C224A">
        <w:rPr>
          <w:b/>
        </w:rPr>
        <w:t>Bylo přímo osloveno</w:t>
      </w:r>
      <w:r w:rsidRPr="002C224A">
        <w:rPr>
          <w:b/>
        </w:rPr>
        <w:t xml:space="preserve"> přes 15 000 </w:t>
      </w:r>
      <w:r w:rsidR="004A1E07" w:rsidRPr="002C224A">
        <w:rPr>
          <w:b/>
        </w:rPr>
        <w:t xml:space="preserve">podnikatelských </w:t>
      </w:r>
      <w:r w:rsidRPr="002C224A">
        <w:rPr>
          <w:b/>
        </w:rPr>
        <w:t xml:space="preserve">subjektů, z nichž 1077 odpovědělo. </w:t>
      </w:r>
      <w:r w:rsidRPr="002C224A">
        <w:t xml:space="preserve">Druhé dotazníkové šetření bylo zaměřeno specificky na začínající technologické společnosti. V rámci tohoto šetření bylo osloveno 55 </w:t>
      </w:r>
      <w:r w:rsidR="004A1E07" w:rsidRPr="002C224A">
        <w:t xml:space="preserve">organizací </w:t>
      </w:r>
      <w:r w:rsidRPr="002C224A">
        <w:t>z prostředí startupů: podnikatelské inkubátory, akcelerátory, vysoké školy apod.</w:t>
      </w:r>
      <w:r w:rsidR="00403639" w:rsidRPr="002C224A">
        <w:t>, které dotazníky dále distribuovaly.</w:t>
      </w:r>
      <w:r w:rsidRPr="002C224A">
        <w:t xml:space="preserve"> </w:t>
      </w:r>
      <w:r w:rsidRPr="002C224A">
        <w:rPr>
          <w:b/>
        </w:rPr>
        <w:t>Podařilo se získat téměř 80 odpovědí startupů a spinoffů</w:t>
      </w:r>
      <w:r w:rsidR="004A1E07" w:rsidRPr="00A50943">
        <w:rPr>
          <w:b/>
        </w:rPr>
        <w:t>.</w:t>
      </w:r>
      <w:r w:rsidR="00B24970" w:rsidRPr="002C224A">
        <w:rPr>
          <w:b/>
        </w:rPr>
        <w:t xml:space="preserve"> </w:t>
      </w:r>
    </w:p>
    <w:p w:rsidR="006D67F1" w:rsidRPr="002C224A" w:rsidRDefault="006D67F1" w:rsidP="004D17FB"/>
    <w:p w:rsidR="006D67F1" w:rsidRPr="002C224A" w:rsidRDefault="006D67F1" w:rsidP="004D17FB">
      <w:pPr>
        <w:rPr>
          <w:b/>
        </w:rPr>
      </w:pPr>
      <w:r w:rsidRPr="002C224A">
        <w:rPr>
          <w:b/>
        </w:rPr>
        <w:t>Mezi hlavní zjištění těchto šetření patřilo zjištění silné potřeby zvýhodněných finančních podmínek jako motivace pro provádění investic a zvyšování konkurenceschopnosti, zejména v případě malých a středních podniků.</w:t>
      </w:r>
    </w:p>
    <w:p w:rsidR="006D67F1" w:rsidRPr="002C224A" w:rsidRDefault="006D67F1" w:rsidP="004D17FB"/>
    <w:p w:rsidR="006D67F1" w:rsidRPr="002C224A" w:rsidRDefault="006D67F1" w:rsidP="004D17FB">
      <w:r w:rsidRPr="002C224A">
        <w:rPr>
          <w:b/>
        </w:rPr>
        <w:lastRenderedPageBreak/>
        <w:t>Dále bylo provedeno 35 schůzek se zástupci strany nabídky i poptávky po financování</w:t>
      </w:r>
      <w:r w:rsidRPr="002C224A">
        <w:t xml:space="preserve">. Se zástupci </w:t>
      </w:r>
      <w:r w:rsidR="00B24970" w:rsidRPr="002C224A">
        <w:t xml:space="preserve">těchto </w:t>
      </w:r>
      <w:r w:rsidRPr="002C224A">
        <w:t xml:space="preserve">subjektů byly následně několikrát konzultovány pracovní verze závěrů </w:t>
      </w:r>
      <w:r w:rsidR="00B24970" w:rsidRPr="002C224A">
        <w:t xml:space="preserve">tohoto </w:t>
      </w:r>
      <w:r w:rsidRPr="002C224A">
        <w:t>předběžného posouzení na základě principu partnerství.</w:t>
      </w:r>
    </w:p>
    <w:p w:rsidR="006D67F1" w:rsidRPr="002C224A" w:rsidRDefault="006D67F1" w:rsidP="004D17FB"/>
    <w:p w:rsidR="006D67F1" w:rsidRPr="002C224A" w:rsidRDefault="006D67F1" w:rsidP="004D17FB">
      <w:pPr>
        <w:rPr>
          <w:b/>
        </w:rPr>
      </w:pPr>
      <w:r w:rsidRPr="002C224A">
        <w:rPr>
          <w:b/>
        </w:rPr>
        <w:t>Byly uskutečněny dva workshopy, kterých se pokaždé zúčastnilo okolo 50 osob, které reprezentovaly finanční sektor, profesní asociace, skupiny konečných příjemců a sektorové experty.</w:t>
      </w:r>
    </w:p>
    <w:p w:rsidR="006D67F1" w:rsidRPr="002C224A" w:rsidRDefault="006D67F1" w:rsidP="004D17FB"/>
    <w:p w:rsidR="006D67F1" w:rsidRPr="002C224A" w:rsidRDefault="006D67F1" w:rsidP="004D17FB">
      <w:r w:rsidRPr="002C224A">
        <w:rPr>
          <w:b/>
        </w:rPr>
        <w:t>Na základě předchozího screeningu bylo detailní předběžné posouzení provedeno ve všech věcných prioritních osách OP</w:t>
      </w:r>
      <w:r w:rsidR="000E7BA3" w:rsidRPr="002C224A">
        <w:rPr>
          <w:b/>
        </w:rPr>
        <w:t xml:space="preserve"> </w:t>
      </w:r>
      <w:r w:rsidRPr="002C224A">
        <w:rPr>
          <w:b/>
        </w:rPr>
        <w:t>PIK a pokrývá tematické cíle TC 1 (VaVaI), TC 2 (ICT), TC 3 (MSP) a TC 4 (</w:t>
      </w:r>
      <w:r w:rsidR="00670EF4" w:rsidRPr="002C224A">
        <w:rPr>
          <w:b/>
        </w:rPr>
        <w:t>n</w:t>
      </w:r>
      <w:r w:rsidRPr="002C224A">
        <w:rPr>
          <w:b/>
        </w:rPr>
        <w:t>ízkouhlíková ekonomika).</w:t>
      </w:r>
      <w:r w:rsidR="00670EF4" w:rsidRPr="002C224A">
        <w:rPr>
          <w:b/>
        </w:rPr>
        <w:t xml:space="preserve"> Analyzován nebyl TC 7 (sítě vysokého napětí)</w:t>
      </w:r>
      <w:r w:rsidR="001626F9" w:rsidRPr="002C224A">
        <w:rPr>
          <w:b/>
        </w:rPr>
        <w:t>.</w:t>
      </w:r>
      <w:r w:rsidRPr="002C224A">
        <w:t xml:space="preserve"> Konkrétně byl potenciál identifikace finančních nástrojů shledán zejména v následujících specifických cílech, které byly podrobeny detailní analýze:</w:t>
      </w:r>
    </w:p>
    <w:p w:rsidR="006D67F1" w:rsidRPr="002C224A" w:rsidRDefault="006D67F1" w:rsidP="004D17FB"/>
    <w:p w:rsidR="006D67F1" w:rsidRPr="002C224A" w:rsidRDefault="006D67F1" w:rsidP="00CA344C">
      <w:r w:rsidRPr="002C224A">
        <w:t>1.1 - Zvýšit inovační výkonnost podniků</w:t>
      </w:r>
    </w:p>
    <w:p w:rsidR="006D67F1" w:rsidRPr="002C224A" w:rsidRDefault="006D67F1" w:rsidP="00CA344C">
      <w:r w:rsidRPr="002C224A">
        <w:t>1.2 - Zvýšit intenzitu a účinnost spolupráce ve výzkumu, vývoji a inovacích</w:t>
      </w:r>
    </w:p>
    <w:p w:rsidR="006D67F1" w:rsidRPr="002C224A" w:rsidRDefault="006D67F1" w:rsidP="00CA344C">
      <w:r w:rsidRPr="002C224A">
        <w:t>2.1 - Zvýšit konkurenceschopnost začínajících a rozvojových MSP</w:t>
      </w:r>
    </w:p>
    <w:p w:rsidR="006D67F1" w:rsidRPr="002C224A" w:rsidRDefault="006D67F1" w:rsidP="00CA344C">
      <w:r w:rsidRPr="002C224A">
        <w:t xml:space="preserve">2.3 - Zvýšit využitelnost infrastruktury pro podnikání </w:t>
      </w:r>
    </w:p>
    <w:p w:rsidR="006D67F1" w:rsidRPr="002C224A" w:rsidRDefault="006D67F1" w:rsidP="00CA344C">
      <w:r w:rsidRPr="002C224A">
        <w:t>3.1 - Zvýšit podíl výroby energie z obnovitelných zdrojů na hrubé konečné spotřebě ČR</w:t>
      </w:r>
    </w:p>
    <w:p w:rsidR="006D67F1" w:rsidRPr="002C224A" w:rsidRDefault="006D67F1" w:rsidP="00CA344C">
      <w:r w:rsidRPr="002C224A">
        <w:t xml:space="preserve">3.2 - Zvýšit energetickou účinnost podnikatelského sektoru </w:t>
      </w:r>
    </w:p>
    <w:p w:rsidR="006D67F1" w:rsidRPr="002C224A" w:rsidRDefault="006D67F1" w:rsidP="00CA344C">
      <w:r w:rsidRPr="002C224A">
        <w:t>3.5 - Zvýšit účinnost soustav zásobování teplem</w:t>
      </w:r>
    </w:p>
    <w:p w:rsidR="006D67F1" w:rsidRPr="002C224A" w:rsidRDefault="006D67F1" w:rsidP="00CA344C">
      <w:r w:rsidRPr="002C224A">
        <w:t>4.1 - Zvětšit pokrytí vysokorychlostním přístupem k internetu</w:t>
      </w:r>
    </w:p>
    <w:p w:rsidR="006D67F1" w:rsidRPr="002C224A" w:rsidRDefault="006D67F1" w:rsidP="004D17FB"/>
    <w:p w:rsidR="006D67F1" w:rsidRPr="002C224A" w:rsidRDefault="006D67F1" w:rsidP="00CA344C">
      <w:pPr>
        <w:spacing w:after="240"/>
        <w:rPr>
          <w:rFonts w:cs="Calibri"/>
          <w:color w:val="222222"/>
          <w:szCs w:val="22"/>
        </w:rPr>
      </w:pPr>
      <w:r w:rsidRPr="002C224A">
        <w:rPr>
          <w:rFonts w:cs="Calibri"/>
          <w:color w:val="222222"/>
          <w:szCs w:val="22"/>
        </w:rPr>
        <w:t>Provádění předběžného posouzení v těchto specifických cílech bylo rozděleno na dva bloky, z nichž každý byl dále členěn podle jednotlivých písmen čl. 37 odst. 2 Obecného nařízení:</w:t>
      </w:r>
    </w:p>
    <w:p w:rsidR="006D67F1" w:rsidRPr="002C224A" w:rsidRDefault="006D67F1" w:rsidP="00CA344C">
      <w:pPr>
        <w:spacing w:after="240"/>
        <w:rPr>
          <w:rFonts w:cs="Calibri"/>
          <w:b/>
          <w:color w:val="222222"/>
          <w:szCs w:val="22"/>
        </w:rPr>
      </w:pPr>
      <w:r w:rsidRPr="002C224A">
        <w:rPr>
          <w:rFonts w:cs="Calibri"/>
          <w:b/>
          <w:color w:val="222222"/>
          <w:szCs w:val="22"/>
        </w:rPr>
        <w:t>Blok I.: Analýza tržní situace</w:t>
      </w:r>
    </w:p>
    <w:p w:rsidR="006D67F1" w:rsidRPr="002C224A" w:rsidRDefault="006D67F1" w:rsidP="00CA344C">
      <w:pPr>
        <w:spacing w:after="240"/>
        <w:rPr>
          <w:rFonts w:cs="Calibri"/>
          <w:color w:val="222222"/>
          <w:szCs w:val="22"/>
        </w:rPr>
      </w:pPr>
      <w:r w:rsidRPr="002C224A">
        <w:rPr>
          <w:rFonts w:cs="Calibri"/>
          <w:color w:val="222222"/>
          <w:szCs w:val="22"/>
        </w:rPr>
        <w:t>a) analýza selhání trhu,</w:t>
      </w:r>
    </w:p>
    <w:p w:rsidR="006D67F1" w:rsidRPr="002C224A" w:rsidRDefault="006D67F1" w:rsidP="00CA344C">
      <w:pPr>
        <w:spacing w:after="240"/>
        <w:rPr>
          <w:rFonts w:cs="Calibri"/>
          <w:color w:val="222222"/>
          <w:szCs w:val="22"/>
        </w:rPr>
      </w:pPr>
      <w:r w:rsidRPr="002C224A">
        <w:rPr>
          <w:rFonts w:cs="Calibri"/>
          <w:color w:val="222222"/>
          <w:szCs w:val="22"/>
        </w:rPr>
        <w:t>b) posouzení přidané hodnoty finančních nástrojů,</w:t>
      </w:r>
    </w:p>
    <w:p w:rsidR="006D67F1" w:rsidRPr="002C224A" w:rsidRDefault="006D67F1" w:rsidP="00CA344C">
      <w:pPr>
        <w:spacing w:after="240"/>
        <w:rPr>
          <w:rFonts w:cs="Calibri"/>
          <w:color w:val="222222"/>
          <w:szCs w:val="22"/>
        </w:rPr>
      </w:pPr>
      <w:r w:rsidRPr="002C224A">
        <w:rPr>
          <w:rFonts w:cs="Calibri"/>
          <w:color w:val="222222"/>
          <w:szCs w:val="22"/>
        </w:rPr>
        <w:t>c) odhad dodatečných veřejných a soukromých zdrojů.</w:t>
      </w:r>
    </w:p>
    <w:p w:rsidR="006D67F1" w:rsidRPr="002C224A" w:rsidRDefault="006D67F1" w:rsidP="00CA344C">
      <w:pPr>
        <w:spacing w:after="240"/>
        <w:rPr>
          <w:rFonts w:cs="Calibri"/>
          <w:b/>
          <w:color w:val="222222"/>
          <w:szCs w:val="22"/>
        </w:rPr>
      </w:pPr>
    </w:p>
    <w:p w:rsidR="006D67F1" w:rsidRPr="002C224A" w:rsidRDefault="006D67F1" w:rsidP="00CA344C">
      <w:pPr>
        <w:spacing w:after="240"/>
        <w:rPr>
          <w:rFonts w:cs="Calibri"/>
          <w:b/>
          <w:color w:val="222222"/>
          <w:szCs w:val="22"/>
        </w:rPr>
      </w:pPr>
      <w:r w:rsidRPr="002C224A">
        <w:rPr>
          <w:rFonts w:cs="Calibri"/>
          <w:b/>
          <w:color w:val="222222"/>
          <w:szCs w:val="22"/>
        </w:rPr>
        <w:t>Blok II.: Návrh vhodné strategie</w:t>
      </w:r>
    </w:p>
    <w:p w:rsidR="006D67F1" w:rsidRPr="002C224A" w:rsidRDefault="006D67F1" w:rsidP="00CA344C">
      <w:pPr>
        <w:spacing w:after="240"/>
        <w:rPr>
          <w:rFonts w:cs="Calibri"/>
          <w:color w:val="222222"/>
          <w:szCs w:val="22"/>
        </w:rPr>
      </w:pPr>
      <w:r w:rsidRPr="002C224A">
        <w:rPr>
          <w:rFonts w:cs="Calibri"/>
          <w:color w:val="222222"/>
          <w:szCs w:val="22"/>
        </w:rPr>
        <w:t>a) posouzení zkušeností získaných v minulosti,</w:t>
      </w:r>
    </w:p>
    <w:p w:rsidR="006D67F1" w:rsidRPr="002C224A" w:rsidRDefault="006D67F1" w:rsidP="00CA344C">
      <w:pPr>
        <w:spacing w:after="240"/>
        <w:rPr>
          <w:rFonts w:cs="Calibri"/>
          <w:color w:val="222222"/>
          <w:szCs w:val="22"/>
        </w:rPr>
      </w:pPr>
      <w:r w:rsidRPr="002C224A">
        <w:rPr>
          <w:rFonts w:cs="Calibri"/>
          <w:color w:val="222222"/>
          <w:szCs w:val="22"/>
        </w:rPr>
        <w:t>b) navrhovaná investiční strategie,</w:t>
      </w:r>
    </w:p>
    <w:p w:rsidR="006D67F1" w:rsidRPr="002C224A" w:rsidRDefault="006D67F1" w:rsidP="00CA344C">
      <w:pPr>
        <w:spacing w:after="240"/>
        <w:rPr>
          <w:rFonts w:cs="Calibri"/>
          <w:color w:val="222222"/>
          <w:szCs w:val="22"/>
        </w:rPr>
      </w:pPr>
      <w:r w:rsidRPr="002C224A">
        <w:rPr>
          <w:rFonts w:cs="Calibri"/>
          <w:color w:val="222222"/>
          <w:szCs w:val="22"/>
        </w:rPr>
        <w:t>c) očekávané výsledky,</w:t>
      </w:r>
    </w:p>
    <w:p w:rsidR="006D67F1" w:rsidRPr="002C224A" w:rsidRDefault="006D67F1" w:rsidP="00CA344C">
      <w:pPr>
        <w:spacing w:after="240"/>
        <w:rPr>
          <w:rFonts w:cs="Calibri"/>
          <w:color w:val="222222"/>
          <w:szCs w:val="22"/>
        </w:rPr>
      </w:pPr>
      <w:r w:rsidRPr="002C224A">
        <w:rPr>
          <w:rFonts w:cs="Calibri"/>
          <w:color w:val="222222"/>
          <w:szCs w:val="22"/>
        </w:rPr>
        <w:t>d) přezkoumatelnost závěrů hodnocení.</w:t>
      </w:r>
    </w:p>
    <w:p w:rsidR="006D67F1" w:rsidRPr="002C224A" w:rsidRDefault="006D67F1" w:rsidP="004D17FB"/>
    <w:p w:rsidR="006D67F1" w:rsidRPr="002C224A" w:rsidRDefault="006D67F1" w:rsidP="004D17FB">
      <w:r w:rsidRPr="002C224A">
        <w:rPr>
          <w:b/>
        </w:rPr>
        <w:t xml:space="preserve">Analytická část materiálu (Blok I.) </w:t>
      </w:r>
      <w:r w:rsidRPr="002C224A">
        <w:t>využila závěry dotazníkových šetření, strukturovaných rozhovorů s experty, workshopů a také data OECD, Eurostat, ECB, ČNB, EVCA a další zdroje. Analýza tržní situace</w:t>
      </w:r>
      <w:r w:rsidRPr="002C224A">
        <w:rPr>
          <w:b/>
        </w:rPr>
        <w:t xml:space="preserve"> potvrdila možnost využití finančních nástrojů ve všech analyzovaných specifických cílech OP</w:t>
      </w:r>
      <w:r w:rsidR="000E7BA3" w:rsidRPr="002C224A">
        <w:rPr>
          <w:b/>
        </w:rPr>
        <w:t xml:space="preserve"> </w:t>
      </w:r>
      <w:r w:rsidRPr="002C224A">
        <w:rPr>
          <w:b/>
        </w:rPr>
        <w:t>PIK</w:t>
      </w:r>
      <w:r w:rsidR="00050B0B" w:rsidRPr="002C224A">
        <w:rPr>
          <w:b/>
        </w:rPr>
        <w:t xml:space="preserve"> s výjimkou SC 4.1, kde byl shledán potenciál nedostatečný</w:t>
      </w:r>
      <w:r w:rsidRPr="002C224A">
        <w:rPr>
          <w:b/>
        </w:rPr>
        <w:t>.</w:t>
      </w:r>
    </w:p>
    <w:p w:rsidR="006D67F1" w:rsidRPr="002C224A" w:rsidRDefault="006D67F1" w:rsidP="004D17FB"/>
    <w:p w:rsidR="006D67F1" w:rsidRPr="002C224A" w:rsidRDefault="006D67F1" w:rsidP="004D17FB">
      <w:pPr>
        <w:rPr>
          <w:b/>
        </w:rPr>
      </w:pPr>
      <w:r w:rsidRPr="002C224A">
        <w:rPr>
          <w:b/>
        </w:rPr>
        <w:lastRenderedPageBreak/>
        <w:t xml:space="preserve">Návrhová část materiálu (Blok II.) pak pro identifikované finanční nástroje navrhuje zejména </w:t>
      </w:r>
      <w:r w:rsidR="00DA7214" w:rsidRPr="002C224A">
        <w:rPr>
          <w:b/>
        </w:rPr>
        <w:t xml:space="preserve">návrh fungování a základní parametry, </w:t>
      </w:r>
      <w:r w:rsidRPr="002C224A">
        <w:rPr>
          <w:b/>
        </w:rPr>
        <w:t>implementační uspořádání a alokace mj. na základě dosavadních zkušeností s prováděním podobné podpory v České republice i v jiných zemích.</w:t>
      </w:r>
    </w:p>
    <w:p w:rsidR="006D67F1" w:rsidRPr="002C224A" w:rsidRDefault="006D67F1" w:rsidP="004D17FB"/>
    <w:p w:rsidR="00DA7214" w:rsidRPr="002C224A" w:rsidRDefault="006D67F1" w:rsidP="00703AD5">
      <w:r w:rsidRPr="002C224A">
        <w:t xml:space="preserve">Pro snazší orientaci lze identifikované finanční nástroje rozdělit do dvou skupin, </w:t>
      </w:r>
      <w:r w:rsidRPr="002C224A">
        <w:rPr>
          <w:b/>
        </w:rPr>
        <w:t>tzv. finanční nástroje první generace, které představují modifikovaná existující úvěrová a záruční schémata ČMZRB</w:t>
      </w:r>
      <w:r w:rsidR="00EA1B31" w:rsidRPr="002C224A">
        <w:rPr>
          <w:b/>
        </w:rPr>
        <w:t xml:space="preserve"> a</w:t>
      </w:r>
      <w:r w:rsidRPr="002C224A">
        <w:rPr>
          <w:b/>
        </w:rPr>
        <w:t xml:space="preserve"> finanční nástroje druhé generace</w:t>
      </w:r>
      <w:r w:rsidR="00EA1B31" w:rsidRPr="002C224A">
        <w:rPr>
          <w:b/>
        </w:rPr>
        <w:t>, jak jsou označeny</w:t>
      </w:r>
      <w:r w:rsidRPr="002C224A">
        <w:rPr>
          <w:b/>
        </w:rPr>
        <w:t xml:space="preserve"> nové nástroje podpory kapitálových vstupů </w:t>
      </w:r>
      <w:r w:rsidR="00EA1B31" w:rsidRPr="002C224A">
        <w:rPr>
          <w:b/>
        </w:rPr>
        <w:t xml:space="preserve">v SC </w:t>
      </w:r>
      <w:smartTag w:uri="urn:schemas-microsoft-com:office:smarttags" w:element="metricconverter">
        <w:smartTagPr>
          <w:attr w:name="ProductID" w:val="1.2 a"/>
        </w:smartTagPr>
        <w:r w:rsidR="00EA1B31" w:rsidRPr="002C224A">
          <w:rPr>
            <w:b/>
          </w:rPr>
          <w:t>1.2 a</w:t>
        </w:r>
      </w:smartTag>
      <w:r w:rsidR="00EA1B31" w:rsidRPr="002C224A">
        <w:rPr>
          <w:b/>
        </w:rPr>
        <w:t xml:space="preserve"> </w:t>
      </w:r>
      <w:smartTag w:uri="urn:schemas-microsoft-com:office:smarttags" w:element="metricconverter">
        <w:smartTagPr>
          <w:attr w:name="ProductID" w:val="2.1 a"/>
        </w:smartTagPr>
        <w:r w:rsidR="00EA1B31" w:rsidRPr="002C224A">
          <w:rPr>
            <w:b/>
          </w:rPr>
          <w:t>2.1</w:t>
        </w:r>
        <w:r w:rsidRPr="002C224A">
          <w:rPr>
            <w:b/>
          </w:rPr>
          <w:t xml:space="preserve"> a</w:t>
        </w:r>
      </w:smartTag>
      <w:r w:rsidRPr="002C224A">
        <w:rPr>
          <w:b/>
        </w:rPr>
        <w:t xml:space="preserve"> podřízených úvěrů na regeneraci brownfields</w:t>
      </w:r>
      <w:r w:rsidR="00EA1B31" w:rsidRPr="002C224A">
        <w:rPr>
          <w:b/>
        </w:rPr>
        <w:t xml:space="preserve"> v SC 2.3</w:t>
      </w:r>
      <w:r w:rsidRPr="002C224A">
        <w:rPr>
          <w:b/>
        </w:rPr>
        <w:t>.</w:t>
      </w:r>
      <w:r w:rsidRPr="002C224A">
        <w:t xml:space="preserve"> </w:t>
      </w:r>
    </w:p>
    <w:p w:rsidR="00DA7214" w:rsidRPr="002C224A" w:rsidRDefault="00DA7214" w:rsidP="00703AD5"/>
    <w:p w:rsidR="00DA7214" w:rsidRPr="002C224A" w:rsidRDefault="00DA7214" w:rsidP="00703AD5">
      <w:r w:rsidRPr="002C224A">
        <w:t xml:space="preserve">V návrhové části je předložen též návrh FN pro oblast broadband (4.1), který nicméně nedoporučujeme v rámci SC 4.1 </w:t>
      </w:r>
      <w:r w:rsidR="00D863C9" w:rsidRPr="002C224A">
        <w:t xml:space="preserve">aplikovat </w:t>
      </w:r>
      <w:r w:rsidRPr="002C224A">
        <w:t xml:space="preserve">z důvodu slabého pokrytí vydefinovaných cílů a podporovaných aktivit </w:t>
      </w:r>
      <w:r w:rsidR="00D863C9" w:rsidRPr="002C224A">
        <w:t>operačního programu</w:t>
      </w:r>
      <w:r w:rsidRPr="002C224A">
        <w:t>.</w:t>
      </w:r>
      <w:r w:rsidR="00D30B94" w:rsidRPr="002C224A">
        <w:t xml:space="preserve"> Řídícímu orgánu je přesto doporučeno předložit tento návrh v rámci Investičního plánu pro Evropu, kde by mohl aktivity OP PIK vhodně doplnit.</w:t>
      </w:r>
    </w:p>
    <w:p w:rsidR="006D67F1" w:rsidRPr="002C224A" w:rsidRDefault="006D67F1" w:rsidP="004D17FB"/>
    <w:p w:rsidR="006D67F1" w:rsidRPr="002C224A" w:rsidRDefault="007834DB" w:rsidP="00BD7C52">
      <w:pPr>
        <w:pStyle w:val="Titulek"/>
      </w:pPr>
      <w:r w:rsidRPr="002C224A">
        <w:t>Tabulka</w:t>
      </w:r>
      <w:r w:rsidR="00BD7C52" w:rsidRPr="002C224A">
        <w:t xml:space="preserve"> 1:</w:t>
      </w:r>
      <w:r w:rsidR="006D67F1" w:rsidRPr="002C224A">
        <w:t xml:space="preserve"> navržené finanční nástroje na základě závěrů předběžného posouzení.</w:t>
      </w:r>
    </w:p>
    <w:tbl>
      <w:tblPr>
        <w:tblW w:w="9771" w:type="dxa"/>
        <w:tblInd w:w="80" w:type="dxa"/>
        <w:tblLayout w:type="fixed"/>
        <w:tblCellMar>
          <w:left w:w="70" w:type="dxa"/>
          <w:right w:w="70" w:type="dxa"/>
        </w:tblCellMar>
        <w:tblLook w:val="0600" w:firstRow="0" w:lastRow="0" w:firstColumn="0" w:lastColumn="0" w:noHBand="1" w:noVBand="1"/>
      </w:tblPr>
      <w:tblGrid>
        <w:gridCol w:w="1691"/>
        <w:gridCol w:w="1276"/>
        <w:gridCol w:w="1276"/>
        <w:gridCol w:w="1134"/>
        <w:gridCol w:w="1417"/>
        <w:gridCol w:w="1701"/>
        <w:gridCol w:w="1276"/>
      </w:tblGrid>
      <w:tr w:rsidR="00276507" w:rsidRPr="002C224A" w:rsidTr="002C224A">
        <w:trPr>
          <w:trHeight w:val="1035"/>
        </w:trPr>
        <w:tc>
          <w:tcPr>
            <w:tcW w:w="1691" w:type="dxa"/>
            <w:tcBorders>
              <w:top w:val="single" w:sz="8" w:space="0" w:color="auto"/>
              <w:left w:val="single" w:sz="8" w:space="0" w:color="auto"/>
              <w:bottom w:val="single" w:sz="8" w:space="0" w:color="auto"/>
              <w:right w:val="single" w:sz="8" w:space="0" w:color="auto"/>
            </w:tcBorders>
            <w:shd w:val="clear" w:color="000000" w:fill="C0504D"/>
            <w:vAlign w:val="center"/>
          </w:tcPr>
          <w:p w:rsidR="00276507" w:rsidRPr="00A50943" w:rsidRDefault="00276507" w:rsidP="0008236A">
            <w:pPr>
              <w:overflowPunct/>
              <w:autoSpaceDE/>
              <w:autoSpaceDN/>
              <w:adjustRightInd/>
              <w:jc w:val="center"/>
              <w:textAlignment w:val="auto"/>
              <w:rPr>
                <w:b/>
                <w:bCs/>
                <w:color w:val="FFFFFF"/>
                <w:sz w:val="20"/>
              </w:rPr>
            </w:pPr>
            <w:r w:rsidRPr="00A50943">
              <w:rPr>
                <w:b/>
                <w:bCs/>
                <w:color w:val="FFFFFF"/>
                <w:sz w:val="20"/>
              </w:rPr>
              <w:t>Specifický cíl/PO</w:t>
            </w:r>
          </w:p>
        </w:tc>
        <w:tc>
          <w:tcPr>
            <w:tcW w:w="1276" w:type="dxa"/>
            <w:tcBorders>
              <w:top w:val="single" w:sz="8" w:space="0" w:color="auto"/>
              <w:left w:val="nil"/>
              <w:bottom w:val="single" w:sz="8" w:space="0" w:color="auto"/>
              <w:right w:val="single" w:sz="4" w:space="0" w:color="000000"/>
            </w:tcBorders>
            <w:shd w:val="clear" w:color="000000" w:fill="C0504D"/>
            <w:vAlign w:val="center"/>
          </w:tcPr>
          <w:p w:rsidR="00276507" w:rsidRPr="002C224A" w:rsidRDefault="00276507" w:rsidP="0074622E">
            <w:pPr>
              <w:overflowPunct/>
              <w:autoSpaceDE/>
              <w:autoSpaceDN/>
              <w:adjustRightInd/>
              <w:jc w:val="center"/>
              <w:textAlignment w:val="auto"/>
              <w:rPr>
                <w:b/>
                <w:bCs/>
                <w:color w:val="FFFFFF"/>
                <w:sz w:val="20"/>
              </w:rPr>
            </w:pPr>
            <w:r w:rsidRPr="002C224A">
              <w:rPr>
                <w:b/>
                <w:bCs/>
                <w:color w:val="FFFFFF"/>
                <w:sz w:val="20"/>
              </w:rPr>
              <w:t>Program podpory</w:t>
            </w:r>
          </w:p>
        </w:tc>
        <w:tc>
          <w:tcPr>
            <w:tcW w:w="1276" w:type="dxa"/>
            <w:tcBorders>
              <w:top w:val="single" w:sz="8" w:space="0" w:color="auto"/>
              <w:left w:val="nil"/>
              <w:bottom w:val="single" w:sz="8" w:space="0" w:color="auto"/>
              <w:right w:val="single" w:sz="4" w:space="0" w:color="000000"/>
            </w:tcBorders>
            <w:shd w:val="clear" w:color="000000" w:fill="C0504D"/>
            <w:vAlign w:val="center"/>
          </w:tcPr>
          <w:p w:rsidR="00276507" w:rsidRPr="002C224A" w:rsidRDefault="00276507" w:rsidP="0074622E">
            <w:pPr>
              <w:overflowPunct/>
              <w:autoSpaceDE/>
              <w:autoSpaceDN/>
              <w:adjustRightInd/>
              <w:jc w:val="center"/>
              <w:textAlignment w:val="auto"/>
              <w:rPr>
                <w:b/>
                <w:bCs/>
                <w:color w:val="FFFFFF"/>
                <w:sz w:val="20"/>
              </w:rPr>
            </w:pPr>
            <w:r w:rsidRPr="002C224A">
              <w:rPr>
                <w:b/>
                <w:bCs/>
                <w:color w:val="FFFFFF"/>
                <w:sz w:val="20"/>
              </w:rPr>
              <w:t>FN 1. generace</w:t>
            </w:r>
          </w:p>
        </w:tc>
        <w:tc>
          <w:tcPr>
            <w:tcW w:w="1134" w:type="dxa"/>
            <w:tcBorders>
              <w:top w:val="single" w:sz="8" w:space="0" w:color="auto"/>
              <w:left w:val="nil"/>
              <w:bottom w:val="single" w:sz="8" w:space="0" w:color="auto"/>
              <w:right w:val="single" w:sz="4" w:space="0" w:color="000000"/>
            </w:tcBorders>
            <w:shd w:val="clear" w:color="000000" w:fill="C0504D"/>
            <w:vAlign w:val="center"/>
          </w:tcPr>
          <w:p w:rsidR="00276507" w:rsidRPr="002C224A" w:rsidRDefault="00276507" w:rsidP="00A50943">
            <w:pPr>
              <w:overflowPunct/>
              <w:autoSpaceDE/>
              <w:autoSpaceDN/>
              <w:adjustRightInd/>
              <w:jc w:val="center"/>
              <w:textAlignment w:val="auto"/>
              <w:rPr>
                <w:b/>
                <w:bCs/>
                <w:color w:val="FFFFFF"/>
                <w:sz w:val="20"/>
              </w:rPr>
            </w:pPr>
            <w:r w:rsidRPr="002C224A">
              <w:rPr>
                <w:b/>
                <w:bCs/>
                <w:color w:val="FFFFFF"/>
                <w:sz w:val="20"/>
              </w:rPr>
              <w:t>FN 2. generace</w:t>
            </w:r>
          </w:p>
        </w:tc>
        <w:tc>
          <w:tcPr>
            <w:tcW w:w="1417" w:type="dxa"/>
            <w:tcBorders>
              <w:top w:val="single" w:sz="8" w:space="0" w:color="auto"/>
              <w:left w:val="nil"/>
              <w:bottom w:val="single" w:sz="8" w:space="0" w:color="auto"/>
              <w:right w:val="single" w:sz="4" w:space="0" w:color="auto"/>
            </w:tcBorders>
            <w:shd w:val="clear" w:color="000000" w:fill="C0504D"/>
            <w:vAlign w:val="center"/>
          </w:tcPr>
          <w:p w:rsidR="00276507" w:rsidRPr="002C224A" w:rsidRDefault="00276507" w:rsidP="002C224A">
            <w:pPr>
              <w:overflowPunct/>
              <w:autoSpaceDE/>
              <w:autoSpaceDN/>
              <w:adjustRightInd/>
              <w:jc w:val="center"/>
              <w:textAlignment w:val="auto"/>
              <w:rPr>
                <w:b/>
                <w:bCs/>
                <w:color w:val="FFFFFF"/>
                <w:sz w:val="20"/>
              </w:rPr>
            </w:pPr>
            <w:r w:rsidRPr="002C224A">
              <w:rPr>
                <w:b/>
                <w:bCs/>
                <w:color w:val="FFFFFF"/>
                <w:sz w:val="20"/>
              </w:rPr>
              <w:t>Navrhované rozpětí alokace FN (mil. Kč)</w:t>
            </w:r>
          </w:p>
        </w:tc>
        <w:tc>
          <w:tcPr>
            <w:tcW w:w="1701" w:type="dxa"/>
            <w:tcBorders>
              <w:top w:val="single" w:sz="4" w:space="0" w:color="auto"/>
              <w:left w:val="single" w:sz="4" w:space="0" w:color="auto"/>
              <w:bottom w:val="single" w:sz="4" w:space="0" w:color="auto"/>
              <w:right w:val="single" w:sz="4" w:space="0" w:color="auto"/>
            </w:tcBorders>
            <w:shd w:val="clear" w:color="000000" w:fill="C0504D"/>
            <w:vAlign w:val="center"/>
          </w:tcPr>
          <w:p w:rsidR="00276507" w:rsidRPr="002C224A" w:rsidRDefault="00CE4E51" w:rsidP="002C224A">
            <w:pPr>
              <w:overflowPunct/>
              <w:autoSpaceDE/>
              <w:autoSpaceDN/>
              <w:adjustRightInd/>
              <w:jc w:val="center"/>
              <w:textAlignment w:val="auto"/>
              <w:rPr>
                <w:b/>
                <w:bCs/>
                <w:color w:val="FFFFFF"/>
                <w:sz w:val="20"/>
              </w:rPr>
            </w:pPr>
            <w:r w:rsidRPr="002C224A">
              <w:rPr>
                <w:b/>
                <w:bCs/>
                <w:color w:val="FFFFFF"/>
                <w:sz w:val="20"/>
              </w:rPr>
              <w:t>Alokace</w:t>
            </w:r>
            <w:r w:rsidR="00765000" w:rsidRPr="002C224A">
              <w:rPr>
                <w:b/>
                <w:bCs/>
                <w:color w:val="FFFFFF"/>
                <w:sz w:val="20"/>
              </w:rPr>
              <w:t xml:space="preserve"> ŘO </w:t>
            </w:r>
            <w:r w:rsidRPr="002C224A">
              <w:rPr>
                <w:b/>
                <w:bCs/>
                <w:color w:val="FFFFFF"/>
                <w:sz w:val="20"/>
              </w:rPr>
              <w:t xml:space="preserve"> pro pilotní </w:t>
            </w:r>
            <w:r w:rsidR="00403F14" w:rsidRPr="002C224A">
              <w:rPr>
                <w:b/>
                <w:bCs/>
                <w:color w:val="FFFFFF"/>
                <w:sz w:val="20"/>
              </w:rPr>
              <w:t>implementaci FN</w:t>
            </w:r>
            <w:r w:rsidRPr="002C224A">
              <w:rPr>
                <w:b/>
                <w:bCs/>
                <w:color w:val="FFFFFF"/>
                <w:sz w:val="20"/>
              </w:rPr>
              <w:t xml:space="preserve"> (mil. Kč)</w:t>
            </w:r>
          </w:p>
        </w:tc>
        <w:tc>
          <w:tcPr>
            <w:tcW w:w="1276" w:type="dxa"/>
            <w:tcBorders>
              <w:top w:val="single" w:sz="8" w:space="0" w:color="auto"/>
              <w:left w:val="single" w:sz="4" w:space="0" w:color="auto"/>
              <w:bottom w:val="single" w:sz="8" w:space="0" w:color="auto"/>
              <w:right w:val="single" w:sz="8" w:space="0" w:color="auto"/>
            </w:tcBorders>
            <w:shd w:val="clear" w:color="000000" w:fill="C0504D"/>
            <w:vAlign w:val="center"/>
          </w:tcPr>
          <w:p w:rsidR="00276507" w:rsidRPr="00A50943" w:rsidRDefault="00276507" w:rsidP="002C224A">
            <w:pPr>
              <w:overflowPunct/>
              <w:autoSpaceDE/>
              <w:autoSpaceDN/>
              <w:adjustRightInd/>
              <w:jc w:val="center"/>
              <w:textAlignment w:val="auto"/>
              <w:rPr>
                <w:b/>
                <w:bCs/>
                <w:color w:val="FFFFFF"/>
                <w:sz w:val="20"/>
              </w:rPr>
            </w:pPr>
            <w:r w:rsidRPr="002C224A">
              <w:rPr>
                <w:b/>
                <w:bCs/>
                <w:color w:val="FFFFFF"/>
                <w:sz w:val="20"/>
              </w:rPr>
              <w:t>Alokace specifického cíle v OP PIK (mil. Kč)</w:t>
            </w:r>
            <w:r w:rsidRPr="002C224A">
              <w:rPr>
                <w:rStyle w:val="Znakapoznpodarou"/>
                <w:rFonts w:ascii="Calibri" w:hAnsi="Calibri"/>
                <w:b/>
                <w:bCs/>
                <w:color w:val="FFFFFF"/>
              </w:rPr>
              <w:footnoteReference w:id="4"/>
            </w:r>
          </w:p>
        </w:tc>
      </w:tr>
      <w:tr w:rsidR="00546E46" w:rsidRPr="002C224A" w:rsidTr="002C224A">
        <w:trPr>
          <w:trHeight w:val="1050"/>
        </w:trPr>
        <w:tc>
          <w:tcPr>
            <w:tcW w:w="1691" w:type="dxa"/>
            <w:tcBorders>
              <w:top w:val="nil"/>
              <w:left w:val="single" w:sz="8" w:space="0" w:color="auto"/>
              <w:bottom w:val="single" w:sz="8" w:space="0" w:color="000000"/>
              <w:right w:val="single" w:sz="8" w:space="0" w:color="auto"/>
            </w:tcBorders>
            <w:shd w:val="clear" w:color="000000" w:fill="E7F7FF"/>
            <w:vAlign w:val="center"/>
          </w:tcPr>
          <w:p w:rsidR="00276507" w:rsidRPr="00A50943" w:rsidRDefault="00276507" w:rsidP="0061019B">
            <w:pPr>
              <w:overflowPunct/>
              <w:autoSpaceDE/>
              <w:autoSpaceDN/>
              <w:adjustRightInd/>
              <w:jc w:val="center"/>
              <w:textAlignment w:val="auto"/>
              <w:rPr>
                <w:b/>
                <w:bCs/>
                <w:color w:val="000000"/>
                <w:sz w:val="20"/>
              </w:rPr>
            </w:pPr>
            <w:r w:rsidRPr="00A50943">
              <w:rPr>
                <w:b/>
                <w:bCs/>
                <w:color w:val="000000"/>
                <w:sz w:val="20"/>
              </w:rPr>
              <w:t>1.1 - Zvýšit inovační výkonnost podniků</w:t>
            </w:r>
          </w:p>
        </w:tc>
        <w:tc>
          <w:tcPr>
            <w:tcW w:w="1276" w:type="dxa"/>
            <w:tcBorders>
              <w:top w:val="nil"/>
              <w:left w:val="nil"/>
              <w:bottom w:val="single" w:sz="8"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sz w:val="20"/>
              </w:rPr>
            </w:pPr>
            <w:r w:rsidRPr="002C224A">
              <w:rPr>
                <w:b/>
                <w:bCs/>
                <w:sz w:val="20"/>
              </w:rPr>
              <w:t>Inovace</w:t>
            </w:r>
          </w:p>
        </w:tc>
        <w:tc>
          <w:tcPr>
            <w:tcW w:w="1276" w:type="dxa"/>
            <w:tcBorders>
              <w:top w:val="nil"/>
              <w:left w:val="nil"/>
              <w:bottom w:val="single" w:sz="8" w:space="0" w:color="000000"/>
              <w:right w:val="single" w:sz="4" w:space="0" w:color="000000"/>
            </w:tcBorders>
            <w:shd w:val="clear" w:color="000000" w:fill="FCE4D6"/>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Záruky</w:t>
            </w:r>
          </w:p>
        </w:tc>
        <w:tc>
          <w:tcPr>
            <w:tcW w:w="1134" w:type="dxa"/>
            <w:tcBorders>
              <w:top w:val="nil"/>
              <w:left w:val="nil"/>
              <w:bottom w:val="single" w:sz="8" w:space="0" w:color="000000"/>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color w:val="000000"/>
                <w:sz w:val="20"/>
              </w:rPr>
            </w:pPr>
          </w:p>
        </w:tc>
        <w:tc>
          <w:tcPr>
            <w:tcW w:w="1417" w:type="dxa"/>
            <w:tcBorders>
              <w:top w:val="nil"/>
              <w:left w:val="nil"/>
              <w:bottom w:val="single" w:sz="8" w:space="0" w:color="000000"/>
              <w:right w:val="single" w:sz="4" w:space="0" w:color="auto"/>
            </w:tcBorders>
            <w:shd w:val="clear" w:color="000000" w:fill="E7F7FF"/>
            <w:vAlign w:val="center"/>
          </w:tcPr>
          <w:p w:rsidR="00276507" w:rsidRPr="002C224A" w:rsidRDefault="00276507" w:rsidP="00A50943">
            <w:pPr>
              <w:overflowPunct/>
              <w:autoSpaceDE/>
              <w:autoSpaceDN/>
              <w:adjustRightInd/>
              <w:jc w:val="center"/>
              <w:textAlignment w:val="auto"/>
              <w:rPr>
                <w:b/>
                <w:bCs/>
                <w:color w:val="000000"/>
                <w:sz w:val="20"/>
              </w:rPr>
            </w:pPr>
            <w:r w:rsidRPr="002C224A">
              <w:rPr>
                <w:b/>
                <w:bCs/>
                <w:color w:val="000000"/>
                <w:sz w:val="20"/>
              </w:rPr>
              <w:t>1</w:t>
            </w:r>
            <w:r w:rsidR="00780C8B" w:rsidRPr="002C224A">
              <w:rPr>
                <w:b/>
                <w:bCs/>
                <w:color w:val="000000"/>
                <w:sz w:val="20"/>
              </w:rPr>
              <w:t xml:space="preserve"> </w:t>
            </w:r>
            <w:r w:rsidRPr="002C224A">
              <w:rPr>
                <w:b/>
                <w:bCs/>
                <w:color w:val="000000"/>
                <w:sz w:val="20"/>
              </w:rPr>
              <w:t>400-1</w:t>
            </w:r>
            <w:r w:rsidR="00780C8B" w:rsidRPr="002C224A">
              <w:rPr>
                <w:b/>
                <w:bCs/>
                <w:color w:val="000000"/>
                <w:sz w:val="20"/>
              </w:rPr>
              <w:t xml:space="preserve"> </w:t>
            </w:r>
            <w:r w:rsidRPr="002C224A">
              <w:rPr>
                <w:b/>
                <w:bCs/>
                <w:color w:val="000000"/>
                <w:sz w:val="20"/>
              </w:rPr>
              <w:t>800</w:t>
            </w:r>
          </w:p>
          <w:p w:rsidR="00276507" w:rsidRPr="002C224A" w:rsidRDefault="00276507" w:rsidP="002C224A">
            <w:pPr>
              <w:overflowPunct/>
              <w:autoSpaceDE/>
              <w:autoSpaceDN/>
              <w:adjustRightInd/>
              <w:jc w:val="center"/>
              <w:textAlignment w:val="auto"/>
              <w:rPr>
                <w:b/>
                <w:bCs/>
                <w:color w:val="000000"/>
                <w:sz w:val="20"/>
              </w:rPr>
            </w:pP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24B1A" w:rsidRPr="002C224A" w:rsidRDefault="00224B1A" w:rsidP="002C224A">
            <w:pPr>
              <w:overflowPunct/>
              <w:autoSpaceDE/>
              <w:autoSpaceDN/>
              <w:adjustRightInd/>
              <w:jc w:val="center"/>
              <w:textAlignment w:val="auto"/>
              <w:rPr>
                <w:b/>
                <w:bCs/>
                <w:color w:val="000000"/>
                <w:sz w:val="20"/>
              </w:rPr>
            </w:pPr>
            <w:r w:rsidRPr="002C224A">
              <w:rPr>
                <w:b/>
                <w:bCs/>
                <w:color w:val="000000"/>
                <w:sz w:val="20"/>
              </w:rPr>
              <w:t>0</w:t>
            </w:r>
            <w:r w:rsidRPr="002C224A">
              <w:rPr>
                <w:rStyle w:val="Znakapoznpodarou"/>
                <w:rFonts w:ascii="Calibri" w:hAnsi="Calibri"/>
                <w:b/>
                <w:bCs/>
                <w:color w:val="000000"/>
              </w:rPr>
              <w:footnoteReference w:id="5"/>
            </w:r>
          </w:p>
          <w:p w:rsidR="00276507" w:rsidRPr="00A50943" w:rsidRDefault="00276507" w:rsidP="002C224A">
            <w:pPr>
              <w:overflowPunct/>
              <w:autoSpaceDE/>
              <w:autoSpaceDN/>
              <w:adjustRightInd/>
              <w:jc w:val="center"/>
              <w:textAlignment w:val="auto"/>
              <w:rPr>
                <w:b/>
                <w:bCs/>
                <w:color w:val="000000"/>
                <w:sz w:val="20"/>
              </w:rPr>
            </w:pPr>
          </w:p>
        </w:tc>
        <w:tc>
          <w:tcPr>
            <w:tcW w:w="1276" w:type="dxa"/>
            <w:tcBorders>
              <w:top w:val="nil"/>
              <w:left w:val="single" w:sz="4" w:space="0" w:color="auto"/>
              <w:bottom w:val="single" w:sz="8" w:space="0" w:color="000000"/>
              <w:right w:val="single" w:sz="8"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26 800</w:t>
            </w:r>
          </w:p>
        </w:tc>
      </w:tr>
      <w:tr w:rsidR="00546E46" w:rsidRPr="002C224A" w:rsidTr="002C224A">
        <w:trPr>
          <w:trHeight w:val="2295"/>
        </w:trPr>
        <w:tc>
          <w:tcPr>
            <w:tcW w:w="1691" w:type="dxa"/>
            <w:tcBorders>
              <w:top w:val="nil"/>
              <w:left w:val="single" w:sz="8" w:space="0" w:color="auto"/>
              <w:bottom w:val="single" w:sz="4" w:space="0" w:color="000000"/>
              <w:right w:val="single" w:sz="8" w:space="0" w:color="auto"/>
            </w:tcBorders>
            <w:shd w:val="clear" w:color="000000" w:fill="E7F7FF"/>
            <w:vAlign w:val="center"/>
          </w:tcPr>
          <w:p w:rsidR="00276507" w:rsidRPr="00A50943" w:rsidRDefault="00276507" w:rsidP="0061019B">
            <w:pPr>
              <w:overflowPunct/>
              <w:autoSpaceDE/>
              <w:autoSpaceDN/>
              <w:adjustRightInd/>
              <w:jc w:val="center"/>
              <w:textAlignment w:val="auto"/>
              <w:rPr>
                <w:b/>
                <w:bCs/>
                <w:color w:val="000000"/>
                <w:sz w:val="20"/>
              </w:rPr>
            </w:pPr>
            <w:r w:rsidRPr="00A50943">
              <w:rPr>
                <w:b/>
                <w:bCs/>
                <w:color w:val="000000"/>
                <w:sz w:val="20"/>
              </w:rPr>
              <w:t>1.2 - Zvýšit intenzitu a účinnost spolupráce ve výzkumu, vývoji a inovacích</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Proof of Concept</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color w:val="000000"/>
                <w:sz w:val="20"/>
              </w:rPr>
            </w:pPr>
          </w:p>
        </w:tc>
        <w:tc>
          <w:tcPr>
            <w:tcW w:w="1134" w:type="dxa"/>
            <w:tcBorders>
              <w:top w:val="nil"/>
              <w:left w:val="nil"/>
              <w:bottom w:val="single" w:sz="4" w:space="0" w:color="000000"/>
              <w:right w:val="single" w:sz="4" w:space="0" w:color="000000"/>
            </w:tcBorders>
            <w:shd w:val="clear" w:color="000000" w:fill="C6E0B4"/>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Kapitálové vstupy</w:t>
            </w:r>
          </w:p>
        </w:tc>
        <w:tc>
          <w:tcPr>
            <w:tcW w:w="1417" w:type="dxa"/>
            <w:tcBorders>
              <w:top w:val="nil"/>
              <w:left w:val="nil"/>
              <w:bottom w:val="single" w:sz="4" w:space="0" w:color="000000"/>
              <w:right w:val="single" w:sz="4" w:space="0" w:color="auto"/>
            </w:tcBorders>
            <w:shd w:val="clear" w:color="000000" w:fill="E7F7FF"/>
            <w:vAlign w:val="center"/>
          </w:tcPr>
          <w:p w:rsidR="00276507" w:rsidRPr="002C224A" w:rsidRDefault="00E02303" w:rsidP="00A50943">
            <w:pPr>
              <w:overflowPunct/>
              <w:autoSpaceDE/>
              <w:autoSpaceDN/>
              <w:adjustRightInd/>
              <w:jc w:val="center"/>
              <w:textAlignment w:val="auto"/>
              <w:rPr>
                <w:b/>
                <w:bCs/>
                <w:color w:val="000000"/>
                <w:sz w:val="20"/>
              </w:rPr>
            </w:pPr>
            <w:r w:rsidRPr="002C224A">
              <w:rPr>
                <w:b/>
                <w:bCs/>
                <w:color w:val="000000"/>
                <w:sz w:val="20"/>
              </w:rPr>
              <w:t>550</w:t>
            </w:r>
            <w:r w:rsidR="00276507" w:rsidRPr="002C224A">
              <w:rPr>
                <w:b/>
                <w:bCs/>
                <w:color w:val="000000"/>
                <w:sz w:val="20"/>
              </w:rPr>
              <w:t>-1</w:t>
            </w:r>
            <w:r w:rsidR="00780C8B" w:rsidRPr="002C224A">
              <w:rPr>
                <w:b/>
                <w:bCs/>
                <w:color w:val="000000"/>
                <w:sz w:val="20"/>
              </w:rPr>
              <w:t xml:space="preserve"> </w:t>
            </w:r>
            <w:r w:rsidR="00276507" w:rsidRPr="002C224A">
              <w:rPr>
                <w:b/>
                <w:bCs/>
                <w:color w:val="000000"/>
                <w:sz w:val="20"/>
              </w:rPr>
              <w:t>100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2C224A" w:rsidRDefault="00224B1A" w:rsidP="002C224A">
            <w:pPr>
              <w:overflowPunct/>
              <w:autoSpaceDE/>
              <w:autoSpaceDN/>
              <w:adjustRightInd/>
              <w:jc w:val="center"/>
              <w:textAlignment w:val="auto"/>
              <w:rPr>
                <w:b/>
                <w:bCs/>
                <w:color w:val="000000"/>
                <w:sz w:val="20"/>
              </w:rPr>
            </w:pPr>
            <w:r w:rsidRPr="002C224A">
              <w:rPr>
                <w:b/>
                <w:bCs/>
                <w:color w:val="000000"/>
                <w:sz w:val="20"/>
              </w:rPr>
              <w:t>550</w:t>
            </w:r>
          </w:p>
        </w:tc>
        <w:tc>
          <w:tcPr>
            <w:tcW w:w="1276" w:type="dxa"/>
            <w:tcBorders>
              <w:top w:val="nil"/>
              <w:left w:val="single" w:sz="4" w:space="0" w:color="auto"/>
              <w:bottom w:val="single" w:sz="8" w:space="0" w:color="000000"/>
              <w:right w:val="single" w:sz="8"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10 400</w:t>
            </w:r>
          </w:p>
        </w:tc>
      </w:tr>
      <w:tr w:rsidR="00224B1A" w:rsidRPr="002C224A" w:rsidTr="002C224A">
        <w:trPr>
          <w:trHeight w:val="1325"/>
        </w:trPr>
        <w:tc>
          <w:tcPr>
            <w:tcW w:w="1691" w:type="dxa"/>
            <w:vMerge w:val="restart"/>
            <w:tcBorders>
              <w:top w:val="nil"/>
              <w:left w:val="single" w:sz="8" w:space="0" w:color="auto"/>
              <w:bottom w:val="single" w:sz="4" w:space="0" w:color="000000"/>
              <w:right w:val="single" w:sz="8" w:space="0" w:color="auto"/>
            </w:tcBorders>
            <w:shd w:val="clear" w:color="000000" w:fill="E7F7FF"/>
            <w:vAlign w:val="center"/>
          </w:tcPr>
          <w:p w:rsidR="00276507" w:rsidRPr="00A50943" w:rsidRDefault="00276507" w:rsidP="0061019B">
            <w:pPr>
              <w:overflowPunct/>
              <w:autoSpaceDE/>
              <w:autoSpaceDN/>
              <w:adjustRightInd/>
              <w:jc w:val="center"/>
              <w:textAlignment w:val="auto"/>
              <w:rPr>
                <w:b/>
                <w:bCs/>
                <w:color w:val="000000"/>
                <w:sz w:val="20"/>
              </w:rPr>
            </w:pPr>
            <w:r w:rsidRPr="00A50943">
              <w:rPr>
                <w:b/>
                <w:bCs/>
                <w:color w:val="000000"/>
                <w:sz w:val="20"/>
              </w:rPr>
              <w:t>2.1 - Zvýšit konkurenceschopnost začínajících a rozvojových MSP</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Expanze</w:t>
            </w:r>
          </w:p>
        </w:tc>
        <w:tc>
          <w:tcPr>
            <w:tcW w:w="1276" w:type="dxa"/>
            <w:tcBorders>
              <w:top w:val="nil"/>
              <w:left w:val="single" w:sz="4" w:space="0" w:color="000000"/>
              <w:bottom w:val="single" w:sz="4" w:space="0" w:color="000000"/>
              <w:right w:val="single" w:sz="4" w:space="0" w:color="000000"/>
            </w:tcBorders>
            <w:shd w:val="clear" w:color="000000" w:fill="FCE4D6"/>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Zvýhodněné úvěry a záruky</w:t>
            </w:r>
          </w:p>
        </w:tc>
        <w:tc>
          <w:tcPr>
            <w:tcW w:w="1134" w:type="dxa"/>
            <w:tcBorders>
              <w:top w:val="nil"/>
              <w:left w:val="single" w:sz="4" w:space="0" w:color="000000"/>
              <w:bottom w:val="single" w:sz="4" w:space="0" w:color="000000"/>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color w:val="000000"/>
                <w:sz w:val="20"/>
              </w:rPr>
            </w:pPr>
          </w:p>
        </w:tc>
        <w:tc>
          <w:tcPr>
            <w:tcW w:w="1417" w:type="dxa"/>
            <w:tcBorders>
              <w:top w:val="nil"/>
              <w:left w:val="single" w:sz="4" w:space="0" w:color="000000"/>
              <w:bottom w:val="single" w:sz="4" w:space="0" w:color="000000"/>
              <w:right w:val="single" w:sz="4" w:space="0" w:color="auto"/>
            </w:tcBorders>
            <w:shd w:val="clear" w:color="000000" w:fill="E7F7FF"/>
            <w:vAlign w:val="center"/>
          </w:tcPr>
          <w:p w:rsidR="00276507" w:rsidRPr="002C224A" w:rsidRDefault="00276507" w:rsidP="00A50943">
            <w:pPr>
              <w:overflowPunct/>
              <w:autoSpaceDE/>
              <w:autoSpaceDN/>
              <w:adjustRightInd/>
              <w:jc w:val="center"/>
              <w:textAlignment w:val="auto"/>
              <w:rPr>
                <w:b/>
                <w:bCs/>
                <w:color w:val="000000"/>
                <w:sz w:val="20"/>
              </w:rPr>
            </w:pPr>
            <w:r w:rsidRPr="002C224A">
              <w:rPr>
                <w:b/>
                <w:bCs/>
                <w:color w:val="000000"/>
                <w:sz w:val="20"/>
              </w:rPr>
              <w:t>8</w:t>
            </w:r>
            <w:r w:rsidR="00780C8B" w:rsidRPr="002C224A">
              <w:rPr>
                <w:b/>
                <w:bCs/>
                <w:color w:val="000000"/>
                <w:sz w:val="20"/>
              </w:rPr>
              <w:t xml:space="preserve"> </w:t>
            </w:r>
            <w:r w:rsidRPr="002C224A">
              <w:rPr>
                <w:b/>
                <w:bCs/>
                <w:color w:val="000000"/>
                <w:sz w:val="20"/>
              </w:rPr>
              <w:t>850-</w:t>
            </w:r>
            <w:r w:rsidR="00E02303" w:rsidRPr="002C224A">
              <w:rPr>
                <w:b/>
                <w:bCs/>
                <w:color w:val="000000"/>
                <w:sz w:val="20"/>
              </w:rPr>
              <w:t>12</w:t>
            </w:r>
            <w:r w:rsidR="00780C8B" w:rsidRPr="002C224A">
              <w:rPr>
                <w:b/>
                <w:bCs/>
                <w:color w:val="000000"/>
                <w:sz w:val="20"/>
              </w:rPr>
              <w:t xml:space="preserve"> </w:t>
            </w:r>
            <w:r w:rsidR="00AF3CAD" w:rsidRPr="002C224A">
              <w:rPr>
                <w:b/>
                <w:bCs/>
                <w:color w:val="000000"/>
                <w:sz w:val="20"/>
              </w:rPr>
              <w:t>0</w:t>
            </w:r>
            <w:r w:rsidR="00E02303" w:rsidRPr="002C224A">
              <w:rPr>
                <w:b/>
                <w:bCs/>
                <w:color w:val="000000"/>
                <w:sz w:val="20"/>
              </w:rPr>
              <w:t>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2C224A" w:rsidRDefault="00224B1A" w:rsidP="002C224A">
            <w:pPr>
              <w:overflowPunct/>
              <w:autoSpaceDE/>
              <w:autoSpaceDN/>
              <w:adjustRightInd/>
              <w:jc w:val="center"/>
              <w:textAlignment w:val="auto"/>
              <w:rPr>
                <w:b/>
                <w:bCs/>
                <w:color w:val="000000"/>
                <w:sz w:val="20"/>
              </w:rPr>
            </w:pPr>
            <w:r w:rsidRPr="002C224A">
              <w:rPr>
                <w:b/>
                <w:bCs/>
                <w:color w:val="000000"/>
                <w:sz w:val="20"/>
              </w:rPr>
              <w:t>9</w:t>
            </w:r>
            <w:r w:rsidR="001C00EE" w:rsidRPr="002C224A">
              <w:rPr>
                <w:b/>
                <w:bCs/>
                <w:color w:val="000000"/>
                <w:sz w:val="20"/>
              </w:rPr>
              <w:t xml:space="preserve"> </w:t>
            </w:r>
            <w:r w:rsidRPr="002C224A">
              <w:rPr>
                <w:b/>
                <w:bCs/>
                <w:color w:val="000000"/>
                <w:sz w:val="20"/>
              </w:rPr>
              <w:t>625</w:t>
            </w:r>
          </w:p>
        </w:tc>
        <w:tc>
          <w:tcPr>
            <w:tcW w:w="1276" w:type="dxa"/>
            <w:vMerge w:val="restart"/>
            <w:tcBorders>
              <w:top w:val="nil"/>
              <w:left w:val="single" w:sz="4" w:space="0" w:color="auto"/>
              <w:bottom w:val="single" w:sz="8" w:space="0" w:color="000000"/>
              <w:right w:val="single" w:sz="8"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16 800</w:t>
            </w:r>
          </w:p>
        </w:tc>
      </w:tr>
      <w:tr w:rsidR="00EA43CE" w:rsidRPr="002C224A" w:rsidTr="00EA43CE">
        <w:trPr>
          <w:trHeight w:val="645"/>
        </w:trPr>
        <w:tc>
          <w:tcPr>
            <w:tcW w:w="1691" w:type="dxa"/>
            <w:vMerge/>
            <w:tcBorders>
              <w:top w:val="nil"/>
              <w:left w:val="single" w:sz="8" w:space="0" w:color="auto"/>
              <w:bottom w:val="single" w:sz="4" w:space="0" w:color="000000"/>
              <w:right w:val="single" w:sz="8" w:space="0" w:color="auto"/>
            </w:tcBorders>
            <w:vAlign w:val="center"/>
          </w:tcPr>
          <w:p w:rsidR="00276507" w:rsidRPr="002C224A" w:rsidRDefault="00276507" w:rsidP="0061019B">
            <w:pPr>
              <w:overflowPunct/>
              <w:autoSpaceDE/>
              <w:autoSpaceDN/>
              <w:adjustRightInd/>
              <w:jc w:val="left"/>
              <w:textAlignment w:val="auto"/>
              <w:rPr>
                <w:b/>
                <w:bCs/>
                <w:color w:val="000000"/>
                <w:sz w:val="20"/>
              </w:rPr>
            </w:pP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Rizikový kapitál</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color w:val="000000"/>
                <w:sz w:val="20"/>
              </w:rPr>
            </w:pPr>
          </w:p>
        </w:tc>
        <w:tc>
          <w:tcPr>
            <w:tcW w:w="1134" w:type="dxa"/>
            <w:tcBorders>
              <w:top w:val="nil"/>
              <w:left w:val="nil"/>
              <w:bottom w:val="single" w:sz="4" w:space="0" w:color="000000"/>
              <w:right w:val="single" w:sz="4" w:space="0" w:color="000000"/>
            </w:tcBorders>
            <w:shd w:val="clear" w:color="000000" w:fill="C6E0B4"/>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Kapitálové vstupy</w:t>
            </w:r>
          </w:p>
        </w:tc>
        <w:tc>
          <w:tcPr>
            <w:tcW w:w="1417" w:type="dxa"/>
            <w:tcBorders>
              <w:top w:val="nil"/>
              <w:left w:val="nil"/>
              <w:bottom w:val="single" w:sz="4" w:space="0" w:color="000000"/>
              <w:right w:val="single" w:sz="4" w:space="0" w:color="auto"/>
            </w:tcBorders>
            <w:shd w:val="clear" w:color="000000" w:fill="E7F7FF"/>
            <w:vAlign w:val="center"/>
          </w:tcPr>
          <w:p w:rsidR="00276507" w:rsidRPr="002C224A" w:rsidRDefault="00276507" w:rsidP="00A50943">
            <w:pPr>
              <w:overflowPunct/>
              <w:autoSpaceDE/>
              <w:autoSpaceDN/>
              <w:adjustRightInd/>
              <w:jc w:val="center"/>
              <w:textAlignment w:val="auto"/>
              <w:rPr>
                <w:b/>
                <w:bCs/>
                <w:color w:val="000000"/>
                <w:sz w:val="20"/>
              </w:rPr>
            </w:pPr>
            <w:r w:rsidRPr="002C224A">
              <w:rPr>
                <w:b/>
                <w:bCs/>
                <w:color w:val="000000"/>
                <w:sz w:val="20"/>
              </w:rPr>
              <w:t>800-1</w:t>
            </w:r>
            <w:r w:rsidR="00780C8B" w:rsidRPr="002C224A">
              <w:rPr>
                <w:b/>
                <w:bCs/>
                <w:color w:val="000000"/>
                <w:sz w:val="20"/>
              </w:rPr>
              <w:t xml:space="preserve"> </w:t>
            </w:r>
            <w:r w:rsidRPr="002C224A">
              <w:rPr>
                <w:b/>
                <w:bCs/>
                <w:color w:val="000000"/>
                <w:sz w:val="20"/>
              </w:rPr>
              <w:t>600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2C224A" w:rsidRDefault="00224B1A" w:rsidP="002C224A">
            <w:pPr>
              <w:overflowPunct/>
              <w:autoSpaceDE/>
              <w:autoSpaceDN/>
              <w:adjustRightInd/>
              <w:jc w:val="center"/>
              <w:textAlignment w:val="auto"/>
              <w:rPr>
                <w:b/>
                <w:bCs/>
                <w:color w:val="000000"/>
                <w:sz w:val="20"/>
              </w:rPr>
            </w:pPr>
            <w:r w:rsidRPr="002C224A">
              <w:rPr>
                <w:b/>
                <w:bCs/>
                <w:color w:val="000000"/>
                <w:sz w:val="20"/>
              </w:rPr>
              <w:t>825</w:t>
            </w:r>
          </w:p>
        </w:tc>
        <w:tc>
          <w:tcPr>
            <w:tcW w:w="1276" w:type="dxa"/>
            <w:vMerge/>
            <w:tcBorders>
              <w:top w:val="nil"/>
              <w:left w:val="single" w:sz="4" w:space="0" w:color="auto"/>
              <w:bottom w:val="single" w:sz="8" w:space="0" w:color="000000"/>
              <w:right w:val="single" w:sz="8" w:space="0" w:color="auto"/>
            </w:tcBorders>
            <w:vAlign w:val="center"/>
          </w:tcPr>
          <w:p w:rsidR="00276507" w:rsidRPr="002C224A" w:rsidRDefault="00276507" w:rsidP="002C224A">
            <w:pPr>
              <w:overflowPunct/>
              <w:autoSpaceDE/>
              <w:autoSpaceDN/>
              <w:adjustRightInd/>
              <w:jc w:val="center"/>
              <w:textAlignment w:val="auto"/>
              <w:rPr>
                <w:b/>
                <w:bCs/>
                <w:color w:val="000000"/>
                <w:sz w:val="20"/>
              </w:rPr>
            </w:pPr>
          </w:p>
        </w:tc>
      </w:tr>
      <w:tr w:rsidR="00224B1A" w:rsidRPr="002C224A" w:rsidTr="002C224A">
        <w:trPr>
          <w:trHeight w:val="1035"/>
        </w:trPr>
        <w:tc>
          <w:tcPr>
            <w:tcW w:w="1691" w:type="dxa"/>
            <w:tcBorders>
              <w:top w:val="nil"/>
              <w:left w:val="single" w:sz="8" w:space="0" w:color="auto"/>
              <w:bottom w:val="single" w:sz="4" w:space="0" w:color="000000"/>
              <w:right w:val="single" w:sz="8" w:space="0" w:color="auto"/>
            </w:tcBorders>
            <w:shd w:val="clear" w:color="000000" w:fill="E7F7FF"/>
            <w:vAlign w:val="center"/>
          </w:tcPr>
          <w:p w:rsidR="00276507" w:rsidRPr="00A50943" w:rsidRDefault="00276507" w:rsidP="0061019B">
            <w:pPr>
              <w:overflowPunct/>
              <w:autoSpaceDE/>
              <w:autoSpaceDN/>
              <w:adjustRightInd/>
              <w:jc w:val="center"/>
              <w:textAlignment w:val="auto"/>
              <w:rPr>
                <w:b/>
                <w:bCs/>
                <w:color w:val="000000"/>
                <w:sz w:val="20"/>
              </w:rPr>
            </w:pPr>
            <w:r w:rsidRPr="00A50943">
              <w:rPr>
                <w:b/>
                <w:bCs/>
                <w:color w:val="000000"/>
                <w:sz w:val="20"/>
              </w:rPr>
              <w:t xml:space="preserve">2.3 - Zvýšit využitelnost infrastruktury pro podnikání </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Nemovitosti</w:t>
            </w:r>
          </w:p>
        </w:tc>
        <w:tc>
          <w:tcPr>
            <w:tcW w:w="1276" w:type="dxa"/>
            <w:tcBorders>
              <w:top w:val="nil"/>
              <w:left w:val="nil"/>
              <w:bottom w:val="single" w:sz="4" w:space="0" w:color="000000"/>
              <w:right w:val="single" w:sz="4" w:space="0" w:color="000000"/>
            </w:tcBorders>
            <w:shd w:val="clear" w:color="000000" w:fill="FCE4D6"/>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Zvýhodněné úvěry</w:t>
            </w:r>
          </w:p>
        </w:tc>
        <w:tc>
          <w:tcPr>
            <w:tcW w:w="1134" w:type="dxa"/>
            <w:tcBorders>
              <w:top w:val="nil"/>
              <w:left w:val="nil"/>
              <w:bottom w:val="single" w:sz="4" w:space="0" w:color="000000"/>
              <w:right w:val="single" w:sz="4" w:space="0" w:color="000000"/>
            </w:tcBorders>
            <w:shd w:val="clear" w:color="000000" w:fill="C6E0B4"/>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Podřízené úvěry</w:t>
            </w:r>
          </w:p>
        </w:tc>
        <w:tc>
          <w:tcPr>
            <w:tcW w:w="1417" w:type="dxa"/>
            <w:tcBorders>
              <w:top w:val="nil"/>
              <w:left w:val="nil"/>
              <w:bottom w:val="single" w:sz="4" w:space="0" w:color="000000"/>
              <w:right w:val="single" w:sz="4" w:space="0" w:color="auto"/>
            </w:tcBorders>
            <w:shd w:val="clear" w:color="000000" w:fill="E7F7FF"/>
            <w:vAlign w:val="center"/>
          </w:tcPr>
          <w:p w:rsidR="00276507" w:rsidRPr="002C224A" w:rsidRDefault="00684FF3" w:rsidP="002C224A">
            <w:pPr>
              <w:overflowPunct/>
              <w:autoSpaceDE/>
              <w:autoSpaceDN/>
              <w:adjustRightInd/>
              <w:jc w:val="center"/>
              <w:textAlignment w:val="auto"/>
              <w:rPr>
                <w:b/>
                <w:bCs/>
                <w:color w:val="000000"/>
                <w:sz w:val="20"/>
              </w:rPr>
            </w:pPr>
            <w:r>
              <w:rPr>
                <w:b/>
                <w:bCs/>
                <w:color w:val="000000"/>
                <w:sz w:val="20"/>
              </w:rPr>
              <w:t>0</w:t>
            </w:r>
            <w:r w:rsidR="009607F4">
              <w:rPr>
                <w:b/>
                <w:bCs/>
                <w:color w:val="000000"/>
                <w:sz w:val="20"/>
              </w:rPr>
              <w:t>-</w:t>
            </w:r>
            <w:r w:rsidR="00780C8B" w:rsidRPr="002C224A">
              <w:rPr>
                <w:b/>
                <w:bCs/>
                <w:color w:val="000000"/>
                <w:sz w:val="20"/>
              </w:rPr>
              <w:t>55</w:t>
            </w:r>
            <w:r w:rsidR="00276507" w:rsidRPr="002C224A">
              <w:rPr>
                <w:b/>
                <w:bCs/>
                <w:color w:val="000000"/>
                <w:sz w:val="20"/>
              </w:rPr>
              <w:t>0</w:t>
            </w:r>
            <w:r w:rsidR="00D72D38">
              <w:rPr>
                <w:rStyle w:val="Znakapoznpodarou"/>
                <w:b/>
                <w:bCs/>
                <w:color w:val="000000"/>
              </w:rPr>
              <w:footnoteReference w:id="6"/>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2C224A" w:rsidRDefault="00D72D38" w:rsidP="002C224A">
            <w:pPr>
              <w:overflowPunct/>
              <w:autoSpaceDE/>
              <w:autoSpaceDN/>
              <w:adjustRightInd/>
              <w:jc w:val="center"/>
              <w:textAlignment w:val="auto"/>
              <w:rPr>
                <w:b/>
                <w:bCs/>
                <w:color w:val="000000"/>
                <w:sz w:val="20"/>
              </w:rPr>
            </w:pPr>
            <w:r>
              <w:rPr>
                <w:b/>
                <w:bCs/>
                <w:color w:val="000000"/>
                <w:sz w:val="20"/>
              </w:rPr>
              <w:t>80</w:t>
            </w:r>
            <w:r w:rsidR="00684FF3">
              <w:rPr>
                <w:b/>
                <w:bCs/>
                <w:color w:val="000000"/>
                <w:sz w:val="20"/>
              </w:rPr>
              <w:t>-</w:t>
            </w:r>
            <w:r w:rsidR="00224B1A" w:rsidRPr="002C224A">
              <w:rPr>
                <w:b/>
                <w:bCs/>
                <w:color w:val="000000"/>
                <w:sz w:val="20"/>
              </w:rPr>
              <w:t>550</w:t>
            </w:r>
          </w:p>
        </w:tc>
        <w:tc>
          <w:tcPr>
            <w:tcW w:w="1276" w:type="dxa"/>
            <w:tcBorders>
              <w:top w:val="nil"/>
              <w:left w:val="single" w:sz="4" w:space="0" w:color="auto"/>
              <w:bottom w:val="single" w:sz="4" w:space="0" w:color="auto"/>
              <w:right w:val="single" w:sz="8"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3 100</w:t>
            </w:r>
          </w:p>
        </w:tc>
      </w:tr>
      <w:tr w:rsidR="00546E46" w:rsidRPr="002C224A" w:rsidTr="00AC6308">
        <w:trPr>
          <w:trHeight w:val="1545"/>
        </w:trPr>
        <w:tc>
          <w:tcPr>
            <w:tcW w:w="1691" w:type="dxa"/>
            <w:tcBorders>
              <w:top w:val="nil"/>
              <w:left w:val="single" w:sz="8" w:space="0" w:color="auto"/>
              <w:bottom w:val="single" w:sz="4" w:space="0" w:color="000000"/>
              <w:right w:val="single" w:sz="8" w:space="0" w:color="auto"/>
            </w:tcBorders>
            <w:shd w:val="clear" w:color="000000" w:fill="E7F7FF"/>
            <w:vAlign w:val="center"/>
          </w:tcPr>
          <w:p w:rsidR="00276507" w:rsidRPr="002C224A" w:rsidRDefault="00276507" w:rsidP="0061019B">
            <w:pPr>
              <w:overflowPunct/>
              <w:autoSpaceDE/>
              <w:autoSpaceDN/>
              <w:adjustRightInd/>
              <w:jc w:val="center"/>
              <w:textAlignment w:val="auto"/>
              <w:rPr>
                <w:b/>
                <w:bCs/>
                <w:color w:val="000000"/>
                <w:sz w:val="20"/>
              </w:rPr>
            </w:pPr>
            <w:r w:rsidRPr="00A50943">
              <w:rPr>
                <w:b/>
                <w:bCs/>
                <w:color w:val="000000"/>
                <w:sz w:val="20"/>
              </w:rPr>
              <w:lastRenderedPageBreak/>
              <w:t>3.1 - Zvýšit podíl výroby energie z obnovitelný</w:t>
            </w:r>
            <w:r w:rsidRPr="002C224A">
              <w:rPr>
                <w:b/>
                <w:bCs/>
                <w:color w:val="000000"/>
                <w:sz w:val="20"/>
              </w:rPr>
              <w:t>ch zdrojů na hrubé konečné spotřebě ČR</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Obnovitelné zdroje energie</w:t>
            </w:r>
          </w:p>
        </w:tc>
        <w:tc>
          <w:tcPr>
            <w:tcW w:w="1276" w:type="dxa"/>
            <w:tcBorders>
              <w:top w:val="nil"/>
              <w:left w:val="nil"/>
              <w:bottom w:val="single" w:sz="4" w:space="0" w:color="000000"/>
              <w:right w:val="single" w:sz="4" w:space="0" w:color="000000"/>
            </w:tcBorders>
            <w:shd w:val="clear" w:color="000000" w:fill="FCE4D6"/>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Zvýhodněné úvěry</w:t>
            </w:r>
          </w:p>
        </w:tc>
        <w:tc>
          <w:tcPr>
            <w:tcW w:w="1134" w:type="dxa"/>
            <w:tcBorders>
              <w:top w:val="nil"/>
              <w:left w:val="nil"/>
              <w:bottom w:val="single" w:sz="4" w:space="0" w:color="000000"/>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color w:val="000000"/>
                <w:sz w:val="20"/>
              </w:rPr>
            </w:pPr>
          </w:p>
        </w:tc>
        <w:tc>
          <w:tcPr>
            <w:tcW w:w="1417" w:type="dxa"/>
            <w:tcBorders>
              <w:top w:val="nil"/>
              <w:left w:val="nil"/>
              <w:bottom w:val="single" w:sz="4" w:space="0" w:color="000000"/>
              <w:right w:val="single" w:sz="4" w:space="0" w:color="auto"/>
            </w:tcBorders>
            <w:shd w:val="clear" w:color="000000" w:fill="E7F7FF"/>
            <w:vAlign w:val="center"/>
          </w:tcPr>
          <w:p w:rsidR="00276507" w:rsidRPr="002C224A" w:rsidRDefault="00276507" w:rsidP="00A50943">
            <w:pPr>
              <w:overflowPunct/>
              <w:autoSpaceDE/>
              <w:autoSpaceDN/>
              <w:adjustRightInd/>
              <w:jc w:val="center"/>
              <w:textAlignment w:val="auto"/>
              <w:rPr>
                <w:b/>
                <w:bCs/>
                <w:color w:val="000000"/>
                <w:sz w:val="20"/>
              </w:rPr>
            </w:pPr>
            <w:r w:rsidRPr="002C224A">
              <w:rPr>
                <w:b/>
                <w:bCs/>
                <w:color w:val="000000"/>
                <w:sz w:val="20"/>
              </w:rPr>
              <w:t>400-600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A50943" w:rsidRDefault="00224B1A" w:rsidP="002C224A">
            <w:pPr>
              <w:overflowPunct/>
              <w:autoSpaceDE/>
              <w:autoSpaceDN/>
              <w:adjustRightInd/>
              <w:jc w:val="center"/>
              <w:textAlignment w:val="auto"/>
              <w:rPr>
                <w:b/>
                <w:bCs/>
                <w:color w:val="000000"/>
                <w:sz w:val="20"/>
              </w:rPr>
            </w:pPr>
            <w:r w:rsidRPr="002C224A">
              <w:rPr>
                <w:b/>
                <w:bCs/>
                <w:color w:val="000000"/>
                <w:sz w:val="20"/>
              </w:rPr>
              <w:t>0</w:t>
            </w:r>
            <w:r w:rsidR="00F33C02" w:rsidRPr="002C224A">
              <w:rPr>
                <w:rStyle w:val="Znakapoznpodarou"/>
                <w:rFonts w:ascii="Calibri" w:hAnsi="Calibri"/>
                <w:b/>
                <w:bCs/>
                <w:color w:val="000000"/>
              </w:rPr>
              <w:footnoteReference w:id="7"/>
            </w:r>
          </w:p>
        </w:tc>
        <w:tc>
          <w:tcPr>
            <w:tcW w:w="1276" w:type="dxa"/>
            <w:tcBorders>
              <w:top w:val="single" w:sz="4" w:space="0" w:color="auto"/>
              <w:left w:val="single" w:sz="4" w:space="0" w:color="auto"/>
              <w:bottom w:val="single" w:sz="4" w:space="0" w:color="auto"/>
              <w:right w:val="single" w:sz="4"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1 400</w:t>
            </w:r>
          </w:p>
        </w:tc>
      </w:tr>
      <w:tr w:rsidR="00546E46" w:rsidRPr="002C224A" w:rsidTr="00AC6308">
        <w:trPr>
          <w:trHeight w:val="1290"/>
        </w:trPr>
        <w:tc>
          <w:tcPr>
            <w:tcW w:w="1691" w:type="dxa"/>
            <w:tcBorders>
              <w:top w:val="nil"/>
              <w:left w:val="single" w:sz="8" w:space="0" w:color="auto"/>
              <w:bottom w:val="single" w:sz="4" w:space="0" w:color="000000"/>
              <w:right w:val="single" w:sz="8" w:space="0" w:color="auto"/>
            </w:tcBorders>
            <w:shd w:val="clear" w:color="000000" w:fill="E7F7FF"/>
            <w:vAlign w:val="center"/>
          </w:tcPr>
          <w:p w:rsidR="00276507" w:rsidRPr="00A50943" w:rsidRDefault="00276507" w:rsidP="0061019B">
            <w:pPr>
              <w:overflowPunct/>
              <w:autoSpaceDE/>
              <w:autoSpaceDN/>
              <w:adjustRightInd/>
              <w:jc w:val="center"/>
              <w:textAlignment w:val="auto"/>
              <w:rPr>
                <w:b/>
                <w:bCs/>
                <w:color w:val="000000"/>
                <w:sz w:val="20"/>
              </w:rPr>
            </w:pPr>
            <w:r w:rsidRPr="00A50943">
              <w:rPr>
                <w:b/>
                <w:bCs/>
                <w:color w:val="000000"/>
                <w:sz w:val="20"/>
              </w:rPr>
              <w:t xml:space="preserve">3.2 - Zvýšit energetickou účinnost podnikatelského sektoru </w:t>
            </w:r>
          </w:p>
        </w:tc>
        <w:tc>
          <w:tcPr>
            <w:tcW w:w="1276" w:type="dxa"/>
            <w:tcBorders>
              <w:top w:val="nil"/>
              <w:left w:val="nil"/>
              <w:bottom w:val="single" w:sz="4" w:space="0" w:color="000000"/>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Úspory energie</w:t>
            </w:r>
          </w:p>
        </w:tc>
        <w:tc>
          <w:tcPr>
            <w:tcW w:w="1276" w:type="dxa"/>
            <w:tcBorders>
              <w:top w:val="nil"/>
              <w:left w:val="nil"/>
              <w:bottom w:val="single" w:sz="4" w:space="0" w:color="000000"/>
              <w:right w:val="single" w:sz="4" w:space="0" w:color="000000"/>
            </w:tcBorders>
            <w:shd w:val="clear" w:color="000000" w:fill="FCE4D6"/>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Zvýhodněné úvěry</w:t>
            </w:r>
          </w:p>
        </w:tc>
        <w:tc>
          <w:tcPr>
            <w:tcW w:w="1134" w:type="dxa"/>
            <w:tcBorders>
              <w:top w:val="nil"/>
              <w:left w:val="nil"/>
              <w:bottom w:val="single" w:sz="4" w:space="0" w:color="000000"/>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sz w:val="20"/>
              </w:rPr>
            </w:pPr>
          </w:p>
        </w:tc>
        <w:tc>
          <w:tcPr>
            <w:tcW w:w="1417" w:type="dxa"/>
            <w:tcBorders>
              <w:top w:val="nil"/>
              <w:left w:val="nil"/>
              <w:bottom w:val="single" w:sz="4" w:space="0" w:color="000000"/>
              <w:right w:val="single" w:sz="4" w:space="0" w:color="auto"/>
            </w:tcBorders>
            <w:shd w:val="clear" w:color="000000" w:fill="E7F7FF"/>
            <w:vAlign w:val="center"/>
          </w:tcPr>
          <w:p w:rsidR="00276507" w:rsidRPr="002C224A" w:rsidRDefault="004C49C5" w:rsidP="00A50943">
            <w:pPr>
              <w:overflowPunct/>
              <w:autoSpaceDE/>
              <w:autoSpaceDN/>
              <w:adjustRightInd/>
              <w:jc w:val="center"/>
              <w:textAlignment w:val="auto"/>
              <w:rPr>
                <w:b/>
                <w:bCs/>
                <w:sz w:val="20"/>
              </w:rPr>
            </w:pPr>
            <w:r w:rsidRPr="002C224A">
              <w:rPr>
                <w:b/>
                <w:bCs/>
                <w:sz w:val="20"/>
              </w:rPr>
              <w:t>550</w:t>
            </w:r>
            <w:r w:rsidR="00276507" w:rsidRPr="002C224A">
              <w:rPr>
                <w:b/>
                <w:bCs/>
                <w:sz w:val="20"/>
              </w:rPr>
              <w:t>-2</w:t>
            </w:r>
            <w:r w:rsidR="00780C8B" w:rsidRPr="002C224A">
              <w:rPr>
                <w:b/>
                <w:bCs/>
                <w:sz w:val="20"/>
              </w:rPr>
              <w:t xml:space="preserve"> </w:t>
            </w:r>
            <w:r w:rsidR="00276507" w:rsidRPr="002C224A">
              <w:rPr>
                <w:b/>
                <w:bCs/>
                <w:sz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2C224A" w:rsidRDefault="00224B1A" w:rsidP="002C224A">
            <w:pPr>
              <w:overflowPunct/>
              <w:autoSpaceDE/>
              <w:autoSpaceDN/>
              <w:adjustRightInd/>
              <w:jc w:val="center"/>
              <w:textAlignment w:val="auto"/>
              <w:rPr>
                <w:b/>
                <w:bCs/>
                <w:color w:val="000000"/>
                <w:sz w:val="20"/>
              </w:rPr>
            </w:pPr>
            <w:r w:rsidRPr="002C224A">
              <w:rPr>
                <w:b/>
                <w:bCs/>
                <w:color w:val="000000"/>
                <w:sz w:val="20"/>
              </w:rPr>
              <w:t>550</w:t>
            </w:r>
          </w:p>
        </w:tc>
        <w:tc>
          <w:tcPr>
            <w:tcW w:w="1276" w:type="dxa"/>
            <w:tcBorders>
              <w:top w:val="single" w:sz="4" w:space="0" w:color="auto"/>
              <w:left w:val="single" w:sz="4" w:space="0" w:color="auto"/>
              <w:bottom w:val="single" w:sz="4" w:space="0" w:color="auto"/>
              <w:right w:val="single" w:sz="4"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20 500</w:t>
            </w:r>
          </w:p>
        </w:tc>
      </w:tr>
      <w:tr w:rsidR="00224B1A" w:rsidRPr="002C224A" w:rsidTr="002C224A">
        <w:trPr>
          <w:trHeight w:val="1035"/>
        </w:trPr>
        <w:tc>
          <w:tcPr>
            <w:tcW w:w="1691" w:type="dxa"/>
            <w:tcBorders>
              <w:top w:val="nil"/>
              <w:left w:val="single" w:sz="8" w:space="0" w:color="auto"/>
              <w:bottom w:val="single" w:sz="4" w:space="0" w:color="auto"/>
              <w:right w:val="single" w:sz="8" w:space="0" w:color="auto"/>
            </w:tcBorders>
            <w:shd w:val="clear" w:color="000000" w:fill="E7F7FF"/>
            <w:vAlign w:val="center"/>
          </w:tcPr>
          <w:p w:rsidR="00276507" w:rsidRPr="002C224A" w:rsidRDefault="00276507" w:rsidP="0061019B">
            <w:pPr>
              <w:overflowPunct/>
              <w:autoSpaceDE/>
              <w:autoSpaceDN/>
              <w:adjustRightInd/>
              <w:jc w:val="center"/>
              <w:textAlignment w:val="auto"/>
              <w:rPr>
                <w:b/>
                <w:bCs/>
                <w:color w:val="000000"/>
                <w:sz w:val="20"/>
              </w:rPr>
            </w:pPr>
            <w:r w:rsidRPr="00A50943">
              <w:rPr>
                <w:b/>
                <w:bCs/>
                <w:color w:val="000000"/>
                <w:sz w:val="20"/>
              </w:rPr>
              <w:t>3.5 - Zvýšit účinnost soustav zá</w:t>
            </w:r>
            <w:r w:rsidRPr="002C224A">
              <w:rPr>
                <w:b/>
                <w:bCs/>
                <w:color w:val="000000"/>
                <w:sz w:val="20"/>
              </w:rPr>
              <w:t>sobování teplem</w:t>
            </w:r>
          </w:p>
        </w:tc>
        <w:tc>
          <w:tcPr>
            <w:tcW w:w="1276" w:type="dxa"/>
            <w:tcBorders>
              <w:top w:val="nil"/>
              <w:left w:val="nil"/>
              <w:bottom w:val="single" w:sz="4" w:space="0" w:color="auto"/>
              <w:right w:val="single" w:sz="4" w:space="0" w:color="000000"/>
            </w:tcBorders>
            <w:shd w:val="clear" w:color="000000" w:fill="E7F7FF"/>
            <w:vAlign w:val="center"/>
          </w:tcPr>
          <w:p w:rsidR="00276507" w:rsidRPr="002C224A" w:rsidRDefault="00276507" w:rsidP="0008236A">
            <w:pPr>
              <w:overflowPunct/>
              <w:autoSpaceDE/>
              <w:autoSpaceDN/>
              <w:adjustRightInd/>
              <w:jc w:val="center"/>
              <w:textAlignment w:val="auto"/>
              <w:rPr>
                <w:b/>
                <w:bCs/>
                <w:color w:val="000000"/>
                <w:sz w:val="20"/>
              </w:rPr>
            </w:pPr>
            <w:r w:rsidRPr="002C224A">
              <w:rPr>
                <w:b/>
                <w:bCs/>
                <w:color w:val="000000"/>
                <w:sz w:val="20"/>
              </w:rPr>
              <w:t>Úspory energie v SZT</w:t>
            </w:r>
          </w:p>
        </w:tc>
        <w:tc>
          <w:tcPr>
            <w:tcW w:w="1276" w:type="dxa"/>
            <w:tcBorders>
              <w:top w:val="nil"/>
              <w:left w:val="nil"/>
              <w:bottom w:val="single" w:sz="4" w:space="0" w:color="auto"/>
              <w:right w:val="single" w:sz="4" w:space="0" w:color="000000"/>
            </w:tcBorders>
            <w:shd w:val="clear" w:color="000000" w:fill="FCE4D6"/>
            <w:vAlign w:val="center"/>
          </w:tcPr>
          <w:p w:rsidR="00276507" w:rsidRPr="002C224A" w:rsidRDefault="00276507" w:rsidP="0074622E">
            <w:pPr>
              <w:overflowPunct/>
              <w:autoSpaceDE/>
              <w:autoSpaceDN/>
              <w:adjustRightInd/>
              <w:jc w:val="center"/>
              <w:textAlignment w:val="auto"/>
              <w:rPr>
                <w:b/>
                <w:bCs/>
                <w:color w:val="000000"/>
                <w:sz w:val="20"/>
              </w:rPr>
            </w:pPr>
            <w:r w:rsidRPr="002C224A">
              <w:rPr>
                <w:b/>
                <w:bCs/>
                <w:color w:val="000000"/>
                <w:sz w:val="20"/>
              </w:rPr>
              <w:t>Zvýhodněné úvěry</w:t>
            </w:r>
          </w:p>
        </w:tc>
        <w:tc>
          <w:tcPr>
            <w:tcW w:w="1134" w:type="dxa"/>
            <w:tcBorders>
              <w:top w:val="nil"/>
              <w:left w:val="nil"/>
              <w:bottom w:val="single" w:sz="4" w:space="0" w:color="auto"/>
              <w:right w:val="single" w:sz="4" w:space="0" w:color="000000"/>
            </w:tcBorders>
            <w:shd w:val="clear" w:color="000000" w:fill="E7F7FF"/>
            <w:vAlign w:val="center"/>
          </w:tcPr>
          <w:p w:rsidR="00276507" w:rsidRPr="002C224A" w:rsidRDefault="00276507" w:rsidP="0074622E">
            <w:pPr>
              <w:overflowPunct/>
              <w:autoSpaceDE/>
              <w:autoSpaceDN/>
              <w:adjustRightInd/>
              <w:jc w:val="center"/>
              <w:textAlignment w:val="auto"/>
              <w:rPr>
                <w:b/>
                <w:bCs/>
                <w:sz w:val="20"/>
              </w:rPr>
            </w:pPr>
          </w:p>
        </w:tc>
        <w:tc>
          <w:tcPr>
            <w:tcW w:w="1417" w:type="dxa"/>
            <w:tcBorders>
              <w:top w:val="nil"/>
              <w:left w:val="nil"/>
              <w:bottom w:val="single" w:sz="4" w:space="0" w:color="auto"/>
              <w:right w:val="single" w:sz="4" w:space="0" w:color="auto"/>
            </w:tcBorders>
            <w:shd w:val="clear" w:color="000000" w:fill="E7F7FF"/>
            <w:vAlign w:val="center"/>
          </w:tcPr>
          <w:p w:rsidR="00276507" w:rsidRPr="002C224A" w:rsidRDefault="004C49C5" w:rsidP="00A50943">
            <w:pPr>
              <w:overflowPunct/>
              <w:autoSpaceDE/>
              <w:autoSpaceDN/>
              <w:adjustRightInd/>
              <w:jc w:val="center"/>
              <w:textAlignment w:val="auto"/>
              <w:rPr>
                <w:b/>
                <w:bCs/>
                <w:sz w:val="20"/>
              </w:rPr>
            </w:pPr>
            <w:r w:rsidRPr="002C224A">
              <w:rPr>
                <w:b/>
                <w:bCs/>
                <w:sz w:val="20"/>
              </w:rPr>
              <w:t>300</w:t>
            </w:r>
            <w:r w:rsidR="00780C8B" w:rsidRPr="002C224A">
              <w:rPr>
                <w:b/>
                <w:bCs/>
                <w:sz w:val="20"/>
              </w:rPr>
              <w:t>-</w:t>
            </w:r>
            <w:r w:rsidR="003B03D7" w:rsidRPr="002C224A">
              <w:rPr>
                <w:b/>
                <w:bCs/>
                <w:sz w:val="20"/>
              </w:rPr>
              <w:t>700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rsidR="00276507" w:rsidRPr="002C224A" w:rsidRDefault="00224B1A" w:rsidP="002C224A">
            <w:pPr>
              <w:overflowPunct/>
              <w:autoSpaceDE/>
              <w:autoSpaceDN/>
              <w:adjustRightInd/>
              <w:jc w:val="center"/>
              <w:textAlignment w:val="auto"/>
              <w:rPr>
                <w:b/>
                <w:bCs/>
                <w:color w:val="000000"/>
                <w:sz w:val="20"/>
              </w:rPr>
            </w:pPr>
            <w:r w:rsidRPr="002C224A">
              <w:rPr>
                <w:b/>
                <w:bCs/>
                <w:color w:val="000000"/>
                <w:sz w:val="20"/>
              </w:rPr>
              <w:t>300</w:t>
            </w:r>
          </w:p>
        </w:tc>
        <w:tc>
          <w:tcPr>
            <w:tcW w:w="1276" w:type="dxa"/>
            <w:tcBorders>
              <w:top w:val="single" w:sz="4" w:space="0" w:color="auto"/>
              <w:left w:val="single" w:sz="4" w:space="0" w:color="auto"/>
              <w:bottom w:val="single" w:sz="4" w:space="0" w:color="auto"/>
              <w:right w:val="single" w:sz="4" w:space="0" w:color="auto"/>
            </w:tcBorders>
            <w:shd w:val="clear" w:color="000000" w:fill="E7F7FF"/>
            <w:vAlign w:val="center"/>
          </w:tcPr>
          <w:p w:rsidR="00276507" w:rsidRPr="002C224A" w:rsidRDefault="00276507" w:rsidP="002C224A">
            <w:pPr>
              <w:overflowPunct/>
              <w:autoSpaceDE/>
              <w:autoSpaceDN/>
              <w:adjustRightInd/>
              <w:jc w:val="center"/>
              <w:textAlignment w:val="auto"/>
              <w:rPr>
                <w:b/>
                <w:bCs/>
                <w:color w:val="000000"/>
                <w:sz w:val="20"/>
              </w:rPr>
            </w:pPr>
            <w:r w:rsidRPr="002C224A">
              <w:rPr>
                <w:b/>
                <w:bCs/>
                <w:color w:val="000000"/>
                <w:sz w:val="20"/>
              </w:rPr>
              <w:t>3 900</w:t>
            </w:r>
          </w:p>
        </w:tc>
      </w:tr>
      <w:tr w:rsidR="00765000" w:rsidRPr="002C224A" w:rsidTr="002C224A">
        <w:trPr>
          <w:trHeight w:val="1035"/>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765000" w:rsidRPr="00A50943" w:rsidRDefault="00765000" w:rsidP="0061019B">
            <w:pPr>
              <w:overflowPunct/>
              <w:autoSpaceDE/>
              <w:autoSpaceDN/>
              <w:adjustRightInd/>
              <w:jc w:val="center"/>
              <w:textAlignment w:val="auto"/>
              <w:rPr>
                <w:b/>
                <w:bCs/>
                <w:color w:val="000000"/>
                <w:sz w:val="20"/>
              </w:rPr>
            </w:pPr>
            <w:r w:rsidRPr="00A50943">
              <w:rPr>
                <w:b/>
                <w:bCs/>
                <w:color w:val="000000"/>
                <w:sz w:val="20"/>
              </w:rPr>
              <w:t>4.1 - Zvětšit pokrytí vysokorychlostním přístupem k internetu</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65000" w:rsidRPr="002C224A" w:rsidRDefault="00765000" w:rsidP="0061019B">
            <w:pPr>
              <w:overflowPunct/>
              <w:autoSpaceDE/>
              <w:autoSpaceDN/>
              <w:adjustRightInd/>
              <w:jc w:val="center"/>
              <w:textAlignment w:val="auto"/>
              <w:rPr>
                <w:b/>
                <w:bCs/>
                <w:color w:val="000000"/>
                <w:sz w:val="20"/>
              </w:rPr>
            </w:pPr>
            <w:r w:rsidRPr="002C224A">
              <w:rPr>
                <w:b/>
                <w:bCs/>
                <w:color w:val="000000"/>
                <w:sz w:val="20"/>
              </w:rPr>
              <w:t>Není doporučena realizace FN v rámci OPPIK</w:t>
            </w:r>
          </w:p>
        </w:tc>
      </w:tr>
    </w:tbl>
    <w:p w:rsidR="00765000" w:rsidRPr="00A50943" w:rsidRDefault="00765000"/>
    <w:p w:rsidR="006D67F1" w:rsidRPr="00A50943" w:rsidRDefault="006D67F1" w:rsidP="004D17FB"/>
    <w:p w:rsidR="00A223AB" w:rsidRPr="002C224A" w:rsidRDefault="00A223AB" w:rsidP="00A223AB">
      <w:r w:rsidRPr="002C224A">
        <w:t xml:space="preserve">Předběžné posouzení identifikovalo širokou škálu použitelných finančních nástrojů, přičemž indikace vhodnosti jejich použití a absorpčních a implementačních rizik je různá. Zejména </w:t>
      </w:r>
      <w:r w:rsidRPr="002C224A">
        <w:rPr>
          <w:b/>
        </w:rPr>
        <w:t xml:space="preserve">v případě zapojení </w:t>
      </w:r>
      <w:r w:rsidR="000C3B87" w:rsidRPr="00A50943">
        <w:rPr>
          <w:b/>
        </w:rPr>
        <w:t>novýc</w:t>
      </w:r>
      <w:r w:rsidR="000C3B87" w:rsidRPr="002C224A">
        <w:rPr>
          <w:b/>
        </w:rPr>
        <w:t xml:space="preserve">h </w:t>
      </w:r>
      <w:r w:rsidRPr="002C224A">
        <w:rPr>
          <w:b/>
        </w:rPr>
        <w:t xml:space="preserve">nástrojů do oblastí, </w:t>
      </w:r>
      <w:r w:rsidR="009D7ADE" w:rsidRPr="002C224A">
        <w:rPr>
          <w:b/>
        </w:rPr>
        <w:t>kde FN dosud nebyly využívány a kde podpora v minulých letech probíhala</w:t>
      </w:r>
      <w:r w:rsidRPr="002C224A">
        <w:rPr>
          <w:b/>
        </w:rPr>
        <w:t xml:space="preserve"> dotační podporou</w:t>
      </w:r>
      <w:r w:rsidR="00DE03D5" w:rsidRPr="002C224A">
        <w:rPr>
          <w:b/>
        </w:rPr>
        <w:t xml:space="preserve"> (PO1</w:t>
      </w:r>
      <w:r w:rsidR="000C3B87" w:rsidRPr="00A50943">
        <w:rPr>
          <w:b/>
        </w:rPr>
        <w:t>,</w:t>
      </w:r>
      <w:r w:rsidR="00DE03D5" w:rsidRPr="002C224A">
        <w:rPr>
          <w:b/>
        </w:rPr>
        <w:t xml:space="preserve"> PO3) je</w:t>
      </w:r>
      <w:r w:rsidR="000C3B87" w:rsidRPr="00A50943">
        <w:rPr>
          <w:b/>
        </w:rPr>
        <w:t xml:space="preserve"> doporučován evoluční přístup k</w:t>
      </w:r>
      <w:r w:rsidR="000C3B87" w:rsidRPr="002C224A">
        <w:rPr>
          <w:b/>
        </w:rPr>
        <w:t> zavádění nové podpory a</w:t>
      </w:r>
      <w:r w:rsidR="00DE03D5" w:rsidRPr="002C224A">
        <w:rPr>
          <w:b/>
        </w:rPr>
        <w:t xml:space="preserve"> ověření absorpční kapacity nejprve menší</w:t>
      </w:r>
      <w:r w:rsidR="00F11CA0" w:rsidRPr="002C224A">
        <w:rPr>
          <w:b/>
        </w:rPr>
        <w:t xml:space="preserve"> pilotní</w:t>
      </w:r>
      <w:r w:rsidR="00DE03D5" w:rsidRPr="002C224A">
        <w:rPr>
          <w:b/>
        </w:rPr>
        <w:t xml:space="preserve"> alokací.</w:t>
      </w:r>
      <w:r w:rsidR="000C3B87" w:rsidRPr="00A50943">
        <w:rPr>
          <w:b/>
        </w:rPr>
        <w:t xml:space="preserve"> </w:t>
      </w:r>
    </w:p>
    <w:p w:rsidR="00DE03D5" w:rsidRPr="002C224A" w:rsidRDefault="00DE03D5" w:rsidP="00A223AB"/>
    <w:p w:rsidR="00DE03D5" w:rsidRPr="002C224A" w:rsidRDefault="00DE03D5" w:rsidP="00A223AB">
      <w:r w:rsidRPr="002C224A">
        <w:rPr>
          <w:b/>
        </w:rPr>
        <w:t xml:space="preserve">Předběžné posouzení v tomto smyslu považuje </w:t>
      </w:r>
      <w:r w:rsidR="000C3B87" w:rsidRPr="002C224A">
        <w:rPr>
          <w:b/>
        </w:rPr>
        <w:t>pilotní využití cca 10 % alokovaných prostředků OP</w:t>
      </w:r>
      <w:r w:rsidR="00247315" w:rsidRPr="00A50943">
        <w:rPr>
          <w:b/>
        </w:rPr>
        <w:t> </w:t>
      </w:r>
      <w:r w:rsidR="000C3B87" w:rsidRPr="002C224A">
        <w:rPr>
          <w:b/>
        </w:rPr>
        <w:t>PIK na finanční nástroje</w:t>
      </w:r>
      <w:r w:rsidR="0079611B" w:rsidRPr="002C224A">
        <w:rPr>
          <w:b/>
        </w:rPr>
        <w:t xml:space="preserve"> i s ohledem na kapacity ŘO</w:t>
      </w:r>
      <w:r w:rsidR="000C3B87" w:rsidRPr="002C224A">
        <w:rPr>
          <w:b/>
        </w:rPr>
        <w:t xml:space="preserve"> za realistický cíl</w:t>
      </w:r>
      <w:r w:rsidR="000C3B87" w:rsidRPr="00A50943">
        <w:t xml:space="preserve"> </w:t>
      </w:r>
      <w:r w:rsidR="00C94475" w:rsidRPr="002C224A">
        <w:t xml:space="preserve">– bude znamenat zvýšení o několik procentních bodů oproti období 2007-2013, zároveň však </w:t>
      </w:r>
      <w:r w:rsidR="00403F14" w:rsidRPr="002C224A">
        <w:t xml:space="preserve">nedosáhne </w:t>
      </w:r>
      <w:r w:rsidR="00C94475" w:rsidRPr="002C224A">
        <w:t>tak vysokého podílu, aby mohl představovat riziko např. pro plnění pravidla n+3 v případě, kdy by např. nebyly naplněny předpoklady ohledně absorpční kapacity.</w:t>
      </w:r>
    </w:p>
    <w:p w:rsidR="00403F14" w:rsidRPr="002C224A" w:rsidRDefault="00403F14" w:rsidP="00A223AB"/>
    <w:p w:rsidR="00403F14" w:rsidRPr="002C224A" w:rsidRDefault="00403F14" w:rsidP="00A223AB">
      <w:r w:rsidRPr="002C224A">
        <w:t xml:space="preserve">Z těchto důvodů je ve shrnující tabulce indikováno doporučené rozpětí alokace jednotlivých nástrojů vycházející z identifikované absorpční kapacity a rozpočtových omezení OP PIK, zároveň </w:t>
      </w:r>
      <w:r w:rsidRPr="002C224A">
        <w:rPr>
          <w:b/>
        </w:rPr>
        <w:t>je navrženo postupovat v první fázi implementace FN pilotní alokací uvedenou ve sloupci 6</w:t>
      </w:r>
      <w:r w:rsidRPr="00A50943">
        <w:t xml:space="preserve"> (i s ohledem na nutné další vyjasnění využití FN v</w:t>
      </w:r>
      <w:r w:rsidRPr="002C224A">
        <w:t> některých SC).</w:t>
      </w:r>
    </w:p>
    <w:p w:rsidR="00C94475" w:rsidRPr="002C224A" w:rsidRDefault="00403F14" w:rsidP="00A223AB">
      <w:r w:rsidRPr="002C224A">
        <w:t xml:space="preserve">  </w:t>
      </w:r>
    </w:p>
    <w:p w:rsidR="00A223AB" w:rsidRPr="002C224A" w:rsidRDefault="00A223AB" w:rsidP="00A223AB">
      <w:pPr>
        <w:rPr>
          <w:b/>
        </w:rPr>
      </w:pPr>
      <w:r w:rsidRPr="002C224A">
        <w:rPr>
          <w:b/>
        </w:rPr>
        <w:t>Řídící orgán však může v průběhu programového období dospět k závěru, že alokaci některého nebo všech finančních nástrojů navýší v závislosti na vývoji jejich implementace</w:t>
      </w:r>
      <w:r w:rsidR="00403F14" w:rsidRPr="00A50943">
        <w:rPr>
          <w:b/>
        </w:rPr>
        <w:t>,</w:t>
      </w:r>
      <w:r w:rsidRPr="002C224A">
        <w:rPr>
          <w:b/>
        </w:rPr>
        <w:t xml:space="preserve"> dle </w:t>
      </w:r>
      <w:r w:rsidR="00C94475" w:rsidRPr="002C224A">
        <w:rPr>
          <w:b/>
        </w:rPr>
        <w:t xml:space="preserve">návrhů </w:t>
      </w:r>
      <w:r w:rsidRPr="002C224A">
        <w:rPr>
          <w:b/>
        </w:rPr>
        <w:t>předběžného posouzení.</w:t>
      </w:r>
    </w:p>
    <w:p w:rsidR="006D67F1" w:rsidRPr="00A50943" w:rsidRDefault="006D67F1" w:rsidP="004D17FB"/>
    <w:p w:rsidR="006D67F1" w:rsidRPr="002C224A" w:rsidRDefault="006D67F1" w:rsidP="00703AD5">
      <w:pPr>
        <w:rPr>
          <w:b/>
        </w:rPr>
      </w:pPr>
      <w:r w:rsidRPr="002C224A">
        <w:rPr>
          <w:b/>
        </w:rPr>
        <w:t>Z hlediska úrovně řízení mohou být finanční nástroje zřízeny na úrovni Unie a spravované přímo nebo nepřímo Komisí nebo mohou být zřízeny na celostátní, regionální, nadnárodní nebo přeshraniční úrovni, spravované řídicím orgánem nebo na jeho odpovědnost.</w:t>
      </w:r>
    </w:p>
    <w:p w:rsidR="006D67F1" w:rsidRPr="002C224A" w:rsidRDefault="006D67F1" w:rsidP="00703AD5"/>
    <w:p w:rsidR="006D67F1" w:rsidRPr="002C224A" w:rsidRDefault="00CB67B7" w:rsidP="00703AD5">
      <w:r>
        <w:rPr>
          <w:b/>
        </w:rPr>
        <w:t>Předběžné posouzení nenavrhuje</w:t>
      </w:r>
      <w:r w:rsidR="006D67F1" w:rsidRPr="002C224A">
        <w:rPr>
          <w:b/>
        </w:rPr>
        <w:t xml:space="preserve"> vložení prostředků do finančních nástrojů zřízených na úrovni Unie.</w:t>
      </w:r>
      <w:r w:rsidR="006D67F1" w:rsidRPr="002C224A">
        <w:t xml:space="preserve"> S touto variantou nepočítá ani Dohoda o partnerství. Finanční nástroje OP PIK budou proto </w:t>
      </w:r>
      <w:r w:rsidR="006D67F1" w:rsidRPr="002C224A">
        <w:lastRenderedPageBreak/>
        <w:t>s ohledem na celostátní působnost OP PIK (s výjimkou území hlavního města Prahy) zřízeny na celostátní úrovni.</w:t>
      </w:r>
    </w:p>
    <w:p w:rsidR="006D67F1" w:rsidRPr="002C224A" w:rsidRDefault="006D67F1" w:rsidP="00703AD5"/>
    <w:p w:rsidR="006D67F1" w:rsidRPr="002C224A" w:rsidRDefault="006D67F1" w:rsidP="00703AD5">
      <w:r w:rsidRPr="002C224A">
        <w:rPr>
          <w:b/>
        </w:rPr>
        <w:t>Řídící orgán OP</w:t>
      </w:r>
      <w:r w:rsidR="000E7BA3" w:rsidRPr="002C224A">
        <w:rPr>
          <w:b/>
        </w:rPr>
        <w:t xml:space="preserve"> </w:t>
      </w:r>
      <w:r w:rsidRPr="002C224A">
        <w:rPr>
          <w:b/>
        </w:rPr>
        <w:t>PIK naopak uvažuje o možnosti využití kombinace finančních nástrojů OP</w:t>
      </w:r>
      <w:r w:rsidR="000E7BA3" w:rsidRPr="002C224A">
        <w:rPr>
          <w:b/>
        </w:rPr>
        <w:t xml:space="preserve"> </w:t>
      </w:r>
      <w:r w:rsidRPr="002C224A">
        <w:rPr>
          <w:b/>
        </w:rPr>
        <w:t>PIK se zdroji připravovaného Evropského fondu pro strategické investice (EFSI) v rámci tzv. Investičního plánu pro Evropu.</w:t>
      </w:r>
      <w:r w:rsidRPr="002C224A">
        <w:t xml:space="preserve"> V případě výběru investiční komisí EFSI mohou finanční nástroje OP</w:t>
      </w:r>
      <w:r w:rsidR="000E7BA3" w:rsidRPr="002C224A">
        <w:t xml:space="preserve"> </w:t>
      </w:r>
      <w:r w:rsidRPr="002C224A">
        <w:t>PIK pro malé a střední podniky usilovat např. o záruky nebo protizáruky EIF zajištěné ze zdrojů EFSI.</w:t>
      </w:r>
      <w:r w:rsidR="002440BE" w:rsidRPr="002C224A">
        <w:t xml:space="preserve"> </w:t>
      </w:r>
      <w:r w:rsidRPr="002C224A">
        <w:t>Dělba rizika v mechanismu EFSI by umožnila především dále zvýšit pákový efekt finančních nástrojů OP</w:t>
      </w:r>
      <w:r w:rsidR="000E7BA3" w:rsidRPr="002C224A">
        <w:t xml:space="preserve"> </w:t>
      </w:r>
      <w:r w:rsidRPr="002C224A">
        <w:t>PIK a umožnit financovat rizikovější portfolia. Do schématu EFSI se také podle současného návrhu nařízení mohou zapojit národní rozvojové banky, v případě České republiky ČMZRB.</w:t>
      </w:r>
    </w:p>
    <w:p w:rsidR="006D67F1" w:rsidRPr="002C224A" w:rsidRDefault="006D67F1" w:rsidP="00703AD5"/>
    <w:p w:rsidR="006D67F1" w:rsidRPr="002C224A" w:rsidRDefault="006D67F1" w:rsidP="00703AD5">
      <w:r w:rsidRPr="002C224A">
        <w:t>Pro finanční nástroje zřízené na celostátní úrovni pak může řídící orgán využít:</w:t>
      </w:r>
    </w:p>
    <w:p w:rsidR="006D67F1" w:rsidRPr="002C224A" w:rsidRDefault="006D67F1" w:rsidP="00703AD5">
      <w:pPr>
        <w:numPr>
          <w:ilvl w:val="0"/>
          <w:numId w:val="60"/>
        </w:numPr>
      </w:pPr>
      <w:r w:rsidRPr="002C224A">
        <w:t>nástroje, které jsou v souladu se standardními podmínkami stanovenými Komisí (tzv. off-the-shelf finanční nástroje) nebo</w:t>
      </w:r>
    </w:p>
    <w:p w:rsidR="006D67F1" w:rsidRPr="002C224A" w:rsidRDefault="006D67F1" w:rsidP="00703AD5">
      <w:pPr>
        <w:numPr>
          <w:ilvl w:val="0"/>
          <w:numId w:val="60"/>
        </w:numPr>
      </w:pPr>
      <w:r w:rsidRPr="002C224A">
        <w:t>již existující nebo nově vytvořené nástroje, které jsou zvlášť navrženy k dosažení specifických cílů stanovených v rámci příslušné priority (tzv. tailor-made finanční nástroje).</w:t>
      </w:r>
    </w:p>
    <w:p w:rsidR="006D67F1" w:rsidRPr="002C224A" w:rsidRDefault="006D67F1" w:rsidP="00703AD5"/>
    <w:p w:rsidR="006D67F1" w:rsidRPr="002C224A" w:rsidRDefault="006D67F1" w:rsidP="00703AD5">
      <w:pPr>
        <w:rPr>
          <w:b/>
        </w:rPr>
      </w:pPr>
      <w:r w:rsidRPr="002C224A">
        <w:rPr>
          <w:b/>
        </w:rPr>
        <w:t>Všechny finanční nástroje navrhované podle tohoto předběžného posouzení představují nástroje tailor-made.</w:t>
      </w:r>
    </w:p>
    <w:p w:rsidR="006D67F1" w:rsidRPr="002C224A" w:rsidRDefault="006D67F1" w:rsidP="00703AD5"/>
    <w:p w:rsidR="006D67F1" w:rsidRPr="002C224A" w:rsidRDefault="006D67F1" w:rsidP="00703AD5">
      <w:pPr>
        <w:rPr>
          <w:b/>
        </w:rPr>
      </w:pPr>
      <w:r w:rsidRPr="002C224A">
        <w:rPr>
          <w:b/>
        </w:rPr>
        <w:t>Obecné nařízení dále uvádí následující možnosti implementace finančních nástrojů z hlediska správy (typu příjemce):</w:t>
      </w:r>
    </w:p>
    <w:p w:rsidR="006D67F1" w:rsidRPr="002C224A" w:rsidRDefault="006D67F1" w:rsidP="00703AD5">
      <w:pPr>
        <w:numPr>
          <w:ilvl w:val="0"/>
          <w:numId w:val="59"/>
        </w:numPr>
      </w:pPr>
      <w:r w:rsidRPr="002C224A">
        <w:t>investovat do kapitálu stávajících nebo nově vytvořených právnických osob (včetně těch, které jsou financovány z jiných fondů ESI), jež se věnují provádění finančních nástrojů v souladu s cíli jednotlivých fondů ESI a jež se ujmou prováděcích úkolů; podpora těchto subjektů je omezena částkou nezbytnou pro provádění nových investic a musí být v souladu s cíli Obecného nařízení;</w:t>
      </w:r>
    </w:p>
    <w:p w:rsidR="006D67F1" w:rsidRPr="002C224A" w:rsidRDefault="006D67F1" w:rsidP="00703AD5">
      <w:pPr>
        <w:numPr>
          <w:ilvl w:val="0"/>
          <w:numId w:val="59"/>
        </w:numPr>
      </w:pPr>
      <w:r w:rsidRPr="002C224A">
        <w:t>svěřit prováděcí úkoly:</w:t>
      </w:r>
    </w:p>
    <w:p w:rsidR="006D67F1" w:rsidRPr="002C224A" w:rsidRDefault="006D67F1" w:rsidP="00703AD5">
      <w:pPr>
        <w:numPr>
          <w:ilvl w:val="1"/>
          <w:numId w:val="59"/>
        </w:numPr>
      </w:pPr>
      <w:r w:rsidRPr="002C224A">
        <w:t>i) EIB;</w:t>
      </w:r>
    </w:p>
    <w:p w:rsidR="006D67F1" w:rsidRPr="002C224A" w:rsidRDefault="006D67F1" w:rsidP="00703AD5">
      <w:pPr>
        <w:numPr>
          <w:ilvl w:val="1"/>
          <w:numId w:val="59"/>
        </w:numPr>
      </w:pPr>
      <w:r w:rsidRPr="002C224A">
        <w:t>ii) mezinárodním finančním institucím, jejichž akcionářem je členský stát, nebo finančním institucím se sídlem v členském státě, jejichž úkolem je dosahovat veřejného zájmu pod kontrolou orgánu veřejné správy;</w:t>
      </w:r>
    </w:p>
    <w:p w:rsidR="006D67F1" w:rsidRPr="002C224A" w:rsidRDefault="006D67F1" w:rsidP="00703AD5">
      <w:pPr>
        <w:numPr>
          <w:ilvl w:val="1"/>
          <w:numId w:val="59"/>
        </w:numPr>
      </w:pPr>
      <w:r w:rsidRPr="002C224A">
        <w:t>iii) veřejnoprávnímu nebo soukromoprávnímu subjektu</w:t>
      </w:r>
    </w:p>
    <w:p w:rsidR="006D67F1" w:rsidRPr="002C224A" w:rsidRDefault="006D67F1" w:rsidP="00703AD5">
      <w:pPr>
        <w:numPr>
          <w:ilvl w:val="0"/>
          <w:numId w:val="59"/>
        </w:numPr>
      </w:pPr>
      <w:r w:rsidRPr="002C224A">
        <w:t xml:space="preserve">v případě finančních nástrojů, které jsou tvořeny pouze </w:t>
      </w:r>
      <w:r w:rsidR="00D014D3">
        <w:t>úvěry</w:t>
      </w:r>
      <w:r w:rsidR="00D014D3" w:rsidRPr="002C224A">
        <w:t xml:space="preserve"> </w:t>
      </w:r>
      <w:r w:rsidRPr="002C224A">
        <w:t>nebo zárukami, se může řídící orgán ujmout prováděcích úkolů přímo.</w:t>
      </w:r>
    </w:p>
    <w:p w:rsidR="006D67F1" w:rsidRPr="002C224A" w:rsidRDefault="006D67F1" w:rsidP="00703AD5"/>
    <w:p w:rsidR="006D67F1" w:rsidRPr="002C224A" w:rsidRDefault="006D67F1" w:rsidP="00703AD5">
      <w:r w:rsidRPr="002C224A">
        <w:t>Na základě závěrů SWOT analýzy, dosavadních zkušeností a v návaznosti na usnesení vlády České republiky č. 85 ze dne 9. února 2015, které uvažuje o centralizaci správy finančních nástrojů v ČMZRB, předběžné posouzení finančních nástrojů doporučuje:</w:t>
      </w:r>
    </w:p>
    <w:p w:rsidR="006D67F1" w:rsidRPr="002C224A" w:rsidRDefault="006D67F1" w:rsidP="00703AD5"/>
    <w:p w:rsidR="006D67F1" w:rsidRPr="002C224A" w:rsidRDefault="006D67F1" w:rsidP="00703AD5">
      <w:pPr>
        <w:numPr>
          <w:ilvl w:val="0"/>
          <w:numId w:val="61"/>
        </w:numPr>
        <w:rPr>
          <w:b/>
        </w:rPr>
      </w:pPr>
      <w:r w:rsidRPr="002C224A">
        <w:rPr>
          <w:b/>
        </w:rPr>
        <w:t>v případě finančních nástrojů zahrnujících zvýhodněné úvěry a záruky svěřit implementační úkoly Českomoravské záruční a rozvojové bance, a.s.</w:t>
      </w:r>
      <w:r w:rsidRPr="002C224A">
        <w:t xml:space="preserve"> v souladu s čl. 38, odst. 4 písm. b) ii) a v návaznosti na § 18 odst. 1) písm. e) zákona č. 137/2006 Sb., o veřejných zakázkách a § 5 odst. 1 písm. b) zákona č. 47/2002 Sb., o podpoře malého a středního podnikání,</w:t>
      </w:r>
    </w:p>
    <w:p w:rsidR="006D67F1" w:rsidRPr="002C224A" w:rsidRDefault="006D67F1" w:rsidP="00703AD5">
      <w:pPr>
        <w:ind w:left="360"/>
        <w:rPr>
          <w:b/>
        </w:rPr>
      </w:pPr>
    </w:p>
    <w:p w:rsidR="007D75C6" w:rsidRPr="00204AA3" w:rsidRDefault="007D75C6" w:rsidP="00204AA3">
      <w:pPr>
        <w:pStyle w:val="Odstavecseseznamem"/>
        <w:numPr>
          <w:ilvl w:val="0"/>
          <w:numId w:val="97"/>
        </w:numPr>
        <w:rPr>
          <w:b/>
          <w:bCs/>
        </w:rPr>
      </w:pPr>
      <w:r w:rsidRPr="00204AA3">
        <w:rPr>
          <w:b/>
          <w:bCs/>
        </w:rPr>
        <w:t>v případě finančních nástrojů zahrnujících kapitálové vstupy v SC 1.2 a SC 2.1 investovat do kapitálu stávajících nebo nově vytvořených právnických osob</w:t>
      </w:r>
      <w:r>
        <w:t xml:space="preserve"> v souladu s čl. 38, odst. 4 písm. a) a v návaznosti na § 18 odst. 1) písm. e) zákona č. 137/2006 Sb., o veřejných zakázkách, případně </w:t>
      </w:r>
      <w:r w:rsidRPr="00204AA3">
        <w:rPr>
          <w:b/>
          <w:bCs/>
        </w:rPr>
        <w:t xml:space="preserve">svěřit implementační úkoly EIB (EIF) v souladu s čl. 38, odst. 4 písm. b) i). Předběžné posouzení navrhuje vytvoření nového národního subjektu Národní inovační fond, investiční společnost, a.s., avšak zejména na počátku implementace doporučuje spolupráci s EIF, buď přímo formou časově omezené správy FN, nebo využitím poradenství např. při výběru a </w:t>
      </w:r>
      <w:r w:rsidRPr="00204AA3">
        <w:rPr>
          <w:b/>
          <w:bCs/>
        </w:rPr>
        <w:lastRenderedPageBreak/>
        <w:t>nastavení podmínek spolupráce s finančními zprostředkovateli a spoluinvestory – v závislosti na konkrétních podmínkách dohody s EIF.</w:t>
      </w:r>
    </w:p>
    <w:p w:rsidR="003F4059" w:rsidRPr="002C224A" w:rsidRDefault="003F4059" w:rsidP="003F4059">
      <w:pPr>
        <w:ind w:left="720"/>
      </w:pPr>
    </w:p>
    <w:p w:rsidR="006D67F1" w:rsidRPr="002C224A" w:rsidRDefault="006D67F1" w:rsidP="00703AD5">
      <w:r w:rsidRPr="002C224A">
        <w:t xml:space="preserve">Obecné nařízení dále umožňuje finanční nástroje implementovat odděleně, nebo prostřednictvím fondu fondů. Ministerstvo průmyslu a obchodu nemá dosud zkušenosti s implementací finančních nástrojů prostřednictvím fondu fondů, nicméně se v současnosti účastní </w:t>
      </w:r>
      <w:r w:rsidR="00A86C65">
        <w:t xml:space="preserve">přípravy </w:t>
      </w:r>
      <w:r w:rsidRPr="002C224A">
        <w:t>studi</w:t>
      </w:r>
      <w:r w:rsidR="00A86C65">
        <w:t>e</w:t>
      </w:r>
      <w:r w:rsidRPr="002C224A">
        <w:t xml:space="preserve"> proveditelnosti centralizace</w:t>
      </w:r>
      <w:r w:rsidR="00A86C65" w:rsidRPr="002C224A">
        <w:t xml:space="preserve"> </w:t>
      </w:r>
      <w:r w:rsidRPr="002C224A">
        <w:t>finančních nástrojů prostřednictvím národního fondu fondů ČMZRB</w:t>
      </w:r>
      <w:r w:rsidR="004130E2">
        <w:t>, která by zajišťovala správu fondu fondů pro všechny ŘO operačních programů ČR</w:t>
      </w:r>
      <w:r w:rsidRPr="002C224A">
        <w:t xml:space="preserve">.  </w:t>
      </w:r>
      <w:r w:rsidRPr="002C224A">
        <w:rPr>
          <w:b/>
        </w:rPr>
        <w:t>S ohledem na závěry činěné v návrhu investiční strategie v jednotlivých specifických cílech proto předběžné posouzení doporučuje</w:t>
      </w:r>
      <w:r w:rsidRPr="002C224A">
        <w:t>:</w:t>
      </w:r>
    </w:p>
    <w:p w:rsidR="006D67F1" w:rsidRPr="002C224A" w:rsidRDefault="006D67F1" w:rsidP="00703AD5"/>
    <w:p w:rsidR="006D67F1" w:rsidRPr="002C224A" w:rsidRDefault="006D67F1" w:rsidP="00703AD5">
      <w:pPr>
        <w:numPr>
          <w:ilvl w:val="0"/>
          <w:numId w:val="61"/>
        </w:numPr>
      </w:pPr>
      <w:r w:rsidRPr="002C224A">
        <w:rPr>
          <w:b/>
        </w:rPr>
        <w:t>v případě úvěrových finančních nástrojů (kombinovaných typicky se subvencí úrokové sazby nebo též grantem na technickou přípravu projektu) uzavřít jednu dohodu o financování na vytvoření úvěrového fondu u příjemce</w:t>
      </w:r>
      <w:r w:rsidRPr="002C224A">
        <w:t xml:space="preserve">. Tento úvěrový fond bude vnitřně členěn dle jednotlivých prioritních os a specifických cílů. Vzhledem k faktu, že spolupráce s dalšími finančními institucemi není s ohledem na závěry návrhu investiční strategie plánována ve smyslu </w:t>
      </w:r>
      <w:r w:rsidR="00587842" w:rsidRPr="002C224A">
        <w:t xml:space="preserve">zapojení </w:t>
      </w:r>
      <w:r w:rsidRPr="002C224A">
        <w:t>finanční</w:t>
      </w:r>
      <w:r w:rsidR="00587842" w:rsidRPr="002C224A">
        <w:t>ch</w:t>
      </w:r>
      <w:r w:rsidRPr="002C224A">
        <w:t xml:space="preserve"> zprostředkovatel</w:t>
      </w:r>
      <w:r w:rsidR="00587842" w:rsidRPr="002C224A">
        <w:t>ů</w:t>
      </w:r>
      <w:r w:rsidRPr="002C224A">
        <w:t>, ale jako rámcová koordinace, nejedná se podle závěrů tohoto předběžného posouzení o fond fondů, ale individuální finanční nástroj. Schéma by mělo umožnit začlenění do centralizovaného národního fondu fondů, pokud bude v průběhu</w:t>
      </w:r>
      <w:r w:rsidR="00A86C65" w:rsidRPr="00A86C65">
        <w:t xml:space="preserve"> </w:t>
      </w:r>
      <w:r w:rsidR="00A86C65" w:rsidRPr="002C224A">
        <w:t>k dispozici</w:t>
      </w:r>
      <w:r w:rsidRPr="002C224A">
        <w:t xml:space="preserve"> programového období. S ohledem na specifické tailor-made implementační uspořádání a závěry auditu EK v období 2007-2013 předběžné posouzení doporučuje projednat schéma úvěrového fondu OP</w:t>
      </w:r>
      <w:r w:rsidR="000E7BA3" w:rsidRPr="002C224A">
        <w:t xml:space="preserve"> </w:t>
      </w:r>
      <w:r w:rsidRPr="002C224A">
        <w:t>PIK s Evropskou komisí před jeho spuštěním.</w:t>
      </w:r>
    </w:p>
    <w:p w:rsidR="006D67F1" w:rsidRPr="002C224A" w:rsidRDefault="006D67F1" w:rsidP="008F27E3"/>
    <w:p w:rsidR="006D67F1" w:rsidRPr="002C224A" w:rsidRDefault="006D67F1" w:rsidP="008F27E3">
      <w:pPr>
        <w:pStyle w:val="Titulek"/>
        <w:keepNext/>
      </w:pPr>
      <w:r w:rsidRPr="002C224A">
        <w:t xml:space="preserve">Obrázek </w:t>
      </w:r>
      <w:r w:rsidR="008F5D1D">
        <w:fldChar w:fldCharType="begin"/>
      </w:r>
      <w:r w:rsidR="008F5D1D">
        <w:instrText xml:space="preserve"> SEQ Obrázek \* ARABIC </w:instrText>
      </w:r>
      <w:r w:rsidR="008F5D1D">
        <w:fldChar w:fldCharType="separate"/>
      </w:r>
      <w:r w:rsidR="005A25ED">
        <w:rPr>
          <w:noProof/>
        </w:rPr>
        <w:t>1</w:t>
      </w:r>
      <w:r w:rsidR="008F5D1D">
        <w:rPr>
          <w:noProof/>
        </w:rPr>
        <w:fldChar w:fldCharType="end"/>
      </w:r>
      <w:r w:rsidRPr="002C224A">
        <w:t>: implementační schéma Úvěrového fondu OP</w:t>
      </w:r>
      <w:r w:rsidR="000E7BA3" w:rsidRPr="002C224A">
        <w:t xml:space="preserve"> </w:t>
      </w:r>
      <w:r w:rsidRPr="002C224A">
        <w:t>PIK</w:t>
      </w:r>
      <w:r w:rsidR="005C5F7C" w:rsidRPr="002C224A">
        <w:t xml:space="preserve"> (příklad úvěrů</w:t>
      </w:r>
      <w:r w:rsidR="00084A59" w:rsidRPr="002C224A">
        <w:t xml:space="preserve"> pro MSP</w:t>
      </w:r>
      <w:r w:rsidR="005C5F7C" w:rsidRPr="002C224A">
        <w:t>, PO 2</w:t>
      </w:r>
      <w:r w:rsidR="00084A59" w:rsidRPr="002C224A">
        <w:t>)</w:t>
      </w:r>
    </w:p>
    <w:p w:rsidR="006D67F1" w:rsidRPr="002C224A" w:rsidRDefault="00084A59" w:rsidP="008F27E3">
      <w:pPr>
        <w:rPr>
          <w:noProof/>
        </w:rPr>
      </w:pPr>
      <w:r w:rsidRPr="00A50943">
        <w:rPr>
          <w:noProof/>
        </w:rPr>
        <w:t xml:space="preserve"> </w:t>
      </w:r>
    </w:p>
    <w:p w:rsidR="005C5F7C" w:rsidRPr="00A50943" w:rsidRDefault="007A3F34" w:rsidP="008F27E3">
      <w:pPr>
        <w:rPr>
          <w:b/>
          <w:noProof/>
          <w:color w:val="00A1DE"/>
          <w:sz w:val="24"/>
          <w:szCs w:val="22"/>
        </w:rPr>
      </w:pPr>
      <w:r>
        <w:rPr>
          <w:noProof/>
        </w:rPr>
        <w:drawing>
          <wp:inline distT="0" distB="0" distL="0" distR="0" wp14:anchorId="46E3C628" wp14:editId="2B35CEB0">
            <wp:extent cx="5248275" cy="3971925"/>
            <wp:effectExtent l="0" t="0" r="9525" b="9525"/>
            <wp:docPr id="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5248275" cy="3971925"/>
                    </a:xfrm>
                    <a:prstGeom prst="rect">
                      <a:avLst/>
                    </a:prstGeom>
                    <a:noFill/>
                    <a:ln>
                      <a:noFill/>
                    </a:ln>
                  </pic:spPr>
                </pic:pic>
              </a:graphicData>
            </a:graphic>
          </wp:inline>
        </w:drawing>
      </w:r>
    </w:p>
    <w:p w:rsidR="006D67F1" w:rsidRPr="002C224A" w:rsidRDefault="006D67F1" w:rsidP="00703AD5">
      <w:pPr>
        <w:ind w:left="360"/>
      </w:pPr>
    </w:p>
    <w:p w:rsidR="006D67F1" w:rsidRPr="002C224A" w:rsidRDefault="006D67F1" w:rsidP="00703AD5">
      <w:pPr>
        <w:numPr>
          <w:ilvl w:val="0"/>
          <w:numId w:val="61"/>
        </w:numPr>
      </w:pPr>
      <w:r w:rsidRPr="002C224A">
        <w:rPr>
          <w:b/>
        </w:rPr>
        <w:lastRenderedPageBreak/>
        <w:t>v případě záručních finančních nástrojů (kombinovaných typicky se subvencí úrokové sazby) uzavřít jednu dohodu o financování na vytvoření záručního fondu u příjemce</w:t>
      </w:r>
      <w:r w:rsidRPr="002C224A">
        <w:t xml:space="preserve">. Tento </w:t>
      </w:r>
      <w:r w:rsidR="00956F28" w:rsidRPr="002C224A">
        <w:t xml:space="preserve">záruční </w:t>
      </w:r>
      <w:r w:rsidRPr="002C224A">
        <w:t>fond bude vnitřně členěn dle jednotlivých prioritních os a specifických cílů</w:t>
      </w:r>
      <w:r w:rsidR="004E2A34" w:rsidRPr="002C224A">
        <w:t>.</w:t>
      </w:r>
      <w:r w:rsidR="002440BE" w:rsidRPr="002C224A">
        <w:t xml:space="preserve"> </w:t>
      </w:r>
      <w:r w:rsidRPr="002C224A">
        <w:t>Podle závěrů tohoto předběžného posouzení se jedná o 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předběžné posouzení doporučuje projednat schéma záručního fondu OP</w:t>
      </w:r>
      <w:r w:rsidR="000E7BA3" w:rsidRPr="002C224A">
        <w:t xml:space="preserve"> </w:t>
      </w:r>
      <w:r w:rsidRPr="002C224A">
        <w:t>PIK s Evropskou komisí před jeho spuštěním.</w:t>
      </w:r>
      <w:r w:rsidR="00956F28" w:rsidRPr="002C224A">
        <w:t xml:space="preserve"> </w:t>
      </w:r>
    </w:p>
    <w:p w:rsidR="006D67F1" w:rsidRPr="002C224A" w:rsidRDefault="006D67F1" w:rsidP="008F27E3"/>
    <w:p w:rsidR="006D67F1" w:rsidRPr="002C224A" w:rsidRDefault="006D67F1" w:rsidP="008F27E3">
      <w:pPr>
        <w:pStyle w:val="Titulek"/>
        <w:keepNext/>
      </w:pPr>
      <w:r w:rsidRPr="002C224A">
        <w:t xml:space="preserve">Obrázek </w:t>
      </w:r>
      <w:r w:rsidR="008F5D1D">
        <w:fldChar w:fldCharType="begin"/>
      </w:r>
      <w:r w:rsidR="008F5D1D">
        <w:instrText xml:space="preserve"> SEQ Obrázek \* ARABIC </w:instrText>
      </w:r>
      <w:r w:rsidR="008F5D1D">
        <w:fldChar w:fldCharType="separate"/>
      </w:r>
      <w:r w:rsidR="005A25ED">
        <w:rPr>
          <w:noProof/>
        </w:rPr>
        <w:t>2</w:t>
      </w:r>
      <w:r w:rsidR="008F5D1D">
        <w:rPr>
          <w:noProof/>
        </w:rPr>
        <w:fldChar w:fldCharType="end"/>
      </w:r>
      <w:r w:rsidRPr="002C224A">
        <w:t>: implementační schéma Záručního fondu OP</w:t>
      </w:r>
      <w:r w:rsidR="002D09B7" w:rsidRPr="002C224A">
        <w:t xml:space="preserve"> </w:t>
      </w:r>
      <w:r w:rsidRPr="002C224A">
        <w:t>PIK</w:t>
      </w:r>
      <w:r w:rsidR="005C5F7C" w:rsidRPr="002C224A">
        <w:t xml:space="preserve"> (příklad záruk pro MSP, PO 2)</w:t>
      </w:r>
    </w:p>
    <w:p w:rsidR="006D67F1" w:rsidRPr="002C224A" w:rsidRDefault="00084A59" w:rsidP="008F27E3">
      <w:pPr>
        <w:rPr>
          <w:noProof/>
        </w:rPr>
      </w:pPr>
      <w:r w:rsidRPr="00A50943">
        <w:rPr>
          <w:noProof/>
        </w:rPr>
        <w:t xml:space="preserve"> </w:t>
      </w:r>
    </w:p>
    <w:p w:rsidR="005C5F7C" w:rsidRPr="00A50943" w:rsidRDefault="00CA7379" w:rsidP="008366D3">
      <w:pPr>
        <w:jc w:val="left"/>
        <w:rPr>
          <w:noProof/>
        </w:rPr>
      </w:pPr>
      <w:r>
        <w:rPr>
          <w:noProof/>
        </w:rPr>
        <w:drawing>
          <wp:inline distT="0" distB="0" distL="0" distR="0" wp14:anchorId="4A470DD4" wp14:editId="22EA5A54">
            <wp:extent cx="5106147" cy="410527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720" t="14991" r="23012" b="13874"/>
                    <a:stretch/>
                  </pic:blipFill>
                  <pic:spPr bwMode="auto">
                    <a:xfrm>
                      <a:off x="0" y="0"/>
                      <a:ext cx="5114074" cy="4111648"/>
                    </a:xfrm>
                    <a:prstGeom prst="rect">
                      <a:avLst/>
                    </a:prstGeom>
                    <a:ln>
                      <a:noFill/>
                    </a:ln>
                    <a:extLst>
                      <a:ext uri="{53640926-AAD7-44D8-BBD7-CCE9431645EC}">
                        <a14:shadowObscured xmlns:a14="http://schemas.microsoft.com/office/drawing/2010/main"/>
                      </a:ext>
                    </a:extLst>
                  </pic:spPr>
                </pic:pic>
              </a:graphicData>
            </a:graphic>
          </wp:inline>
        </w:drawing>
      </w:r>
    </w:p>
    <w:p w:rsidR="006D67F1" w:rsidRPr="002C224A" w:rsidRDefault="006D67F1" w:rsidP="00703AD5"/>
    <w:p w:rsidR="007D75C6" w:rsidRDefault="007D75C6" w:rsidP="00204AA3">
      <w:pPr>
        <w:pStyle w:val="Odstavecseseznamem"/>
        <w:numPr>
          <w:ilvl w:val="0"/>
          <w:numId w:val="97"/>
        </w:numPr>
      </w:pPr>
      <w:r w:rsidRPr="00204AA3">
        <w:rPr>
          <w:b/>
          <w:bCs/>
        </w:rPr>
        <w:t>v případě finančních nástrojů kapitálových vstupů uzavřít jednu či dvě dohody o financování. První bude uzavřena s EIF v případě, že bude pověřena přímou správou fondu rizikového kapitálu SC 2.1 v úvodu programovacího období. Druhá bude uzavřena s nově vytvořeným subjektem Národní inovační fond, investiční společnost, a.s.</w:t>
      </w:r>
      <w:r>
        <w:t xml:space="preserve"> S ohledem na specifické tailor-made implementační uspořádání předběžné posouzení doporučuje projednat schéma záručního fondu OP PIK s Evropskou komisí před jeho spuštěním.</w:t>
      </w:r>
    </w:p>
    <w:p w:rsidR="006D67F1" w:rsidRPr="002C224A" w:rsidRDefault="006D67F1" w:rsidP="008366D3">
      <w:pPr>
        <w:ind w:left="720"/>
      </w:pPr>
    </w:p>
    <w:p w:rsidR="006D67F1" w:rsidRPr="002C224A" w:rsidRDefault="00636CC9" w:rsidP="008F27E3">
      <w:pPr>
        <w:pStyle w:val="Titulek"/>
        <w:keepNext/>
      </w:pPr>
      <w:r>
        <w:rPr>
          <w:noProof/>
          <w:lang w:eastAsia="cs-CZ"/>
        </w:rPr>
        <w:lastRenderedPageBreak/>
        <w:drawing>
          <wp:inline distT="0" distB="0" distL="0" distR="0" wp14:anchorId="139819F7" wp14:editId="4D28DD37">
            <wp:extent cx="5400675" cy="3987916"/>
            <wp:effectExtent l="0" t="0" r="0" b="0"/>
            <wp:docPr id="23" name="Obrázek 23" descr="cid:image001.jpg@01D0A8F2.7B9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jpg@01D0A8F2.7B9860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07333" cy="3992832"/>
                    </a:xfrm>
                    <a:prstGeom prst="rect">
                      <a:avLst/>
                    </a:prstGeom>
                    <a:noFill/>
                    <a:ln>
                      <a:noFill/>
                    </a:ln>
                  </pic:spPr>
                </pic:pic>
              </a:graphicData>
            </a:graphic>
          </wp:inline>
        </w:drawing>
      </w:r>
      <w:r w:rsidR="006D67F1" w:rsidRPr="002C224A">
        <w:t xml:space="preserve">Obrázek </w:t>
      </w:r>
      <w:r w:rsidR="008F5D1D">
        <w:fldChar w:fldCharType="begin"/>
      </w:r>
      <w:r w:rsidR="008F5D1D">
        <w:instrText xml:space="preserve"> SEQ Obrázek \* ARABIC </w:instrText>
      </w:r>
      <w:r w:rsidR="008F5D1D">
        <w:fldChar w:fldCharType="separate"/>
      </w:r>
      <w:r w:rsidR="005A25ED">
        <w:rPr>
          <w:noProof/>
        </w:rPr>
        <w:t>3</w:t>
      </w:r>
      <w:r w:rsidR="008F5D1D">
        <w:rPr>
          <w:noProof/>
        </w:rPr>
        <w:fldChar w:fldCharType="end"/>
      </w:r>
      <w:r w:rsidR="006D67F1" w:rsidRPr="002C224A">
        <w:t xml:space="preserve">: implementační uspořádání </w:t>
      </w:r>
      <w:r w:rsidR="00D764DE">
        <w:t>Národního inovačního fondu</w:t>
      </w:r>
      <w:r w:rsidR="00DC28D2">
        <w:t xml:space="preserve"> (kapitálové finanční nástroje v SC 1.2 a 2.1)</w:t>
      </w:r>
    </w:p>
    <w:p w:rsidR="006D67F1" w:rsidRDefault="006D67F1" w:rsidP="00703AD5"/>
    <w:p w:rsidR="00DD409D" w:rsidRPr="002C224A" w:rsidRDefault="00DD409D" w:rsidP="00703AD5"/>
    <w:p w:rsidR="000B6179" w:rsidRPr="002C224A" w:rsidRDefault="006D67F1" w:rsidP="00703AD5">
      <w:pPr>
        <w:rPr>
          <w:b/>
        </w:rPr>
      </w:pPr>
      <w:r w:rsidRPr="002C224A">
        <w:rPr>
          <w:b/>
        </w:rPr>
        <w:t xml:space="preserve">Předběžné posouzení doporučuje </w:t>
      </w:r>
      <w:r w:rsidR="00FB35F7" w:rsidRPr="002C224A">
        <w:rPr>
          <w:b/>
        </w:rPr>
        <w:t>jednotlivé návrhy finančních nástrojů dále rozpracovat při přípravě konkrétních produktů</w:t>
      </w:r>
      <w:r w:rsidR="00F87038" w:rsidRPr="002C224A">
        <w:rPr>
          <w:b/>
        </w:rPr>
        <w:t xml:space="preserve"> a programů podpory</w:t>
      </w:r>
      <w:r w:rsidR="00FB35F7" w:rsidRPr="002C224A">
        <w:rPr>
          <w:b/>
        </w:rPr>
        <w:t xml:space="preserve"> v OP PIK</w:t>
      </w:r>
      <w:r w:rsidR="00B6100F">
        <w:rPr>
          <w:b/>
        </w:rPr>
        <w:t>, včetně detailního posouzení jejich parametrů</w:t>
      </w:r>
      <w:r w:rsidR="00FB35F7" w:rsidRPr="002C224A">
        <w:rPr>
          <w:b/>
        </w:rPr>
        <w:t>.</w:t>
      </w:r>
    </w:p>
    <w:p w:rsidR="006D67F1" w:rsidRPr="002C224A" w:rsidRDefault="000B6179" w:rsidP="00165EB0">
      <w:pPr>
        <w:pStyle w:val="Nadpis1"/>
        <w:rPr>
          <w:rFonts w:ascii="Calibri" w:hAnsi="Calibri"/>
        </w:rPr>
      </w:pPr>
      <w:r w:rsidRPr="002C224A">
        <w:rPr>
          <w:rFonts w:ascii="Calibri" w:hAnsi="Calibri"/>
        </w:rPr>
        <w:br w:type="page"/>
      </w:r>
      <w:bookmarkStart w:id="4" w:name="_Toc421534263"/>
      <w:r w:rsidR="006D67F1" w:rsidRPr="002C224A">
        <w:rPr>
          <w:rFonts w:ascii="Calibri" w:hAnsi="Calibri"/>
        </w:rPr>
        <w:lastRenderedPageBreak/>
        <w:t>Úvod</w:t>
      </w:r>
      <w:bookmarkEnd w:id="4"/>
    </w:p>
    <w:p w:rsidR="006D67F1" w:rsidRPr="002C224A" w:rsidRDefault="006D67F1" w:rsidP="008074B1">
      <w:r w:rsidRPr="00A50943">
        <w:t>Předkládaný dokument představuje pře</w:t>
      </w:r>
      <w:r w:rsidRPr="002C224A">
        <w:t>dběžné posouzení finančních nástrojů v Operačním programu Podnikání a inovace (OPPIK) podle čl. 37 odst. 2 Obecného nařízení, které tvoří první krok k implementaci finančních nástrojů v novém programovacím období 2014-2020 v rámci operačního programu Ministerstva průmyslu a obchodu (MPO).</w:t>
      </w:r>
    </w:p>
    <w:p w:rsidR="006D67F1" w:rsidRPr="002C224A" w:rsidRDefault="006D67F1" w:rsidP="008074B1"/>
    <w:p w:rsidR="006D67F1" w:rsidRPr="002C224A" w:rsidRDefault="006D67F1" w:rsidP="008074B1">
      <w:r w:rsidRPr="002C224A">
        <w:t xml:space="preserve">Evropská komise v minulosti mnohokrát deklarovala, že finanční nástroje (dále též jen „FN“) považuje za jedno z klíčových témat nového finančního rámce. Strategie Evropa 2020 v této souvislosti na několika místech mluví o „mobilizaci finančních nástrojů“. Již v programovém období 2007-2013 došlo v rámci jak kohezní politiky, tak iniciativ Komise k významnému pokroku ve využívání finančních nástrojů, období 2014-2020 má jejich význam dále posílit. Česká republika si tuto příležitost uvědomuje – význam finančních nástrojů akcentuje zejména současné úsilí vlády o aktivizaci Českomoravské záruční a rozvojové banky (ČMZRB). </w:t>
      </w:r>
    </w:p>
    <w:p w:rsidR="006D67F1" w:rsidRPr="002C224A" w:rsidRDefault="006D67F1" w:rsidP="008074B1"/>
    <w:p w:rsidR="006D67F1" w:rsidRPr="002C224A" w:rsidRDefault="006D67F1" w:rsidP="008074B1">
      <w:r w:rsidRPr="002C224A">
        <w:t>MPO chápe finanční nástroje jako efektivní formu realizace politiky podpory podnikání a inovací s potenciálem v řadě oblastí. Jedná se však o prostředek dosažení stanovených cílů v oblasti těchto politik, nikoliv o cíl samotný. Proto se tato analýza v první fázi zaměřuje především na strategický postup pro výběr vhodných opatření/strategických cílů OPPIK pro aplikaci finančních nástrojů.</w:t>
      </w:r>
    </w:p>
    <w:p w:rsidR="006D67F1" w:rsidRPr="002C224A" w:rsidRDefault="006D67F1" w:rsidP="008074B1"/>
    <w:p w:rsidR="006D67F1" w:rsidRPr="002C224A" w:rsidRDefault="006D67F1" w:rsidP="007D2C58">
      <w:r w:rsidRPr="002C224A">
        <w:t>Předběžné posouzení finančních nástrojů OP</w:t>
      </w:r>
      <w:r w:rsidR="002D09B7" w:rsidRPr="002C224A">
        <w:t xml:space="preserve"> </w:t>
      </w:r>
      <w:r w:rsidRPr="002C224A">
        <w:t>PIK bylo připraveno v souladu se zaměřením operačního programu, přičemž navrhované finanční nástroje navazují kromě OP</w:t>
      </w:r>
      <w:r w:rsidR="002D09B7" w:rsidRPr="002C224A">
        <w:t xml:space="preserve"> </w:t>
      </w:r>
      <w:r w:rsidRPr="002C224A">
        <w:t>PIK a Dohody o partnerství též na následující strategické dokumenty vlády, se kterými jsou svým zaměřením v souladu:</w:t>
      </w:r>
    </w:p>
    <w:p w:rsidR="006D67F1" w:rsidRPr="002C224A" w:rsidRDefault="006D67F1" w:rsidP="007D2C58"/>
    <w:p w:rsidR="006D67F1" w:rsidRPr="002C224A" w:rsidRDefault="006D67F1" w:rsidP="007D2C58">
      <w:pPr>
        <w:numPr>
          <w:ilvl w:val="0"/>
          <w:numId w:val="62"/>
        </w:numPr>
      </w:pPr>
      <w:r w:rsidRPr="002C224A">
        <w:t>Národní výzkumná a inovační strategie pro inteligentní specializaci České republiky (Národní RIS3 strategie)</w:t>
      </w:r>
    </w:p>
    <w:p w:rsidR="006D67F1" w:rsidRPr="002C224A" w:rsidRDefault="006D67F1" w:rsidP="007D2C58">
      <w:pPr>
        <w:numPr>
          <w:ilvl w:val="0"/>
          <w:numId w:val="62"/>
        </w:numPr>
      </w:pPr>
      <w:r w:rsidRPr="002C224A">
        <w:t>Národní program reforem</w:t>
      </w:r>
    </w:p>
    <w:p w:rsidR="006D67F1" w:rsidRPr="002C224A" w:rsidRDefault="006D67F1" w:rsidP="007D2C58">
      <w:pPr>
        <w:numPr>
          <w:ilvl w:val="0"/>
          <w:numId w:val="62"/>
        </w:numPr>
      </w:pPr>
      <w:r w:rsidRPr="002C224A">
        <w:t>Koncepce podpory malých a středních podnikatelů na období let 2014-2020</w:t>
      </w:r>
    </w:p>
    <w:p w:rsidR="006D67F1" w:rsidRPr="002C224A" w:rsidRDefault="006D67F1" w:rsidP="007D2C58">
      <w:pPr>
        <w:numPr>
          <w:ilvl w:val="0"/>
          <w:numId w:val="62"/>
        </w:numPr>
      </w:pPr>
      <w:r w:rsidRPr="002C224A">
        <w:t>Strategie mezinárodní konkurenceschopnosti České republiky pro období 2012-2020</w:t>
      </w:r>
    </w:p>
    <w:p w:rsidR="006D67F1" w:rsidRPr="002C224A" w:rsidRDefault="006D67F1" w:rsidP="007D2C58">
      <w:pPr>
        <w:numPr>
          <w:ilvl w:val="0"/>
          <w:numId w:val="62"/>
        </w:numPr>
      </w:pPr>
      <w:r w:rsidRPr="002C224A">
        <w:t>Strategie regionálního rozvoje ČR 2014 – 2020</w:t>
      </w:r>
    </w:p>
    <w:p w:rsidR="006D67F1" w:rsidRPr="002C224A" w:rsidRDefault="006D67F1" w:rsidP="008074B1"/>
    <w:p w:rsidR="006D67F1" w:rsidRPr="002C224A" w:rsidRDefault="006D67F1" w:rsidP="008074B1"/>
    <w:p w:rsidR="006D67F1" w:rsidRPr="002C224A" w:rsidRDefault="006D67F1" w:rsidP="008074B1">
      <w:r w:rsidRPr="002C224A">
        <w:t>Na zpracování ex ante hodnocení se podílel</w:t>
      </w:r>
      <w:r w:rsidR="009B0BB5" w:rsidRPr="002C224A">
        <w:t>o</w:t>
      </w:r>
      <w:r w:rsidRPr="002C224A">
        <w:t xml:space="preserve"> zejména MPO a společnost Deloitte Advisory, s.r.o, coby dodavatel externích podkladů a nezávislé oponentury. V rámci principu partnerství se na zpracování tohoto vyhodnocení podíleli další partneři, jejichž seznam je přiložen, zastupující jak stranu poptávky po zdrojích pro investice prostřednictvím finančních nástrojů, tak stranu nabídky. Uspořádány byly dva workshopy nad pracovními závěry analýzy s účastí hlavních stakeholderů dotčených specifických cílů.</w:t>
      </w:r>
      <w:r w:rsidR="009B0BB5" w:rsidRPr="002C224A">
        <w:t xml:space="preserve"> </w:t>
      </w:r>
      <w:r w:rsidRPr="002C224A">
        <w:t>Ex ante vyhodnocení finančních nástrojů je též průběžně diskutováno s Ministerstvem pro místní rozvoj (Národní orgán pro koordinaci), Ministerstvem financí</w:t>
      </w:r>
      <w:r w:rsidR="00C058AE">
        <w:t>,</w:t>
      </w:r>
      <w:r w:rsidRPr="002C224A">
        <w:t xml:space="preserve"> </w:t>
      </w:r>
      <w:r w:rsidR="00C058AE">
        <w:t>Ministerstvem životního prostředí a Magistrátem hl. města Prahy.</w:t>
      </w:r>
    </w:p>
    <w:p w:rsidR="006D67F1" w:rsidRPr="002C224A" w:rsidRDefault="006D67F1" w:rsidP="008074B1"/>
    <w:p w:rsidR="006D67F1" w:rsidRPr="002C224A" w:rsidRDefault="006D67F1" w:rsidP="008074B1">
      <w:r w:rsidRPr="002C224A">
        <w:t>Dále v návaznosti na čl. 37 odst. 2 písm. g) Obecného nařízení uvádíme, že Řídící orgán podle potřeby přezkoumá a aktualizuje toto předběžné posouzení během provádění jakéhokoli finančního nástroje, který byl použit na základě tohoto posouzení, pokud řídící orgán v prováděcí fázi usoudí, že předběžné posouzení již přesně nevystihuje aktuální podmínky na trhu v době provádění.</w:t>
      </w:r>
    </w:p>
    <w:p w:rsidR="009B0BB5" w:rsidRPr="002C224A" w:rsidRDefault="009B0BB5" w:rsidP="008074B1"/>
    <w:p w:rsidR="006D67F1" w:rsidRPr="002C224A" w:rsidRDefault="006D67F1" w:rsidP="008074B1">
      <w:pPr>
        <w:pStyle w:val="Nadpis1"/>
        <w:rPr>
          <w:rFonts w:ascii="Calibri" w:hAnsi="Calibri"/>
        </w:rPr>
      </w:pPr>
      <w:bookmarkStart w:id="5" w:name="_Toc421534264"/>
      <w:r w:rsidRPr="002C224A">
        <w:rPr>
          <w:rFonts w:ascii="Calibri" w:hAnsi="Calibri"/>
        </w:rPr>
        <w:lastRenderedPageBreak/>
        <w:t>Výchozí podmínky analýzy</w:t>
      </w:r>
      <w:bookmarkEnd w:id="5"/>
    </w:p>
    <w:p w:rsidR="006D67F1" w:rsidRPr="002C224A" w:rsidRDefault="006D67F1" w:rsidP="008074B1">
      <w:r w:rsidRPr="002C224A">
        <w:t>Finanční nařízení</w:t>
      </w:r>
      <w:r w:rsidR="00675E19">
        <w:rPr>
          <w:rStyle w:val="Znakapoznpodarou"/>
        </w:rPr>
        <w:footnoteReference w:id="8"/>
      </w:r>
      <w:r w:rsidRPr="002C224A">
        <w:t xml:space="preserve"> definuje finanční nástroj v čl. 2 odst. p) jako opatření finanční podpory Unie poskytovaná z rozpočtu na doplňkovém základě a zaměřená na plnění jednoho nebo více konkrétních politických cílů Unie. Tyto nástroje mohou mít formu kapitálových či kvazikapitálových investic, půjček nebo záruk anebo jiných nástrojů ke sdílení rizik a tam, kde je to vhodné, mohou být spojeny s granty.</w:t>
      </w:r>
    </w:p>
    <w:p w:rsidR="006D67F1" w:rsidRPr="002C224A" w:rsidRDefault="006D67F1" w:rsidP="008074B1"/>
    <w:p w:rsidR="006D67F1" w:rsidRPr="002C224A" w:rsidRDefault="006D67F1" w:rsidP="008074B1">
      <w:r w:rsidRPr="002C224A">
        <w:t>Evropská komise (EK) přisuzuje finančním nástrojům</w:t>
      </w:r>
      <w:r w:rsidR="00191448" w:rsidRPr="002C224A">
        <w:t xml:space="preserve"> </w:t>
      </w:r>
      <w:r w:rsidRPr="002C224A">
        <w:rPr>
          <w:rStyle w:val="hps"/>
          <w:rFonts w:cs="Calibri"/>
          <w:color w:val="222222"/>
          <w:szCs w:val="22"/>
        </w:rPr>
        <w:t>(FN)</w:t>
      </w:r>
      <w:r w:rsidRPr="002C224A">
        <w:t xml:space="preserve">významnou úlohu, kterou </w:t>
      </w:r>
      <w:r w:rsidRPr="002C224A">
        <w:rPr>
          <w:rStyle w:val="hps"/>
          <w:rFonts w:cs="Calibri"/>
          <w:color w:val="222222"/>
          <w:szCs w:val="22"/>
        </w:rPr>
        <w:t>mohou sehrát při provádění Společného strategického rámce</w:t>
      </w:r>
      <w:r w:rsidR="00191448" w:rsidRPr="002C224A">
        <w:rPr>
          <w:rStyle w:val="hps"/>
          <w:rFonts w:cs="Calibri"/>
          <w:color w:val="222222"/>
          <w:szCs w:val="22"/>
        </w:rPr>
        <w:t xml:space="preserve"> </w:t>
      </w:r>
      <w:r w:rsidRPr="002C224A">
        <w:rPr>
          <w:rStyle w:val="hps"/>
          <w:rFonts w:cs="Calibri"/>
          <w:color w:val="222222"/>
          <w:szCs w:val="22"/>
        </w:rPr>
        <w:t>(SSR</w:t>
      </w:r>
      <w:r w:rsidRPr="002C224A">
        <w:t xml:space="preserve">) </w:t>
      </w:r>
      <w:r w:rsidRPr="002C224A">
        <w:rPr>
          <w:rStyle w:val="hps"/>
          <w:rFonts w:cs="Calibri"/>
          <w:color w:val="222222"/>
          <w:szCs w:val="22"/>
        </w:rPr>
        <w:t xml:space="preserve">politiky </w:t>
      </w:r>
      <w:r w:rsidRPr="002C224A">
        <w:t xml:space="preserve">hospodářské a sociální soudržnosti a </w:t>
      </w:r>
      <w:r w:rsidRPr="002C224A">
        <w:rPr>
          <w:rStyle w:val="hps"/>
          <w:rFonts w:cs="Calibri"/>
          <w:color w:val="222222"/>
          <w:szCs w:val="22"/>
        </w:rPr>
        <w:t>přispět tak k dos</w:t>
      </w:r>
      <w:r w:rsidRPr="002C224A">
        <w:t>ažení cílů Strategie Evropa 2020. EK má proto v úmyslu podporovat rozvoj a rozšíření oblasti působnosti využití FN v programovém období 2014-</w:t>
      </w:r>
      <w:smartTag w:uri="urn:schemas-microsoft-com:office:smarttags" w:element="metricconverter">
        <w:smartTagPr>
          <w:attr w:name="ProductID" w:val="2020 a"/>
        </w:smartTagPr>
        <w:r w:rsidRPr="002C224A">
          <w:t>2020 a</w:t>
        </w:r>
      </w:smartTag>
      <w:r w:rsidRPr="002C224A">
        <w:t xml:space="preserve"> vnímá využití FN jako hodnotný doplněk k tradičnímu grantovému financování. Regulační rámec pro období 2014-2020 umožňuje kombinaci FN s granty a jinými formami podpory v operačních programech (OP) ušitých na míru tak, aby splňovaly specifické potřeby členských států a řídících orgánů</w:t>
      </w:r>
      <w:r w:rsidR="00191448" w:rsidRPr="002C224A">
        <w:t xml:space="preserve"> </w:t>
      </w:r>
      <w:r w:rsidRPr="002C224A">
        <w:t>(ŘO), nebo je možné využít standardní podmínky pro FN</w:t>
      </w:r>
      <w:r w:rsidRPr="00A50943">
        <w:rPr>
          <w:rStyle w:val="Znakapoznpodarou"/>
          <w:rFonts w:ascii="Calibri" w:hAnsi="Calibri" w:cs="Calibri"/>
          <w:color w:val="222222"/>
          <w:szCs w:val="22"/>
        </w:rPr>
        <w:footnoteReference w:id="9"/>
      </w:r>
      <w:r w:rsidRPr="00A50943">
        <w:t>.</w:t>
      </w:r>
      <w:r w:rsidR="0079497D" w:rsidRPr="002C224A">
        <w:t xml:space="preserve"> Považujeme za vhodné, aby byla umožněna též kombinace FN s návratnou podporou (repayable assistance), která může být v některých případech vhodným motivačním prvkem pro konečné příjemce, aby prováděli investice v souladu s programovými cíli.</w:t>
      </w:r>
    </w:p>
    <w:p w:rsidR="006D67F1" w:rsidRPr="002C224A" w:rsidRDefault="006D67F1" w:rsidP="008074B1"/>
    <w:p w:rsidR="006D67F1" w:rsidRPr="002C224A" w:rsidRDefault="006D67F1" w:rsidP="008074B1">
      <w:pPr>
        <w:spacing w:after="240"/>
        <w:rPr>
          <w:rFonts w:cs="Calibri"/>
          <w:b/>
          <w:color w:val="222222"/>
          <w:szCs w:val="22"/>
        </w:rPr>
      </w:pPr>
      <w:r w:rsidRPr="002C224A">
        <w:t xml:space="preserve">Finanční nástroje fungují v rámci strukturálních fondů EU již od programového období 1994-1999. Jejich relativní význam se zejména v průběhu programového období 2007-2013 významně zvýšil a nyní představují asi 5 % z celkových zdrojů Evropského fondu pro regionální rozvoj (ERDF, EFRR). </w:t>
      </w:r>
      <w:r w:rsidRPr="002C224A">
        <w:rPr>
          <w:b/>
        </w:rPr>
        <w:t>S ohledem na současnou hospodářskou situaci a zvyšující se nedostatek veřejných zdrojů Komise očekává, že FN budou hrát ještě významnější úlohu v kohezní politice v novém programovém období 2014-2020.</w:t>
      </w:r>
      <w:r w:rsidR="00191448" w:rsidRPr="002C224A">
        <w:rPr>
          <w:b/>
        </w:rPr>
        <w:t xml:space="preserve"> </w:t>
      </w:r>
      <w:r w:rsidRPr="002C224A">
        <w:rPr>
          <w:rFonts w:cs="Calibri"/>
          <w:color w:val="222222"/>
          <w:szCs w:val="22"/>
        </w:rPr>
        <w:t>Fondy ESI lze využívat k podpoře finančních nástrojů v rámci jednoho nebo více OP, a to včetně případů, kdy k tomu dochází prostřednictvím fondů fondů (FF).</w:t>
      </w:r>
    </w:p>
    <w:p w:rsidR="006D67F1" w:rsidRPr="00A50943" w:rsidRDefault="006D67F1" w:rsidP="008074B1">
      <w:pPr>
        <w:spacing w:after="240"/>
        <w:rPr>
          <w:rFonts w:cs="Calibri"/>
          <w:color w:val="222222"/>
          <w:szCs w:val="22"/>
        </w:rPr>
      </w:pPr>
      <w:r w:rsidRPr="002C224A">
        <w:rPr>
          <w:rFonts w:cs="Calibri"/>
          <w:color w:val="222222"/>
          <w:szCs w:val="22"/>
        </w:rPr>
        <w:t xml:space="preserve">Hlava IV Obecného </w:t>
      </w:r>
      <w:r w:rsidRPr="002C224A">
        <w:rPr>
          <w:rStyle w:val="hps"/>
          <w:rFonts w:cs="Calibri"/>
          <w:color w:val="222222"/>
          <w:szCs w:val="22"/>
        </w:rPr>
        <w:t>nařízení</w:t>
      </w:r>
      <w:r w:rsidR="00B928FB" w:rsidRPr="002C224A">
        <w:rPr>
          <w:rStyle w:val="hps"/>
          <w:rFonts w:cs="Calibri"/>
          <w:color w:val="222222"/>
          <w:szCs w:val="22"/>
        </w:rPr>
        <w:t xml:space="preserve"> </w:t>
      </w:r>
      <w:r w:rsidRPr="002C224A">
        <w:rPr>
          <w:rStyle w:val="hps"/>
          <w:rFonts w:cs="Calibri"/>
          <w:color w:val="222222"/>
          <w:szCs w:val="22"/>
        </w:rPr>
        <w:t>(články</w:t>
      </w:r>
      <w:r w:rsidR="00191448" w:rsidRPr="002C224A">
        <w:rPr>
          <w:rStyle w:val="hps"/>
          <w:rFonts w:cs="Calibri"/>
          <w:color w:val="222222"/>
          <w:szCs w:val="22"/>
        </w:rPr>
        <w:t xml:space="preserve"> </w:t>
      </w:r>
      <w:r w:rsidRPr="002C224A">
        <w:rPr>
          <w:rStyle w:val="hps"/>
          <w:rFonts w:cs="Calibri"/>
          <w:color w:val="222222"/>
          <w:szCs w:val="22"/>
        </w:rPr>
        <w:t>37 až 46</w:t>
      </w:r>
      <w:r w:rsidRPr="002C224A">
        <w:rPr>
          <w:rFonts w:cs="Calibri"/>
          <w:color w:val="222222"/>
          <w:szCs w:val="22"/>
        </w:rPr>
        <w:t xml:space="preserve">) </w:t>
      </w:r>
      <w:r w:rsidRPr="002C224A">
        <w:rPr>
          <w:rStyle w:val="hps"/>
          <w:rFonts w:cs="Calibri"/>
          <w:color w:val="222222"/>
          <w:szCs w:val="22"/>
        </w:rPr>
        <w:t>obsahuje specifická ustanovení o finančních nástrojích podporovaných z Evropských strukturálních a investičních fondů (ESIF, fondy ESI)</w:t>
      </w:r>
      <w:r w:rsidRPr="002C224A">
        <w:rPr>
          <w:rFonts w:cs="Calibri"/>
          <w:color w:val="222222"/>
          <w:szCs w:val="22"/>
        </w:rPr>
        <w:t xml:space="preserve">. </w:t>
      </w:r>
      <w:r w:rsidRPr="002C224A">
        <w:rPr>
          <w:rStyle w:val="hps"/>
          <w:rFonts w:cs="Calibri"/>
          <w:color w:val="222222"/>
          <w:szCs w:val="22"/>
        </w:rPr>
        <w:t>Členské státy a řídící orgány mohou používat FN ve vztahu ke všem tematickým cílům (TC) na něž se vztahuje OP</w:t>
      </w:r>
      <w:r w:rsidRPr="002C224A">
        <w:rPr>
          <w:rFonts w:cs="Calibri"/>
          <w:color w:val="222222"/>
          <w:szCs w:val="22"/>
        </w:rPr>
        <w:t xml:space="preserve">, </w:t>
      </w:r>
      <w:r w:rsidRPr="002C224A">
        <w:rPr>
          <w:rStyle w:val="hps"/>
          <w:rFonts w:cs="Calibri"/>
          <w:color w:val="222222"/>
          <w:szCs w:val="22"/>
        </w:rPr>
        <w:t>a pro všechny fondy ESI</w:t>
      </w:r>
      <w:r w:rsidRPr="002C224A">
        <w:rPr>
          <w:rFonts w:cs="Calibri"/>
          <w:color w:val="222222"/>
          <w:szCs w:val="22"/>
        </w:rPr>
        <w:t>. Při implementaci FN podle hlavy IV Obecného nařízení musí řídící orgány, subjekty provádějící FF a subjekty provádějící dané FN postupovat v souladu s platnými právními předpisy, zejména s těmi, které upravují poskytování státní podpory a zadávání veřejných zakázek.</w:t>
      </w:r>
      <w:r w:rsidR="00B928FB" w:rsidRPr="002C224A">
        <w:rPr>
          <w:rFonts w:cs="Calibri"/>
          <w:color w:val="222222"/>
          <w:szCs w:val="22"/>
        </w:rPr>
        <w:t xml:space="preserve"> </w:t>
      </w:r>
      <w:r w:rsidRPr="002C224A">
        <w:rPr>
          <w:rFonts w:cs="Calibri"/>
          <w:color w:val="222222"/>
          <w:szCs w:val="22"/>
        </w:rPr>
        <w:t>Kromě toho jsou implementační detaily stanoveny v související sekundární právní úpravě (nařízení v přenesené pravomoci a prováděcí nařízení)</w:t>
      </w:r>
      <w:r w:rsidRPr="00A50943">
        <w:rPr>
          <w:rStyle w:val="Znakapoznpodarou"/>
          <w:rFonts w:ascii="Calibri" w:hAnsi="Calibri" w:cs="Calibri"/>
          <w:color w:val="222222"/>
          <w:szCs w:val="22"/>
        </w:rPr>
        <w:footnoteReference w:id="10"/>
      </w:r>
      <w:r w:rsidRPr="00A50943">
        <w:rPr>
          <w:rFonts w:cs="Calibri"/>
          <w:color w:val="222222"/>
          <w:szCs w:val="22"/>
        </w:rPr>
        <w:t>.</w:t>
      </w:r>
    </w:p>
    <w:p w:rsidR="006D67F1" w:rsidRPr="002C224A" w:rsidRDefault="006D67F1" w:rsidP="008074B1">
      <w:r w:rsidRPr="002C224A">
        <w:t xml:space="preserve">Finanční nástroje představují zvláštní kategorie výdajů ESIF a jejich úspěšný návrh a realizace závisí na správném vyhodnocení mezer a potřeb trhu. </w:t>
      </w:r>
      <w:r w:rsidRPr="002C224A">
        <w:rPr>
          <w:b/>
        </w:rPr>
        <w:t>Proto Obecné nařízení obsahuje mj. nové ustanovení, podle kterého by finanční nástroje měly být navrženy na základě předběžného posouzení</w:t>
      </w:r>
      <w:r w:rsidRPr="002C224A">
        <w:t xml:space="preserve">. </w:t>
      </w:r>
      <w:r w:rsidRPr="002C224A">
        <w:rPr>
          <w:b/>
        </w:rPr>
        <w:t>Povinnost provést předběžné hodnocení FN v rámci přípravy operačního programu vyplývá z článku 37 Obecného nařízení.</w:t>
      </w:r>
      <w:r w:rsidRPr="002C224A">
        <w:t xml:space="preserve"> Stává se tak nezbytnou součástí přípravy OP, která výrazně přispívá ke zkvalitnění jeho provádění, zajištění větší koordinovanosti a především k zajištění budoucí úspěšné realizace a efektivnosti využití prostředků určených na finanční nástroje.</w:t>
      </w:r>
    </w:p>
    <w:p w:rsidR="006D67F1" w:rsidRPr="002C224A" w:rsidRDefault="006D67F1" w:rsidP="008074B1"/>
    <w:p w:rsidR="006D67F1" w:rsidRPr="002C224A" w:rsidRDefault="006D67F1" w:rsidP="008074B1">
      <w:pPr>
        <w:spacing w:line="280" w:lineRule="atLeast"/>
        <w:rPr>
          <w:rFonts w:cs="Calibri"/>
          <w:szCs w:val="24"/>
        </w:rPr>
      </w:pPr>
    </w:p>
    <w:p w:rsidR="006D67F1" w:rsidRPr="002C224A" w:rsidRDefault="006D67F1" w:rsidP="008074B1">
      <w:pPr>
        <w:pStyle w:val="Nadpis2"/>
        <w:rPr>
          <w:rFonts w:ascii="Calibri" w:hAnsi="Calibri"/>
        </w:rPr>
      </w:pPr>
      <w:bookmarkStart w:id="6" w:name="_Toc421534265"/>
      <w:r w:rsidRPr="002C224A">
        <w:rPr>
          <w:rFonts w:ascii="Calibri" w:hAnsi="Calibri"/>
        </w:rPr>
        <w:lastRenderedPageBreak/>
        <w:t>Základní principy fungování finančních nástrojů</w:t>
      </w:r>
      <w:bookmarkEnd w:id="6"/>
    </w:p>
    <w:p w:rsidR="006D67F1" w:rsidRPr="002C224A" w:rsidRDefault="006D67F1" w:rsidP="008074B1">
      <w:r w:rsidRPr="00A50943">
        <w:t xml:space="preserve">Při rozhodování o využívání návratných forem pomoci prostřednictvím finančních nástrojů v rámci OP </w:t>
      </w:r>
      <w:r w:rsidRPr="002C224A">
        <w:t xml:space="preserve">PIK musí být pečlivě zváženo, nakolik je pro konkrétní typ intervence využívání této specifické formy podpory vhodné či nikoli. </w:t>
      </w:r>
    </w:p>
    <w:p w:rsidR="006D67F1" w:rsidRPr="002C224A" w:rsidRDefault="006D67F1" w:rsidP="008074B1">
      <w:pPr>
        <w:rPr>
          <w:szCs w:val="24"/>
        </w:rPr>
      </w:pPr>
    </w:p>
    <w:p w:rsidR="006D67F1" w:rsidRPr="002C224A" w:rsidRDefault="006D67F1" w:rsidP="008074B1">
      <w:pPr>
        <w:pStyle w:val="Nadpis3"/>
        <w:rPr>
          <w:rFonts w:ascii="Calibri" w:hAnsi="Calibri"/>
        </w:rPr>
      </w:pPr>
      <w:bookmarkStart w:id="7" w:name="_Toc421534266"/>
      <w:r w:rsidRPr="002C224A">
        <w:rPr>
          <w:rFonts w:ascii="Calibri" w:hAnsi="Calibri"/>
        </w:rPr>
        <w:t>Využitelnost finančních nástrojů</w:t>
      </w:r>
      <w:bookmarkEnd w:id="7"/>
    </w:p>
    <w:p w:rsidR="006D67F1" w:rsidRPr="002C224A" w:rsidRDefault="006D67F1" w:rsidP="008074B1">
      <w:r w:rsidRPr="00A50943">
        <w:t>Finanční nástroje jsou vhodné k využití veřejných prostředků způsoby zabezpečujícími návratný</w:t>
      </w:r>
      <w:r w:rsidRPr="002C224A">
        <w:t xml:space="preserve"> charakter či vysoký pákový efekt. U opatření obsahujících prvek veřejné podpory lze očekávat zvýšení produktivní činnosti, která bude generovat výnosy a tedy potenciální zdroje pro splacení poskytnutého financování prostředků.</w:t>
      </w:r>
    </w:p>
    <w:p w:rsidR="006D67F1" w:rsidRPr="002C224A" w:rsidRDefault="006D67F1" w:rsidP="008074B1">
      <w:pPr>
        <w:spacing w:line="280" w:lineRule="atLeast"/>
        <w:rPr>
          <w:rFonts w:cs="Calibri"/>
          <w:szCs w:val="24"/>
        </w:rPr>
      </w:pPr>
    </w:p>
    <w:p w:rsidR="006D67F1" w:rsidRPr="002C224A" w:rsidRDefault="006D67F1" w:rsidP="008074B1">
      <w:r w:rsidRPr="002C224A">
        <w:t>Je třeba chápat logickou vazbu mezi problémem, jehož řešení vyžaduje veřejnou intervenci v podobě finančního nástroje, a cílem – finanční nástroj je prostředek k řešení problému v ekonomice, nikoliv řešení samotné.</w:t>
      </w:r>
    </w:p>
    <w:p w:rsidR="006D67F1" w:rsidRPr="002C224A" w:rsidRDefault="006D67F1" w:rsidP="008074B1">
      <w:pPr>
        <w:pStyle w:val="Nadpis3"/>
        <w:rPr>
          <w:rFonts w:ascii="Calibri" w:hAnsi="Calibri"/>
        </w:rPr>
      </w:pPr>
      <w:bookmarkStart w:id="8" w:name="_Toc421534267"/>
      <w:r w:rsidRPr="002C224A">
        <w:rPr>
          <w:rFonts w:ascii="Calibri" w:hAnsi="Calibri"/>
        </w:rPr>
        <w:t>Přínos pro využití veřejných prostředků</w:t>
      </w:r>
      <w:bookmarkEnd w:id="8"/>
    </w:p>
    <w:p w:rsidR="006D67F1" w:rsidRPr="002C224A" w:rsidRDefault="006D67F1" w:rsidP="008074B1">
      <w:r w:rsidRPr="00A50943">
        <w:t>ŘO při přípravě implementačn</w:t>
      </w:r>
      <w:r w:rsidRPr="002C224A">
        <w:t xml:space="preserve">ího schématu operačního programu zhodnotí, zdali poskytnutí návratných prostředků v sobě nese přidanou hodnotu či nikoli. Obecně lze tvrdit, že podpůrné zdroje poskytnuté návratným způsobem významněji motivují podpořené subjekty při výběru a přípravě rozvojových projektů a tím radikálně snižují „morální hazard“ spojený s dotačním způsobem rozdělování pomoci. Také intenzita podpory může být v tomto případě nastavena přesněji (adekvátně projektu), což jistě přispívá k podpoře funkčních a udržitelných tržních mechanismů. Na druhou stranu náklady, spojené se správou projektů, jež jsou financovány návratnými formami podpory, mohou být vyšší než náklady, spojené s dotačním financováním, a to zejména z důvodu odlišné délky období správy zdrojů. </w:t>
      </w:r>
    </w:p>
    <w:p w:rsidR="006D67F1" w:rsidRPr="002C224A" w:rsidRDefault="006D67F1" w:rsidP="008074B1">
      <w:pPr>
        <w:pStyle w:val="Nadpis3"/>
        <w:rPr>
          <w:rFonts w:ascii="Calibri" w:hAnsi="Calibri"/>
        </w:rPr>
      </w:pPr>
      <w:bookmarkStart w:id="9" w:name="_Toc421534268"/>
      <w:r w:rsidRPr="002C224A">
        <w:rPr>
          <w:rFonts w:ascii="Calibri" w:hAnsi="Calibri"/>
        </w:rPr>
        <w:t>Přidaná hodnota a rizika finančních nástrojů</w:t>
      </w:r>
      <w:bookmarkEnd w:id="9"/>
    </w:p>
    <w:p w:rsidR="006D67F1" w:rsidRPr="00A50943" w:rsidRDefault="006D67F1" w:rsidP="008074B1">
      <w:r w:rsidRPr="00A50943">
        <w:t>V případě, že řídící orgán rozhodne o návratném způsobu financování, musí zvážit výhody a nevýhody, které přináší finanční nástroje oproti dotační formě.</w:t>
      </w:r>
    </w:p>
    <w:p w:rsidR="006D67F1" w:rsidRPr="002C224A" w:rsidRDefault="006D67F1" w:rsidP="008074B1"/>
    <w:p w:rsidR="006D67F1" w:rsidRPr="002C224A" w:rsidRDefault="006D67F1" w:rsidP="008074B1">
      <w:r w:rsidRPr="002C224A">
        <w:t>Významné přednosti finančních nástrojů pro řídící orgány představují:</w:t>
      </w:r>
    </w:p>
    <w:p w:rsidR="006D67F1" w:rsidRPr="002C224A" w:rsidRDefault="006D67F1" w:rsidP="008074B1">
      <w:pPr>
        <w:pStyle w:val="Odstavecseseznamem1"/>
        <w:numPr>
          <w:ilvl w:val="0"/>
          <w:numId w:val="19"/>
        </w:numPr>
        <w:spacing w:after="120" w:line="280" w:lineRule="atLeast"/>
        <w:rPr>
          <w:rFonts w:cs="Calibri"/>
          <w:szCs w:val="24"/>
        </w:rPr>
      </w:pPr>
      <w:r w:rsidRPr="002C224A">
        <w:rPr>
          <w:rFonts w:cs="Calibri"/>
          <w:szCs w:val="24"/>
        </w:rPr>
        <w:t xml:space="preserve">sdílení rizika a pákový efekt díky zapojení soukromých zdrojů, </w:t>
      </w:r>
    </w:p>
    <w:p w:rsidR="006D67F1" w:rsidRPr="002C224A" w:rsidRDefault="006D67F1" w:rsidP="008074B1">
      <w:pPr>
        <w:pStyle w:val="Odstavecseseznamem1"/>
        <w:numPr>
          <w:ilvl w:val="0"/>
          <w:numId w:val="19"/>
        </w:numPr>
        <w:spacing w:after="120" w:line="280" w:lineRule="atLeast"/>
        <w:rPr>
          <w:rFonts w:cs="Calibri"/>
          <w:szCs w:val="24"/>
        </w:rPr>
      </w:pPr>
      <w:r w:rsidRPr="002C224A">
        <w:rPr>
          <w:rFonts w:cs="Calibri"/>
          <w:szCs w:val="24"/>
        </w:rPr>
        <w:t>možnost opětovného využití prostředků</w:t>
      </w:r>
    </w:p>
    <w:p w:rsidR="006D67F1" w:rsidRPr="002C224A" w:rsidRDefault="006D67F1" w:rsidP="008074B1">
      <w:r w:rsidRPr="002C224A">
        <w:rPr>
          <w:b/>
        </w:rPr>
        <w:t>Finanční nástroje díky pákovému efektu a sdílením rizika snižují nároky na veřejné rozpočty při srovnatelných možnostech dosažení daného cíle.</w:t>
      </w:r>
      <w:r w:rsidRPr="002C224A">
        <w:t xml:space="preserve"> Komise proto počítá s rozšířenými možnostmi podpory zapojení soukromých investorů v rámci nových pravidel pro veřejnou podporu, např. nadproporční distribuce zisku ve prospěch soukromých spoluinvestorů – nicméně jen tam, kde je to nutné.</w:t>
      </w:r>
    </w:p>
    <w:p w:rsidR="006D67F1" w:rsidRPr="002C224A" w:rsidRDefault="006D67F1" w:rsidP="008074B1"/>
    <w:p w:rsidR="006D67F1" w:rsidRPr="002C224A" w:rsidRDefault="006D67F1" w:rsidP="008074B1">
      <w:r w:rsidRPr="002C224A">
        <w:t xml:space="preserve">Na druhé straně, jistou nevýhodou finančních nástrojů oproti dotacím jsou výrazně vyšší nároky na jejich řízení v době přípravy – příprava nového typu smluvní dokumentace, nastavení podmínek na několik let dopředu, je třeba modelovat všechny možné situace a scénáře. Finanční nástroje proto byly ve většině členských států spouštěny až v průběhu programového období. Z dosavadních zkušeností proto plyne, že je v této oblasti výhodnější věnovat adekvátní čas přípravě finančního nástroje a zapojit do tohoto procesu subjekty se zkušenostmi s tímto typem nástroje ve strukturálních fondech EU, neboť </w:t>
      </w:r>
      <w:r w:rsidRPr="002C224A">
        <w:lastRenderedPageBreak/>
        <w:t>to dokáže přinést vyšší kvalitu celého procesu a snížit riziko nezpůsobilosti výdajů a z toho plynoucích finančních korekcí.</w:t>
      </w:r>
    </w:p>
    <w:p w:rsidR="006D67F1" w:rsidRPr="002C224A" w:rsidRDefault="006D67F1" w:rsidP="008074B1"/>
    <w:p w:rsidR="006D67F1" w:rsidRPr="002C224A" w:rsidRDefault="006D67F1" w:rsidP="008074B1">
      <w:r w:rsidRPr="002C224A">
        <w:t>Náklady správy hrazené z veřejných prostředků u finančních nástrojů mohou být částečně či plně hrazeny z výnosů investice. Lze tedy říci, že v případě dotací je vždy ještě nutno vynaložit další prostředky na jejich správu, a to jako čistý náklad. V případě finančních nástrojů mohou být náklady na správu v různé míře kompenzovány a jejich výše je transparentně stanovena prostřednictvím limitů nákladů a poplatků spojených s řízením finančního nástroje stanovených v Implementačním nařízení.</w:t>
      </w:r>
    </w:p>
    <w:p w:rsidR="006D67F1" w:rsidRPr="002C224A" w:rsidRDefault="006D67F1" w:rsidP="008074B1"/>
    <w:p w:rsidR="006D67F1" w:rsidRPr="002C224A" w:rsidRDefault="006D67F1" w:rsidP="008074B1">
      <w:r w:rsidRPr="002C224A">
        <w:t xml:space="preserve">Pro samotné příjemce podpory přináší finanční nástroje oproti dotacím výhodu v podobě </w:t>
      </w:r>
      <w:r w:rsidRPr="002C224A">
        <w:rPr>
          <w:b/>
        </w:rPr>
        <w:t>snížených časových i finančních nákladů na administrativu žádosti</w:t>
      </w:r>
      <w:r w:rsidRPr="002C224A">
        <w:t xml:space="preserve">, výrazně rychlejší proces hodnocení, nižší nároky na monitoring a především mnohem rychlejší profinancování samotného projektu. Z ekonomického pohledu (zejména při zohlednění časové hodnoty) nemusí být návratná podpora pro konečné příjemce méně výhodná než dotace. </w:t>
      </w:r>
    </w:p>
    <w:p w:rsidR="006D67F1" w:rsidRPr="002C224A" w:rsidRDefault="006D67F1" w:rsidP="008074B1"/>
    <w:p w:rsidR="006D67F1" w:rsidRPr="002C224A" w:rsidRDefault="006D67F1" w:rsidP="008074B1">
      <w:r w:rsidRPr="002C224A">
        <w:t>Zásadní výhodou pro příjemce je skutečnost, že mu finanční nástroj pomáhá překonat hlavní překážku, a to je nedostupnost zdrojů financování jako takového.</w:t>
      </w:r>
    </w:p>
    <w:p w:rsidR="006D67F1" w:rsidRPr="002C224A" w:rsidRDefault="006D67F1" w:rsidP="008074B1"/>
    <w:p w:rsidR="006D67F1" w:rsidRPr="002C224A" w:rsidRDefault="006D67F1" w:rsidP="008074B1">
      <w:pPr>
        <w:rPr>
          <w:b/>
        </w:rPr>
      </w:pPr>
      <w:r w:rsidRPr="002C224A">
        <w:rPr>
          <w:b/>
        </w:rPr>
        <w:t>Uvedené obecné charakteristiky FN jsou zpřesněny pro jednotlivé hlouběji analyzované specifické cíle a druhy nástrojů v rámci bloku I. v podkapitolách Posouzení přidané hodnoty finančních nástrojů.</w:t>
      </w:r>
    </w:p>
    <w:p w:rsidR="006D67F1" w:rsidRPr="002C224A" w:rsidRDefault="006D67F1" w:rsidP="008074B1"/>
    <w:p w:rsidR="0074622E" w:rsidRPr="002C224A" w:rsidRDefault="0074622E" w:rsidP="002C224A">
      <w:pPr>
        <w:pStyle w:val="Nadpis3"/>
        <w:rPr>
          <w:rFonts w:ascii="Calibri" w:hAnsi="Calibri"/>
        </w:rPr>
      </w:pPr>
      <w:bookmarkStart w:id="10" w:name="_Toc421534269"/>
      <w:r w:rsidRPr="002C224A">
        <w:rPr>
          <w:rFonts w:ascii="Calibri" w:hAnsi="Calibri"/>
        </w:rPr>
        <w:t>Možnosti řešení veřejné podpory</w:t>
      </w:r>
      <w:bookmarkStart w:id="11" w:name="_Toc418465248"/>
      <w:bookmarkEnd w:id="10"/>
    </w:p>
    <w:p w:rsidR="0074622E" w:rsidRPr="002C224A" w:rsidRDefault="0074622E" w:rsidP="002C224A">
      <w:pPr>
        <w:rPr>
          <w:b/>
        </w:rPr>
      </w:pPr>
      <w:r w:rsidRPr="002C224A">
        <w:rPr>
          <w:b/>
        </w:rPr>
        <w:t>Pravidla veřejné podpory v EU</w:t>
      </w:r>
      <w:bookmarkEnd w:id="11"/>
    </w:p>
    <w:p w:rsidR="0074622E" w:rsidRPr="00A50943" w:rsidRDefault="0074622E" w:rsidP="0074622E"/>
    <w:p w:rsidR="0074622E" w:rsidRPr="002C224A" w:rsidRDefault="0074622E" w:rsidP="0074622E">
      <w:r w:rsidRPr="002C224A">
        <w:t>Veřejná podpora ve smyslu selektivní podpory vybraných podniků působících na vnitřním trhu EU zakládající jim výhodu oproti ostatním soutěžitelům je v principu zakázána čl. 107 Smlouvy o fungování EU. Smlouva však zároveň uvádí podmínky, za kterých lze veřejnou podporu poskytnout, neboť se má za to, že za určitých okolností nemusí být narušení vnitřního trhu EU závažné.</w:t>
      </w:r>
    </w:p>
    <w:p w:rsidR="0074622E" w:rsidRPr="002C224A" w:rsidRDefault="0074622E" w:rsidP="0074622E">
      <w:r w:rsidRPr="002C224A">
        <w:t>Čl. 107 Smlouvy o fungování EU uvádí čtyři kumulativní znaky, které musí být naplněny současně, aby byla naplněna definice veřejné podpory:</w:t>
      </w:r>
    </w:p>
    <w:p w:rsidR="0074622E" w:rsidRPr="002C224A" w:rsidRDefault="0074622E" w:rsidP="0074622E">
      <w:pPr>
        <w:numPr>
          <w:ilvl w:val="0"/>
          <w:numId w:val="79"/>
        </w:numPr>
        <w:spacing w:before="120" w:after="120"/>
        <w:ind w:right="57" w:firstLine="0"/>
      </w:pPr>
      <w:r w:rsidRPr="002C224A">
        <w:t>poskytnutí státních prostředků (v jakékoli formě, i nepřímo)</w:t>
      </w:r>
    </w:p>
    <w:p w:rsidR="0074622E" w:rsidRPr="002C224A" w:rsidRDefault="0074622E" w:rsidP="0074622E">
      <w:pPr>
        <w:numPr>
          <w:ilvl w:val="0"/>
          <w:numId w:val="79"/>
        </w:numPr>
        <w:spacing w:before="120" w:after="120"/>
        <w:ind w:right="57" w:firstLine="0"/>
      </w:pPr>
      <w:r w:rsidRPr="002C224A">
        <w:t>existuje zvýhodnění oproti ostatním soutěžitelům na trhu</w:t>
      </w:r>
    </w:p>
    <w:p w:rsidR="0074622E" w:rsidRPr="002C224A" w:rsidRDefault="0074622E" w:rsidP="0074622E">
      <w:pPr>
        <w:numPr>
          <w:ilvl w:val="0"/>
          <w:numId w:val="79"/>
        </w:numPr>
        <w:spacing w:before="120" w:after="120"/>
        <w:ind w:right="57" w:firstLine="0"/>
      </w:pPr>
      <w:r w:rsidRPr="002C224A">
        <w:t xml:space="preserve">selektivita (určité odvětví, určité podniky, např. MSP, určité regiony), </w:t>
      </w:r>
    </w:p>
    <w:p w:rsidR="0074622E" w:rsidRPr="002C224A" w:rsidRDefault="0074622E" w:rsidP="0074622E">
      <w:pPr>
        <w:numPr>
          <w:ilvl w:val="0"/>
          <w:numId w:val="79"/>
        </w:numPr>
        <w:spacing w:before="120" w:after="120"/>
        <w:ind w:right="57" w:firstLine="0"/>
      </w:pPr>
      <w:r w:rsidRPr="002C224A">
        <w:t xml:space="preserve">vliv na obchod mezi členskými zeměmi a narušení či hrozba porušení hospodářské soutěže (tento znak je považován za naplněný vždy s výjimkou podpory </w:t>
      </w:r>
      <w:r w:rsidRPr="002C224A">
        <w:rPr>
          <w:i/>
        </w:rPr>
        <w:t>de minimis</w:t>
      </w:r>
      <w:r w:rsidRPr="002C224A">
        <w:t xml:space="preserve">). </w:t>
      </w:r>
    </w:p>
    <w:p w:rsidR="0074622E" w:rsidRPr="002C224A" w:rsidRDefault="0074622E" w:rsidP="0074622E">
      <w:r w:rsidRPr="002C224A">
        <w:t>V oblasti veřejné podpory je k dispozici celá řada procesně i hmotně právní legislativy sekundárního práva EU, výkladové pokyny Komise k jednotlivým odvětvím podpory (včetně rizikového kapitálu), rozhodnutí Komise a výroky Soudního dvora EU.</w:t>
      </w:r>
    </w:p>
    <w:p w:rsidR="0074622E" w:rsidRPr="002C224A" w:rsidRDefault="0074622E" w:rsidP="0074622E"/>
    <w:p w:rsidR="0074622E" w:rsidRPr="002C224A" w:rsidRDefault="0074622E" w:rsidP="0074622E">
      <w:r w:rsidRPr="002C224A">
        <w:t xml:space="preserve">Pouze jsou-li všechny tyto prvky splněny (přítomny) současně, jedná se o státní pomoc, tzn. je-li možné prokázat, že jeden z uvedených prvků není naplněn (např.v případě podpory </w:t>
      </w:r>
      <w:r w:rsidRPr="002C224A">
        <w:rPr>
          <w:i/>
        </w:rPr>
        <w:t>de minimis</w:t>
      </w:r>
      <w:r w:rsidRPr="002C224A">
        <w:t>), o veřejnou podporu se nejedná.</w:t>
      </w:r>
    </w:p>
    <w:p w:rsidR="0074622E" w:rsidRPr="002C224A" w:rsidRDefault="0074622E" w:rsidP="0074622E"/>
    <w:p w:rsidR="0074622E" w:rsidRPr="002C224A" w:rsidRDefault="0074622E" w:rsidP="0074622E">
      <w:r w:rsidRPr="002C224A">
        <w:t>Veřejnou podporu lze tedy rozdělit na dva základní typy – pomoc, která je zcela zakázána (např. podpora spojená s vyváženým množstvím) a pomoc, kterou lze za určitých podmínek stanovených legislativou udělit. Taková podpora má status slučitelné a současně legální podpory.</w:t>
      </w:r>
    </w:p>
    <w:p w:rsidR="0074622E" w:rsidRPr="002C224A" w:rsidRDefault="0074622E" w:rsidP="0074622E">
      <w:r w:rsidRPr="002C224A">
        <w:lastRenderedPageBreak/>
        <w:t>Poskytovatel podpory má několik odlišných nástrojů, jejichž prostřednictvím může zaručit, aby poskytovaná podpora byla v souladu s právem EU. Jedná se v podstatě o způsoby, jak zajistit pro opatření výjimku ze všeobecného zákazu státní pomoci.</w:t>
      </w:r>
    </w:p>
    <w:p w:rsidR="0074622E" w:rsidRPr="002C224A" w:rsidRDefault="0074622E" w:rsidP="0074622E"/>
    <w:p w:rsidR="0074622E" w:rsidRPr="002C224A" w:rsidRDefault="0074622E" w:rsidP="0074622E">
      <w:r w:rsidRPr="002C224A">
        <w:t xml:space="preserve">Předpisy EU umožňují vyhlášení programů podpory nebo jednotlivé podpory podle pravidla </w:t>
      </w:r>
      <w:r w:rsidRPr="002C224A">
        <w:rPr>
          <w:i/>
        </w:rPr>
        <w:t>de minimis</w:t>
      </w:r>
      <w:r w:rsidRPr="002C224A">
        <w:t xml:space="preserve"> bez oznámení. V případě schémat veřejné podpory, která explicitně naplňují ustanovení blokových výjimek, je nutné jejich oznámení do 20 dnů po vyhlášení programu (tzv. ex post notifikace). Pokud bloková výjimka neposkytuje pro schéma právní oporu, opatření je nutné notifikovat Komisi před zahájením realizace tohoto programu podle některých odvětvových pokynů Komise, případně ad hoc. Tento proces se řídí procesními nařízeními</w:t>
      </w:r>
      <w:r w:rsidRPr="002C224A">
        <w:rPr>
          <w:rStyle w:val="Znakapoznpodarou"/>
          <w:rFonts w:ascii="Calibri" w:hAnsi="Calibri"/>
        </w:rPr>
        <w:footnoteReference w:id="11"/>
      </w:r>
      <w:r w:rsidRPr="002C224A">
        <w:t xml:space="preserve"> a může trvat cca 6 měsíců až 2 roky. Zároveň je možné využít tzv. prenotifikace (tzv. neformální kontakty před oznámením), tedy předběžného projednání schématu s Komisí ukončeného typicky dopisem, ve kterém Komise doporučí buď schéma notifikovat, nebo vysloví předpoklad jeho slučitelnosti s blokovou výjimkou, případně pravidlem </w:t>
      </w:r>
      <w:r w:rsidRPr="002C224A">
        <w:rPr>
          <w:i/>
        </w:rPr>
        <w:t>de minimis</w:t>
      </w:r>
      <w:r w:rsidRPr="002C224A">
        <w:t>, nebo vysloví předpoklad, že schéma nezakládá veřejnou podporu.</w:t>
      </w:r>
    </w:p>
    <w:p w:rsidR="006D3EC2" w:rsidRDefault="006D3EC2" w:rsidP="0074622E"/>
    <w:p w:rsidR="0074622E" w:rsidRPr="002C224A" w:rsidRDefault="0074622E" w:rsidP="0074622E">
      <w:r w:rsidRPr="002C224A">
        <w:t xml:space="preserve">V resortu MPO je historicky pro poskytovanou podporu nejčastěji využíváno blokových výjimek a pravidla </w:t>
      </w:r>
      <w:r w:rsidRPr="002C224A">
        <w:rPr>
          <w:i/>
        </w:rPr>
        <w:t>de minimis</w:t>
      </w:r>
      <w:r w:rsidRPr="002C224A">
        <w:t>, tedy bez nutnosti procesu notifikace před započetím poskytování podpory.</w:t>
      </w:r>
    </w:p>
    <w:p w:rsidR="0074622E" w:rsidRPr="002C224A" w:rsidRDefault="0074622E" w:rsidP="002C224A">
      <w:pPr>
        <w:rPr>
          <w:b/>
        </w:rPr>
      </w:pPr>
      <w:bookmarkStart w:id="12" w:name="_Toc418465249"/>
    </w:p>
    <w:p w:rsidR="0074622E" w:rsidRPr="002C224A" w:rsidRDefault="0074622E" w:rsidP="002C224A">
      <w:pPr>
        <w:rPr>
          <w:b/>
        </w:rPr>
      </w:pPr>
      <w:r w:rsidRPr="002C224A">
        <w:rPr>
          <w:b/>
        </w:rPr>
        <w:t>Předchozí zkušenosti</w:t>
      </w:r>
      <w:bookmarkEnd w:id="12"/>
      <w:r w:rsidRPr="002C224A">
        <w:rPr>
          <w:b/>
        </w:rPr>
        <w:t xml:space="preserve"> – úvěry a záruky</w:t>
      </w:r>
    </w:p>
    <w:p w:rsidR="001E394B" w:rsidRPr="002C224A" w:rsidRDefault="001E394B" w:rsidP="001E394B"/>
    <w:p w:rsidR="00A54787" w:rsidRDefault="00A54787" w:rsidP="00A54787">
      <w:r>
        <w:t xml:space="preserve">Záruky v programu ZÁRUKA byly poskytovány jako podpora de minimis podle nařízení Komise č. 1998/2006 nebo podpora podle nařízení Komise 70/2001 a později podle článku 13 nařízení Komise č. 800/2008.  Hrubý ekvivalent podpory byl v případě podpory de minimis vypočítáván podle zásad stanovených přímo v nařízení Komise, v případě záruk podle blokové výjimky byl hrubý ekvivalent podpory stanovován na základě Sdělení Komise o použití článků </w:t>
      </w:r>
      <w:smartTag w:uri="urn:schemas-microsoft-com:office:smarttags" w:element="metricconverter">
        <w:smartTagPr>
          <w:attr w:name="ProductID" w:val="87 a"/>
        </w:smartTagPr>
        <w:r>
          <w:t>87 a</w:t>
        </w:r>
      </w:smartTag>
      <w:r>
        <w:t xml:space="preserve"> 88 Smlouvy o ES na státní podpory ve formě záruk s použitím sazeb safe harbour. Metodika výpočtu byla uvedena v dohodě o vytvoření záručního fondu.  </w:t>
      </w:r>
    </w:p>
    <w:p w:rsidR="00A54787" w:rsidRDefault="00A54787" w:rsidP="00A54787"/>
    <w:p w:rsidR="0074622E" w:rsidRPr="002C224A" w:rsidRDefault="00A54787" w:rsidP="0074622E">
      <w:r>
        <w:t xml:space="preserve">Úvěry v programu PROGRES byly poskytovány </w:t>
      </w:r>
      <w:r w:rsidR="006D3EC2">
        <w:t xml:space="preserve">jako </w:t>
      </w:r>
      <w:r>
        <w:t>podpora podle nařízení Komise 70/2001 a později podle článku 13 nařízení Komise č.   800/2008.  Hrubý ekvivalent podpory byl vypočítáván podle Sdělení Komise o revizi metody stanovování referenčních a diskontních sazeb s použitím sazeb safe harbour. Metodika výpočtu byla uvedena v dohodě o vytvoření úvěrového fondu.</w:t>
      </w:r>
    </w:p>
    <w:p w:rsidR="0074622E" w:rsidRPr="002C224A" w:rsidRDefault="0074622E" w:rsidP="0074622E"/>
    <w:p w:rsidR="0074622E" w:rsidRPr="002C224A" w:rsidRDefault="0074622E" w:rsidP="0074622E">
      <w:r w:rsidRPr="002C224A">
        <w:rPr>
          <w:b/>
        </w:rPr>
        <w:t>Předchozí zkušenosti – rizikový kapitál</w:t>
      </w:r>
    </w:p>
    <w:p w:rsidR="0074622E" w:rsidRPr="002C224A" w:rsidRDefault="0074622E" w:rsidP="0074622E"/>
    <w:p w:rsidR="0074622E" w:rsidRPr="002C224A" w:rsidRDefault="0074622E" w:rsidP="0074622E">
      <w:r w:rsidRPr="002C224A">
        <w:t xml:space="preserve">V roce 2012 však bylo v rámci přípravy Seed fondu OPPI shledáno, že schéma není slučitelné s blokovou výjimkou ani pravidlem </w:t>
      </w:r>
      <w:r w:rsidRPr="002C224A">
        <w:rPr>
          <w:i/>
        </w:rPr>
        <w:t>de minimis</w:t>
      </w:r>
      <w:r w:rsidRPr="002C224A">
        <w:t>, a proto byl zahájen proces prenotifikace a posléze notifikace opatření.</w:t>
      </w:r>
    </w:p>
    <w:p w:rsidR="0074622E" w:rsidRPr="002C224A" w:rsidRDefault="0074622E" w:rsidP="0074622E"/>
    <w:p w:rsidR="0074622E" w:rsidRPr="002C224A" w:rsidRDefault="0074622E" w:rsidP="0074622E">
      <w:r w:rsidRPr="002C224A">
        <w:t xml:space="preserve">V prosinci 2012 vydala Komise, tedy asi 6 měsíců po prvním kontaktu ze strany České republiky, dvě souhlasná rozhodnutí, podle nichž byla obě schémata Seed fondu OPPI slučitelná s vnitřním trhem. </w:t>
      </w:r>
    </w:p>
    <w:p w:rsidR="0074622E" w:rsidRPr="002C224A" w:rsidRDefault="0074622E" w:rsidP="0074622E">
      <w:r w:rsidRPr="002C224A">
        <w:t>První rozhodnutí se týkalo investic do fází seed a startup, kde docházelo kromě poskytnutí sdílení rizik soukromým investorům též k nerovnoměrné dělbě zisku v případě využití tzv. call opce soukromého investora na podíl Seed fondu v dané investici. Komise shledala, že schéma obsahuje veřejnou podporu na úrovni soukromého investora a zároveň existuje předpoklad, že tato podpora je minimálně částečně přenášena na konečného příjemce – high tech firmu. Tato veřejná podpora však byla shledána za slučitelnou s vnitřním trhem.</w:t>
      </w:r>
    </w:p>
    <w:p w:rsidR="0074622E" w:rsidRPr="002C224A" w:rsidRDefault="0074622E" w:rsidP="0074622E"/>
    <w:p w:rsidR="0074622E" w:rsidRPr="002C224A" w:rsidRDefault="0074622E" w:rsidP="0074622E">
      <w:r w:rsidRPr="002C224A">
        <w:t xml:space="preserve">Zároveň se v případě druhého rozhodnutí pro later stage investice podařilo MPO prokázat, že neobsahuje prvek veřejné podpory, neboť Seed fond vystupoval ve schématu za rovných podmínek se soukromými investory (tzv. </w:t>
      </w:r>
      <w:r w:rsidRPr="002C224A">
        <w:rPr>
          <w:i/>
        </w:rPr>
        <w:t>pari passu</w:t>
      </w:r>
      <w:r w:rsidRPr="002C224A">
        <w:t>) a tudíž se choval jako soukromý investor i vůči konečným příjemcům – high tech firmám.</w:t>
      </w:r>
      <w:r w:rsidRPr="002C224A">
        <w:rPr>
          <w:rStyle w:val="Znakapoznpodarou"/>
          <w:rFonts w:ascii="Calibri" w:hAnsi="Calibri"/>
        </w:rPr>
        <w:footnoteReference w:id="12"/>
      </w:r>
      <w:r w:rsidRPr="002C224A">
        <w:t xml:space="preserve"> Smyslem podpory bylo poskytnout soukromým investorům sdílení rizik a tím je motivovat ke zvýšení objemu investic do later stage venture capital.</w:t>
      </w:r>
    </w:p>
    <w:p w:rsidR="0074622E" w:rsidRPr="002C224A" w:rsidRDefault="0074622E" w:rsidP="0074622E"/>
    <w:p w:rsidR="0074622E" w:rsidRPr="002C224A" w:rsidRDefault="0074622E" w:rsidP="0074622E">
      <w:r w:rsidRPr="002C224A">
        <w:t xml:space="preserve">Na základě dosavadních zkušeností </w:t>
      </w:r>
      <w:r w:rsidR="00B12A86" w:rsidRPr="002C224A">
        <w:t>předběžné posouzení nenavrhuje</w:t>
      </w:r>
      <w:r w:rsidRPr="002C224A">
        <w:t xml:space="preserve"> poskytování veřejné podpory na těchto úrovních:</w:t>
      </w:r>
    </w:p>
    <w:p w:rsidR="0074622E" w:rsidRPr="002C224A" w:rsidRDefault="0074622E" w:rsidP="0074622E"/>
    <w:p w:rsidR="0074622E" w:rsidRPr="002C224A" w:rsidRDefault="0074622E" w:rsidP="002C224A">
      <w:pPr>
        <w:numPr>
          <w:ilvl w:val="0"/>
          <w:numId w:val="83"/>
        </w:numPr>
        <w:rPr>
          <w:b/>
        </w:rPr>
      </w:pPr>
      <w:r w:rsidRPr="002C224A">
        <w:rPr>
          <w:b/>
        </w:rPr>
        <w:t xml:space="preserve">správce finančního nástroje (příjemce; bude mu náležet odměna podle limitů nařízení Komise (EU) č. 480/2014 </w:t>
      </w:r>
      <w:r w:rsidR="000E3FC0">
        <w:rPr>
          <w:b/>
        </w:rPr>
        <w:t>(</w:t>
      </w:r>
      <w:r w:rsidRPr="002C224A">
        <w:rPr>
          <w:b/>
        </w:rPr>
        <w:t>jde tedy o veřejnou zakázku, nikoliv veřejnou podporu)</w:t>
      </w:r>
      <w:r w:rsidR="000E3FC0">
        <w:rPr>
          <w:b/>
        </w:rPr>
        <w:t>;</w:t>
      </w:r>
    </w:p>
    <w:p w:rsidR="0074622E" w:rsidRPr="002C224A" w:rsidRDefault="0074622E" w:rsidP="002C224A">
      <w:pPr>
        <w:numPr>
          <w:ilvl w:val="0"/>
          <w:numId w:val="83"/>
        </w:numPr>
        <w:rPr>
          <w:b/>
        </w:rPr>
      </w:pPr>
      <w:r w:rsidRPr="002C224A">
        <w:rPr>
          <w:b/>
        </w:rPr>
        <w:t>finanční zprostředkovatel (pokud bude využit</w:t>
      </w:r>
      <w:r w:rsidR="000E3FC0">
        <w:rPr>
          <w:b/>
        </w:rPr>
        <w:t>)</w:t>
      </w:r>
      <w:r w:rsidRPr="002C224A">
        <w:rPr>
          <w:b/>
        </w:rPr>
        <w:t xml:space="preserve"> ve smyslu manažera fondu, do kterého investuje OP PIK; bude mu náležet pouze odměna podle limitů nařízení Komise (EU) č. 480/2014</w:t>
      </w:r>
      <w:r w:rsidR="000E3FC0">
        <w:rPr>
          <w:b/>
        </w:rPr>
        <w:t>.</w:t>
      </w:r>
    </w:p>
    <w:p w:rsidR="0074622E" w:rsidRPr="002C224A" w:rsidRDefault="0074622E" w:rsidP="008074B1">
      <w:pPr>
        <w:rPr>
          <w:b/>
        </w:rPr>
      </w:pPr>
    </w:p>
    <w:p w:rsidR="0074622E" w:rsidRPr="002C224A" w:rsidRDefault="0074622E" w:rsidP="008074B1">
      <w:pPr>
        <w:rPr>
          <w:b/>
        </w:rPr>
      </w:pPr>
      <w:r w:rsidRPr="002C224A">
        <w:rPr>
          <w:b/>
        </w:rPr>
        <w:t xml:space="preserve">Zároveň není předpokládána veřejná podpora na úrovni finančních institucí spolupracujících na schématech úvěrů a záruk. Předpokládána je </w:t>
      </w:r>
      <w:r w:rsidR="006701AB" w:rsidRPr="00A50943">
        <w:rPr>
          <w:b/>
        </w:rPr>
        <w:t xml:space="preserve">naopak </w:t>
      </w:r>
      <w:r w:rsidRPr="002C224A">
        <w:rPr>
          <w:b/>
        </w:rPr>
        <w:t>veřejná podpora soukromých investorů ve smyslu preferenčního odměňování (viz závěry dále)</w:t>
      </w:r>
      <w:r w:rsidR="006701AB" w:rsidRPr="002C224A">
        <w:rPr>
          <w:b/>
        </w:rPr>
        <w:t>.</w:t>
      </w:r>
    </w:p>
    <w:p w:rsidR="006701AB" w:rsidRPr="002C224A" w:rsidRDefault="006701AB" w:rsidP="008074B1">
      <w:pPr>
        <w:rPr>
          <w:b/>
        </w:rPr>
      </w:pPr>
    </w:p>
    <w:p w:rsidR="006701AB" w:rsidRPr="002C224A" w:rsidRDefault="006701AB" w:rsidP="008074B1">
      <w:pPr>
        <w:rPr>
          <w:b/>
        </w:rPr>
      </w:pPr>
      <w:r w:rsidRPr="002C224A">
        <w:rPr>
          <w:b/>
        </w:rPr>
        <w:t>Na úrovni konečných příjemců se bude veřejná podpora vyskytovat ve všech navrhovaných finančních nástrojích</w:t>
      </w:r>
      <w:r w:rsidR="003D00C1">
        <w:rPr>
          <w:b/>
        </w:rPr>
        <w:t>, a to v režimu podpor de minimis či blokové výjimky podle nařízení Komise (EU) č. 651/2014.</w:t>
      </w:r>
    </w:p>
    <w:p w:rsidR="0074622E" w:rsidRPr="00A50943" w:rsidRDefault="0074622E" w:rsidP="008074B1"/>
    <w:p w:rsidR="006D67F1" w:rsidRPr="002C224A" w:rsidRDefault="006D67F1" w:rsidP="008074B1">
      <w:pPr>
        <w:pStyle w:val="Nadpis2"/>
        <w:rPr>
          <w:rFonts w:ascii="Calibri" w:hAnsi="Calibri"/>
        </w:rPr>
      </w:pPr>
      <w:bookmarkStart w:id="13" w:name="_Toc421534270"/>
      <w:r w:rsidRPr="002C224A">
        <w:rPr>
          <w:rFonts w:ascii="Calibri" w:hAnsi="Calibri"/>
        </w:rPr>
        <w:t>Screening specifických cílů OP PIK z hlediska aplikovatelnosti finančních nástrojů</w:t>
      </w:r>
      <w:bookmarkEnd w:id="13"/>
    </w:p>
    <w:p w:rsidR="006D67F1" w:rsidRPr="002C224A" w:rsidRDefault="006D67F1" w:rsidP="008074B1">
      <w:r w:rsidRPr="00A50943">
        <w:t xml:space="preserve">Řídící orgán OP PIK provedl </w:t>
      </w:r>
      <w:r w:rsidR="00AA7B28" w:rsidRPr="002C224A">
        <w:t xml:space="preserve">na základě doporučení v Obecné metodice EK </w:t>
      </w:r>
      <w:r w:rsidRPr="002C224A">
        <w:t>screening prioritních os a specifických cílů operačního programu z hlediska vhodnosti aplikace finančních nástrojů jako formy podpory na základě principů popsaných v předchozí kapitole a tezí pro přípravu operačního programu obsažených v dokumentu Intervenční logika programu/teorie změny, který byl připraven v součinnosti s Ministerstvem pro místní rozvoj. Na základě výsledků tohoto screeningu byly následně v operačním programu uvedeny specifické cíle, u kterých řídící orgán předpokládá/zvažuje/nepředpokládá využití finančních nástrojů, přičemž jednotlivé verze OP PIK byly na základě principu partnerství konzultovány též s dalšími subjekty.</w:t>
      </w:r>
      <w:r w:rsidR="00B928FB" w:rsidRPr="002C224A">
        <w:t xml:space="preserve"> </w:t>
      </w:r>
      <w:r w:rsidRPr="002C224A">
        <w:t>Prvotní výsledky screeningu byly dále doplněny na základě konzultací s Evropskou komisí, která zejména doporučila rovněž zvážení využití finančních nástrojů v prioritní ose 4 OP</w:t>
      </w:r>
      <w:r w:rsidR="002D09B7" w:rsidRPr="002C224A">
        <w:t xml:space="preserve"> </w:t>
      </w:r>
      <w:r w:rsidRPr="002C224A">
        <w:t>PIK.</w:t>
      </w:r>
    </w:p>
    <w:p w:rsidR="006D67F1" w:rsidRPr="002C224A" w:rsidRDefault="006D67F1" w:rsidP="008074B1"/>
    <w:p w:rsidR="006D67F1" w:rsidRPr="002C224A" w:rsidRDefault="006D67F1" w:rsidP="008074B1">
      <w:r w:rsidRPr="002C224A">
        <w:t>Screening byl prováděn na základě ohodnocení cílů intervence, podporovaných aktivit, cílových skupin a typů příjemců následujícími pěti binárními kritérii:</w:t>
      </w:r>
    </w:p>
    <w:p w:rsidR="006D67F1" w:rsidRPr="002C224A" w:rsidRDefault="006D67F1" w:rsidP="008074B1"/>
    <w:p w:rsidR="006D67F1" w:rsidRPr="002C224A" w:rsidRDefault="006D67F1" w:rsidP="008074B1">
      <w:pPr>
        <w:numPr>
          <w:ilvl w:val="0"/>
          <w:numId w:val="42"/>
        </w:numPr>
        <w:spacing w:after="240"/>
        <w:rPr>
          <w:rFonts w:cs="Calibri"/>
          <w:color w:val="222222"/>
          <w:szCs w:val="22"/>
        </w:rPr>
      </w:pPr>
      <w:r w:rsidRPr="002C224A">
        <w:rPr>
          <w:rFonts w:cs="Calibri"/>
          <w:color w:val="222222"/>
          <w:szCs w:val="22"/>
        </w:rPr>
        <w:t>Produktivní činnost (investiční projekty) – ANO/NE</w:t>
      </w:r>
    </w:p>
    <w:p w:rsidR="006D67F1" w:rsidRPr="002C224A" w:rsidRDefault="006D67F1" w:rsidP="008074B1">
      <w:pPr>
        <w:numPr>
          <w:ilvl w:val="0"/>
          <w:numId w:val="42"/>
        </w:numPr>
        <w:spacing w:after="240"/>
        <w:rPr>
          <w:rFonts w:cs="Calibri"/>
          <w:color w:val="222222"/>
          <w:szCs w:val="22"/>
        </w:rPr>
      </w:pPr>
      <w:r w:rsidRPr="002C224A">
        <w:rPr>
          <w:rFonts w:cs="Calibri"/>
          <w:color w:val="222222"/>
          <w:szCs w:val="22"/>
        </w:rPr>
        <w:t>Předpoklad dostatečného cash flow typových projektů – ANO/NE</w:t>
      </w:r>
    </w:p>
    <w:p w:rsidR="006D67F1" w:rsidRPr="002C224A" w:rsidRDefault="006D67F1" w:rsidP="008074B1">
      <w:pPr>
        <w:numPr>
          <w:ilvl w:val="0"/>
          <w:numId w:val="42"/>
        </w:numPr>
        <w:spacing w:after="240"/>
        <w:rPr>
          <w:rFonts w:cs="Calibri"/>
          <w:color w:val="222222"/>
          <w:szCs w:val="22"/>
        </w:rPr>
      </w:pPr>
      <w:r w:rsidRPr="002C224A">
        <w:rPr>
          <w:rFonts w:cs="Calibri"/>
          <w:color w:val="222222"/>
          <w:szCs w:val="22"/>
        </w:rPr>
        <w:t>Možnost zapojení dodatečných soukromých nebo veřejných zdrojů – ANO/NE</w:t>
      </w:r>
    </w:p>
    <w:p w:rsidR="006D67F1" w:rsidRPr="002C224A" w:rsidRDefault="006D67F1" w:rsidP="008074B1">
      <w:pPr>
        <w:numPr>
          <w:ilvl w:val="0"/>
          <w:numId w:val="42"/>
        </w:numPr>
        <w:spacing w:after="240"/>
        <w:rPr>
          <w:rFonts w:cs="Calibri"/>
          <w:color w:val="222222"/>
          <w:szCs w:val="22"/>
        </w:rPr>
      </w:pPr>
      <w:r w:rsidRPr="002C224A">
        <w:rPr>
          <w:rFonts w:cs="Calibri"/>
          <w:color w:val="222222"/>
          <w:szCs w:val="22"/>
        </w:rPr>
        <w:t>Předpoklad ztížené dostupnosti komerčního financování – ANO/NE</w:t>
      </w:r>
    </w:p>
    <w:p w:rsidR="006D67F1" w:rsidRPr="002C224A" w:rsidRDefault="006D67F1" w:rsidP="008074B1">
      <w:pPr>
        <w:numPr>
          <w:ilvl w:val="0"/>
          <w:numId w:val="42"/>
        </w:numPr>
        <w:spacing w:after="240"/>
        <w:rPr>
          <w:rFonts w:cs="Calibri"/>
          <w:color w:val="222222"/>
          <w:szCs w:val="22"/>
        </w:rPr>
      </w:pPr>
      <w:r w:rsidRPr="002C224A">
        <w:rPr>
          <w:rFonts w:cs="Calibri"/>
          <w:color w:val="222222"/>
          <w:szCs w:val="22"/>
        </w:rPr>
        <w:lastRenderedPageBreak/>
        <w:t>Dosavadní zkušenosti v ČR s aplikací finančního nástroje v dané oblasti – ANO/NE</w:t>
      </w:r>
    </w:p>
    <w:p w:rsidR="006D67F1" w:rsidRPr="002C224A" w:rsidRDefault="006D67F1" w:rsidP="008074B1"/>
    <w:p w:rsidR="006D67F1" w:rsidRPr="002C224A" w:rsidRDefault="006D67F1" w:rsidP="008074B1">
      <w:r w:rsidRPr="002C224A">
        <w:t xml:space="preserve">Závěrem screeningu bylo zjištění, že finanční nástroje mají potenciál využití ve všech prioritních osách OP PIK odpovídajících tematickým cílům 1, 2, </w:t>
      </w:r>
      <w:smartTag w:uri="urn:schemas-microsoft-com:office:smarttags" w:element="metricconverter">
        <w:smartTagPr>
          <w:attr w:name="ProductID" w:val="3 a"/>
        </w:smartTagPr>
        <w:r w:rsidRPr="002C224A">
          <w:t>3 a</w:t>
        </w:r>
      </w:smartTag>
      <w:r w:rsidRPr="002C224A">
        <w:t xml:space="preserve"> 4. Následující tabulka poskytuje podrobný přehled specifických cílů OP PIK z hlediska předpokladů řídícího orgánu o aplikovatelnosti finančních nástrojů na základě výsledků screeningu.</w:t>
      </w:r>
    </w:p>
    <w:p w:rsidR="00BD7C52" w:rsidRPr="002C224A" w:rsidRDefault="00BD7C52" w:rsidP="008074B1"/>
    <w:p w:rsidR="006D67F1" w:rsidRPr="002C224A" w:rsidRDefault="007834DB" w:rsidP="00BD7C52">
      <w:pPr>
        <w:pStyle w:val="Titulek"/>
      </w:pPr>
      <w:r w:rsidRPr="002C224A">
        <w:t>Tabulka</w:t>
      </w:r>
      <w:r w:rsidR="00BD7C52" w:rsidRPr="002C224A">
        <w:t xml:space="preserve"> 2: specifické cíle OP PIK – aplikovatelnost FN na základě screeningu</w:t>
      </w:r>
    </w:p>
    <w:tbl>
      <w:tblPr>
        <w:tblW w:w="9238" w:type="dxa"/>
        <w:tblLayout w:type="fixed"/>
        <w:tblLook w:val="00A0" w:firstRow="1" w:lastRow="0" w:firstColumn="1" w:lastColumn="0" w:noHBand="0" w:noVBand="0"/>
      </w:tblPr>
      <w:tblGrid>
        <w:gridCol w:w="1701"/>
        <w:gridCol w:w="1843"/>
        <w:gridCol w:w="1985"/>
        <w:gridCol w:w="3709"/>
      </w:tblGrid>
      <w:tr w:rsidR="006D67F1" w:rsidRPr="002C224A" w:rsidTr="00EF4DC5">
        <w:trPr>
          <w:tblHeader/>
        </w:trPr>
        <w:tc>
          <w:tcPr>
            <w:tcW w:w="1701" w:type="dxa"/>
            <w:shd w:val="clear" w:color="auto" w:fill="4F81BD"/>
          </w:tcPr>
          <w:p w:rsidR="006D67F1" w:rsidRPr="00A50943" w:rsidRDefault="006D67F1" w:rsidP="00EF4DC5">
            <w:pPr>
              <w:spacing w:after="240"/>
              <w:rPr>
                <w:rFonts w:cs="Calibri"/>
                <w:b/>
                <w:color w:val="FFFFFF"/>
                <w:szCs w:val="22"/>
              </w:rPr>
            </w:pPr>
            <w:r w:rsidRPr="00A50943">
              <w:rPr>
                <w:rFonts w:cs="Calibri"/>
                <w:b/>
                <w:color w:val="FFFFFF"/>
                <w:szCs w:val="22"/>
              </w:rPr>
              <w:t>Prioritní osa OP PIK</w:t>
            </w:r>
          </w:p>
        </w:tc>
        <w:tc>
          <w:tcPr>
            <w:tcW w:w="1843" w:type="dxa"/>
            <w:shd w:val="clear" w:color="auto" w:fill="4F81BD"/>
          </w:tcPr>
          <w:p w:rsidR="006D67F1" w:rsidRPr="002C224A" w:rsidRDefault="006D67F1" w:rsidP="00EF4DC5">
            <w:pPr>
              <w:spacing w:after="240"/>
              <w:rPr>
                <w:rFonts w:cs="Calibri"/>
                <w:b/>
                <w:color w:val="FFFFFF"/>
                <w:szCs w:val="22"/>
              </w:rPr>
            </w:pPr>
            <w:r w:rsidRPr="002C224A">
              <w:rPr>
                <w:rFonts w:cs="Calibri"/>
                <w:b/>
                <w:color w:val="FFFFFF"/>
                <w:szCs w:val="22"/>
              </w:rPr>
              <w:t>Investiční priorita</w:t>
            </w:r>
          </w:p>
        </w:tc>
        <w:tc>
          <w:tcPr>
            <w:tcW w:w="1985" w:type="dxa"/>
            <w:shd w:val="clear" w:color="auto" w:fill="4F81BD"/>
          </w:tcPr>
          <w:p w:rsidR="006D67F1" w:rsidRPr="002C224A" w:rsidRDefault="006D67F1" w:rsidP="00EF4DC5">
            <w:pPr>
              <w:spacing w:after="240"/>
              <w:rPr>
                <w:rFonts w:cs="Calibri"/>
                <w:b/>
                <w:color w:val="FFFFFF"/>
                <w:szCs w:val="22"/>
              </w:rPr>
            </w:pPr>
            <w:r w:rsidRPr="002C224A">
              <w:rPr>
                <w:rFonts w:cs="Calibri"/>
                <w:b/>
                <w:color w:val="FFFFFF"/>
                <w:szCs w:val="22"/>
              </w:rPr>
              <w:t>Specifický cíl</w:t>
            </w:r>
          </w:p>
        </w:tc>
        <w:tc>
          <w:tcPr>
            <w:tcW w:w="3709" w:type="dxa"/>
            <w:shd w:val="clear" w:color="auto" w:fill="4F81BD"/>
          </w:tcPr>
          <w:p w:rsidR="006D67F1" w:rsidRPr="002C224A" w:rsidRDefault="006D67F1" w:rsidP="00EF4DC5">
            <w:pPr>
              <w:spacing w:after="240"/>
              <w:rPr>
                <w:rFonts w:cs="Calibri"/>
                <w:b/>
                <w:color w:val="FFFFFF"/>
                <w:szCs w:val="22"/>
              </w:rPr>
            </w:pPr>
            <w:r w:rsidRPr="002C224A">
              <w:rPr>
                <w:rFonts w:cs="Calibri"/>
                <w:b/>
                <w:color w:val="FFFFFF"/>
                <w:szCs w:val="22"/>
              </w:rPr>
              <w:t xml:space="preserve">Výsledek screeningu na základě analýzy intervenční logiky </w:t>
            </w:r>
          </w:p>
        </w:tc>
      </w:tr>
      <w:tr w:rsidR="006D67F1" w:rsidRPr="002C224A" w:rsidTr="00EF4DC5">
        <w:tc>
          <w:tcPr>
            <w:tcW w:w="1701" w:type="dxa"/>
            <w:vMerge w:val="restart"/>
          </w:tcPr>
          <w:p w:rsidR="006D67F1" w:rsidRPr="002C224A" w:rsidRDefault="006D67F1" w:rsidP="00EF4DC5">
            <w:pPr>
              <w:spacing w:after="240"/>
              <w:rPr>
                <w:rFonts w:cs="Calibri"/>
                <w:color w:val="222222"/>
                <w:szCs w:val="22"/>
              </w:rPr>
            </w:pPr>
            <w:r w:rsidRPr="002C224A">
              <w:rPr>
                <w:rFonts w:cs="Calibri"/>
                <w:color w:val="222222"/>
                <w:szCs w:val="22"/>
              </w:rPr>
              <w:t>PO 1: Rozvoj výzkumu a vývoje pro inovace</w:t>
            </w:r>
          </w:p>
        </w:tc>
        <w:tc>
          <w:tcPr>
            <w:tcW w:w="1843" w:type="dxa"/>
            <w:vMerge w:val="restart"/>
          </w:tcPr>
          <w:p w:rsidR="006D67F1" w:rsidRPr="002C224A" w:rsidRDefault="006D67F1" w:rsidP="00EF4DC5">
            <w:pPr>
              <w:spacing w:after="240"/>
              <w:rPr>
                <w:rFonts w:cs="Calibri"/>
                <w:color w:val="222222"/>
                <w:szCs w:val="22"/>
              </w:rPr>
            </w:pPr>
            <w:r w:rsidRPr="002C224A">
              <w:rPr>
                <w:rFonts w:cs="Calibri"/>
                <w:color w:val="222222"/>
                <w:szCs w:val="22"/>
              </w:rPr>
              <w:t>Podpora podnikových investic do výzkumu a inovací a vytváření vazeb a součinnosti mezi podniky, středisky výzkumu a vývoje a odvětvím vysokoškolského vzdělávání</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SC 1.1: Zvýšit inovační výkonnost podniků</w:t>
            </w:r>
          </w:p>
        </w:tc>
        <w:tc>
          <w:tcPr>
            <w:tcW w:w="3709" w:type="dxa"/>
            <w:vMerge w:val="restart"/>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zvažuje využití finančních nástrojů v této investiční prioritě</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vMerge/>
          </w:tcPr>
          <w:p w:rsidR="006D67F1" w:rsidRPr="002C224A" w:rsidRDefault="006D67F1" w:rsidP="00EF4DC5">
            <w:pPr>
              <w:spacing w:after="240"/>
              <w:rPr>
                <w:rFonts w:cs="Calibri"/>
                <w:color w:val="222222"/>
                <w:szCs w:val="22"/>
              </w:rPr>
            </w:pP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SC 1.2: Zvýšit intenzitu a účinnost spolupráce ve výzkumu, vývoji a inovacích</w:t>
            </w:r>
          </w:p>
        </w:tc>
        <w:tc>
          <w:tcPr>
            <w:tcW w:w="3709" w:type="dxa"/>
            <w:vMerge/>
          </w:tcPr>
          <w:p w:rsidR="006D67F1" w:rsidRPr="002C224A" w:rsidRDefault="006D67F1" w:rsidP="00EF4DC5">
            <w:pPr>
              <w:spacing w:after="240"/>
              <w:rPr>
                <w:rFonts w:cs="Calibri"/>
                <w:color w:val="222222"/>
                <w:szCs w:val="22"/>
              </w:rPr>
            </w:pPr>
          </w:p>
        </w:tc>
      </w:tr>
      <w:tr w:rsidR="006D67F1" w:rsidRPr="002C224A" w:rsidTr="00EF4DC5">
        <w:trPr>
          <w:trHeight w:val="586"/>
        </w:trPr>
        <w:tc>
          <w:tcPr>
            <w:tcW w:w="1701" w:type="dxa"/>
            <w:vMerge w:val="restart"/>
          </w:tcPr>
          <w:p w:rsidR="006D67F1" w:rsidRPr="002C224A" w:rsidRDefault="006D67F1" w:rsidP="00EF4DC5">
            <w:pPr>
              <w:spacing w:after="240"/>
              <w:rPr>
                <w:rFonts w:cs="Calibri"/>
                <w:color w:val="222222"/>
                <w:szCs w:val="22"/>
              </w:rPr>
            </w:pPr>
            <w:r w:rsidRPr="002C224A">
              <w:rPr>
                <w:rFonts w:cs="Calibri"/>
                <w:color w:val="222222"/>
                <w:szCs w:val="22"/>
              </w:rPr>
              <w:t>PO 2: Rozvoj podnikání a konkurenceschopnosti malých a středních podniků</w:t>
            </w:r>
          </w:p>
        </w:tc>
        <w:tc>
          <w:tcPr>
            <w:tcW w:w="1843" w:type="dxa"/>
          </w:tcPr>
          <w:p w:rsidR="006D67F1" w:rsidRPr="002C224A" w:rsidRDefault="006D67F1" w:rsidP="00EF4DC5">
            <w:pPr>
              <w:spacing w:after="240"/>
              <w:rPr>
                <w:rFonts w:cs="Calibri"/>
                <w:color w:val="222222"/>
                <w:szCs w:val="22"/>
              </w:rPr>
            </w:pPr>
            <w:r w:rsidRPr="002C224A">
              <w:rPr>
                <w:rFonts w:cs="Calibri"/>
                <w:color w:val="222222"/>
                <w:szCs w:val="22"/>
              </w:rPr>
              <w:t>Podpora podnikání, zejména usnadněním hospodářského využívání nových myšlenek a podporou zakládání nových firem,</w:t>
            </w:r>
            <w:r w:rsidR="00191448" w:rsidRPr="002C224A">
              <w:rPr>
                <w:rFonts w:cs="Calibri"/>
                <w:color w:val="222222"/>
                <w:szCs w:val="22"/>
              </w:rPr>
              <w:t xml:space="preserve"> </w:t>
            </w:r>
            <w:r w:rsidRPr="002C224A">
              <w:rPr>
                <w:rFonts w:cs="Calibri"/>
                <w:color w:val="222222"/>
                <w:szCs w:val="22"/>
              </w:rPr>
              <w:t>mimo jiné prostřednictvím podnikatelských inkubátorů</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SC 2.1: Zvýšit konkurenceschopnost začínajících a rozvojových MSP</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ANO</w:t>
            </w:r>
          </w:p>
          <w:p w:rsidR="006D67F1" w:rsidRPr="002C224A" w:rsidRDefault="006D67F1" w:rsidP="00EF4DC5">
            <w:pPr>
              <w:spacing w:after="240"/>
              <w:rPr>
                <w:rFonts w:cs="Calibri"/>
                <w:color w:val="222222"/>
                <w:szCs w:val="22"/>
              </w:rPr>
            </w:pPr>
            <w:r w:rsidRPr="002C224A">
              <w:rPr>
                <w:rFonts w:cs="Calibri"/>
                <w:color w:val="222222"/>
                <w:szCs w:val="22"/>
              </w:rPr>
              <w:t>Řídící orgán předpokládá využití finančních nástrojů v této investiční prioritě.</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Vyvíjení a provádění nových obchodních modelů pro MSP, zejména pro oblast mezinárodního obchodu</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2.2: </w:t>
            </w:r>
            <w:r w:rsidRPr="002C224A">
              <w:t>Zvýšit internacionalizaci malých a středních podniků</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 xml:space="preserve">Produktivní činnost (investiční projekty) – NE </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NE</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nepředpokládá využití finančních nástrojů v této investiční prioritě, podpůrné poradenské služby  však bude vhodné provázat s finančními nástroji pro MSP ve specifickém cíli 2.1.</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vMerge w:val="restart"/>
          </w:tcPr>
          <w:p w:rsidR="006D67F1" w:rsidRPr="002C224A" w:rsidRDefault="006D67F1" w:rsidP="00EF4DC5">
            <w:pPr>
              <w:spacing w:after="240"/>
              <w:rPr>
                <w:rFonts w:cs="Calibri"/>
                <w:color w:val="222222"/>
                <w:szCs w:val="22"/>
              </w:rPr>
            </w:pPr>
            <w:r w:rsidRPr="002C224A">
              <w:t>Podpora vytváření a rozšiřování vyspělých kapacit pro rozvoj produktů a služeb</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SC 2.3: Zvýšit využitelnost infrastruktury pro podnikání</w:t>
            </w:r>
          </w:p>
        </w:tc>
        <w:tc>
          <w:tcPr>
            <w:tcW w:w="3709" w:type="dxa"/>
            <w:vMerge w:val="restart"/>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 (pouze SC 2.3)</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předpokládá využití finančních nástrojů v této investiční prioritě v rámci specifického cíle 2.3.</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vMerge/>
          </w:tcPr>
          <w:p w:rsidR="006D67F1" w:rsidRPr="002C224A" w:rsidRDefault="006D67F1" w:rsidP="00EF4DC5">
            <w:pPr>
              <w:spacing w:after="240"/>
              <w:rPr>
                <w:rFonts w:cs="Calibri"/>
                <w:color w:val="222222"/>
                <w:szCs w:val="22"/>
              </w:rPr>
            </w:pP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2.4: </w:t>
            </w:r>
            <w:r w:rsidRPr="002C224A">
              <w:t>Zvýšit kapacitu pro odborné vzdělávání v MSP</w:t>
            </w:r>
          </w:p>
        </w:tc>
        <w:tc>
          <w:tcPr>
            <w:tcW w:w="3709" w:type="dxa"/>
            <w:vMerge/>
          </w:tcPr>
          <w:p w:rsidR="006D67F1" w:rsidRPr="002C224A" w:rsidRDefault="006D67F1" w:rsidP="00EF4DC5">
            <w:pPr>
              <w:spacing w:after="240"/>
              <w:rPr>
                <w:rFonts w:cs="Calibri"/>
                <w:color w:val="222222"/>
                <w:szCs w:val="22"/>
              </w:rPr>
            </w:pPr>
          </w:p>
        </w:tc>
      </w:tr>
      <w:tr w:rsidR="006D67F1" w:rsidRPr="002C224A" w:rsidTr="00EF4DC5">
        <w:tc>
          <w:tcPr>
            <w:tcW w:w="1701" w:type="dxa"/>
            <w:vMerge w:val="restart"/>
          </w:tcPr>
          <w:p w:rsidR="006D67F1" w:rsidRPr="002C224A" w:rsidRDefault="006D67F1" w:rsidP="00EF4DC5">
            <w:pPr>
              <w:spacing w:after="240"/>
              <w:rPr>
                <w:rFonts w:cs="Calibri"/>
                <w:color w:val="222222"/>
                <w:szCs w:val="22"/>
              </w:rPr>
            </w:pPr>
            <w:r w:rsidRPr="002C224A">
              <w:rPr>
                <w:rFonts w:cs="Calibri"/>
                <w:color w:val="222222"/>
                <w:szCs w:val="22"/>
              </w:rPr>
              <w:t xml:space="preserve">PO 3: Účinné nakládání energií, rozvoj energetické infrastruktury a </w:t>
            </w:r>
            <w:r w:rsidRPr="002C224A">
              <w:rPr>
                <w:rFonts w:cs="Calibri"/>
                <w:color w:val="222222"/>
                <w:szCs w:val="22"/>
              </w:rPr>
              <w:lastRenderedPageBreak/>
              <w:t>obnovitelných zdrojů energie, podpora zavádění nových technologií v oblasti nakládání energií a druhotných surovin</w:t>
            </w:r>
          </w:p>
        </w:tc>
        <w:tc>
          <w:tcPr>
            <w:tcW w:w="1843" w:type="dxa"/>
          </w:tcPr>
          <w:p w:rsidR="006D67F1" w:rsidRPr="002C224A" w:rsidRDefault="006D67F1" w:rsidP="00EF4DC5">
            <w:pPr>
              <w:spacing w:after="240"/>
              <w:rPr>
                <w:rFonts w:cs="Calibri"/>
                <w:color w:val="222222"/>
                <w:szCs w:val="22"/>
              </w:rPr>
            </w:pPr>
            <w:r w:rsidRPr="002C224A">
              <w:lastRenderedPageBreak/>
              <w:t>Podpora výroby a distribuce energie pocházející z obnovitelných zdrojů</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3.1: Zvýšit podíl výroby energie z obnovitelných zdrojů na hrubé </w:t>
            </w:r>
            <w:r w:rsidRPr="002C224A">
              <w:rPr>
                <w:rFonts w:cs="Calibri"/>
                <w:color w:val="222222"/>
                <w:szCs w:val="22"/>
              </w:rPr>
              <w:lastRenderedPageBreak/>
              <w:t>konečné spotřebě ČR</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lastRenderedPageBreak/>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w:t>
            </w:r>
          </w:p>
          <w:p w:rsidR="006D67F1" w:rsidRPr="002C224A" w:rsidRDefault="006D67F1" w:rsidP="00EF4DC5">
            <w:pPr>
              <w:spacing w:after="240"/>
              <w:rPr>
                <w:rFonts w:cs="Calibri"/>
                <w:color w:val="222222"/>
                <w:szCs w:val="22"/>
              </w:rPr>
            </w:pPr>
            <w:r w:rsidRPr="002C224A">
              <w:rPr>
                <w:rFonts w:cs="Calibri"/>
                <w:color w:val="222222"/>
                <w:szCs w:val="22"/>
              </w:rPr>
              <w:lastRenderedPageBreak/>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zvažuje využití finančních nástrojů v této investiční prioritě.</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Podpora energetické účinnosti a využívání energie z obnovitelných zdrojů v podnicích</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SC 3.2: Zvýšit energetickou účinnost podnikatelského sektoru</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 (nicméně již v OPPI 2007-2013 byl uveden předpoklad spuštění finančního nástroje a je k dispozici řada best practice příkladů finančních nástrojů v této oblasti)</w:t>
            </w:r>
          </w:p>
          <w:p w:rsidR="006D67F1" w:rsidRPr="002C224A" w:rsidRDefault="006D67F1" w:rsidP="00EF4DC5">
            <w:pPr>
              <w:spacing w:after="240"/>
              <w:rPr>
                <w:rFonts w:cs="Calibri"/>
                <w:color w:val="222222"/>
                <w:szCs w:val="22"/>
              </w:rPr>
            </w:pPr>
            <w:r w:rsidRPr="002C224A">
              <w:rPr>
                <w:rFonts w:cs="Calibri"/>
                <w:color w:val="222222"/>
                <w:szCs w:val="22"/>
              </w:rPr>
              <w:t>Řídící orgán předpokládá využití finančních nástrojů v této investiční prioritě.</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Rozvoj a zavádění inteligentních distribučních soustav, jež fungují na hladině nízkého a středního napětí</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3.3: </w:t>
            </w:r>
            <w:r w:rsidRPr="002C224A">
              <w:t>Zvýšit aplikaci prvků inteligentních sítí v distribučních soustavách</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NE</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lastRenderedPageBreak/>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nepředpokládá využití finančních nástrojů v této investiční prioritě. Jde o projekty, jejichž cílem je primárně zvýšení</w:t>
            </w:r>
            <w:r w:rsidR="00044EE7" w:rsidRPr="002C224A">
              <w:rPr>
                <w:rFonts w:cs="Calibri"/>
                <w:color w:val="222222"/>
                <w:szCs w:val="22"/>
              </w:rPr>
              <w:t xml:space="preserve"> </w:t>
            </w:r>
            <w:r w:rsidRPr="002C224A">
              <w:rPr>
                <w:rFonts w:cs="Calibri"/>
                <w:color w:val="222222"/>
                <w:szCs w:val="22"/>
              </w:rPr>
              <w:t>spolehlivosti, bezpečnosti a udržitelnosti dodávek elektřiny, nikoliv realizace cash flow a přímých výnosů.</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 xml:space="preserve">Podpora výzkumu a inovací a zavádění nízkouhlíkových technologií </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3.4: </w:t>
            </w:r>
            <w:r w:rsidRPr="002C224A">
              <w:t>Uplatnit inovativní nízkouhlíkové technologie v oblasti nakládání energií a při využívání druhotných surovin</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NE</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nepředpokládá využití finančních nástrojů v této investiční prioritě. Jde o projekty, jejichž cílem je primárně přispět k vyššímu rozšíření high-end technologií, nikoliv realizace cash flow a přímých výnosů.</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Podpora využívání vysoce účinné kombinované výroby tepla a elektřiny na základě poptávky po užitečném teple</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SC 3.5: Zvýšit účinnost soustav zásobování teplem</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lastRenderedPageBreak/>
              <w:t>Dosavadní zkušenosti v ČR s aplikací finančního nástroje v dané oblasti – NE (nicméně již v OPPI 2007-2013 byl uveden předpoklad spuštění finančního nástroje v oblasti úspory energie)</w:t>
            </w:r>
          </w:p>
          <w:p w:rsidR="006D67F1" w:rsidRPr="002C224A" w:rsidRDefault="006D67F1" w:rsidP="00EF4DC5">
            <w:pPr>
              <w:spacing w:after="240"/>
              <w:rPr>
                <w:rFonts w:cs="Calibri"/>
                <w:color w:val="222222"/>
                <w:szCs w:val="22"/>
              </w:rPr>
            </w:pPr>
            <w:r w:rsidRPr="002C224A">
              <w:rPr>
                <w:rFonts w:cs="Calibri"/>
                <w:color w:val="222222"/>
                <w:szCs w:val="22"/>
              </w:rPr>
              <w:t>Řídící orgán předpokládá využití finančních nástrojů v této investiční prioritě. Specifický cíl zahrnuje projekty, které se ekonomickou logikou blíží projektům specifického cíle 3.2, jsou tedy typicky spojeny s úsporou energie a generují tak cash flow pro příjemce.</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Zvyšování energetické účinnosti a zabezpečení dodávek prostřednictvím rozvoje inteligentních systémů pro distribuci, skladování a přenos energie a prostřednictvím integrace distribuované výroby z obnovitelných zdrojů</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3.6: </w:t>
            </w:r>
            <w:r w:rsidRPr="002C224A">
              <w:t>Posílit energetickou bezpečnost přenosové soustavy</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NE</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nepředpokládá využití finančních nástrojů v této investiční prioritě. Jde o projekty, jejichž cílem je primárně zvýšení spolehlivosti, bezpečnosti a udržitelnosti dodávek elektřiny, nikoliv realizace cash flow a přímých výnosů.</w:t>
            </w:r>
          </w:p>
        </w:tc>
      </w:tr>
      <w:tr w:rsidR="006D67F1" w:rsidRPr="002C224A" w:rsidTr="00EF4DC5">
        <w:tc>
          <w:tcPr>
            <w:tcW w:w="1701" w:type="dxa"/>
            <w:vMerge w:val="restart"/>
          </w:tcPr>
          <w:p w:rsidR="006D67F1" w:rsidRPr="002C224A" w:rsidRDefault="006D67F1" w:rsidP="00EF4DC5">
            <w:pPr>
              <w:spacing w:after="240"/>
              <w:rPr>
                <w:rFonts w:cs="Calibri"/>
                <w:color w:val="222222"/>
                <w:szCs w:val="22"/>
              </w:rPr>
            </w:pPr>
            <w:r w:rsidRPr="002C224A">
              <w:rPr>
                <w:rFonts w:cs="Calibri"/>
                <w:color w:val="222222"/>
                <w:szCs w:val="22"/>
              </w:rPr>
              <w:t>PO 4: Rozvoj vysokorychlostních přístupových sítí k internetu a informačních a komunikačních technologií</w:t>
            </w:r>
          </w:p>
        </w:tc>
        <w:tc>
          <w:tcPr>
            <w:tcW w:w="1843" w:type="dxa"/>
          </w:tcPr>
          <w:p w:rsidR="006D67F1" w:rsidRPr="002C224A" w:rsidRDefault="006D67F1" w:rsidP="00EF4DC5">
            <w:pPr>
              <w:spacing w:after="240"/>
              <w:rPr>
                <w:rFonts w:cs="Calibri"/>
                <w:color w:val="222222"/>
                <w:szCs w:val="22"/>
              </w:rPr>
            </w:pPr>
            <w:r w:rsidRPr="002C224A">
              <w:t xml:space="preserve">Rozšiřování širokopásmového připojení a zavádění vysokorychlostních sítí a podpora zavádění vznikajících technologií a sítí </w:t>
            </w:r>
            <w:r w:rsidRPr="002C224A">
              <w:lastRenderedPageBreak/>
              <w:t>pro digitální hospodářství</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lastRenderedPageBreak/>
              <w:t>SC 4.1: Zvětšit pokrytí vysokorychlostním přístupem k internetu</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 (resp. je nutné tento aspekt detailněji zanalyzovat, neboť podpora se týká zejména tzv. bílých míst)</w:t>
            </w:r>
          </w:p>
          <w:p w:rsidR="006D67F1" w:rsidRPr="002C224A" w:rsidRDefault="006D67F1" w:rsidP="00EF4DC5">
            <w:pPr>
              <w:spacing w:after="240"/>
              <w:rPr>
                <w:rFonts w:cs="Calibri"/>
                <w:color w:val="222222"/>
                <w:szCs w:val="22"/>
              </w:rPr>
            </w:pPr>
            <w:r w:rsidRPr="002C224A">
              <w:rPr>
                <w:rFonts w:cs="Calibri"/>
                <w:color w:val="222222"/>
                <w:szCs w:val="22"/>
              </w:rPr>
              <w:lastRenderedPageBreak/>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Řídící orgán zváží využití finančních nástrojů v této investiční prioritě. Zejména bude nutné zjistit přidanou hodnotu a udržitelnost financování projektů prostřednictvím finančních nástrojů, neboť v případě bílých míst jde o budování infrastruktury, kde cílem je zajištění dostupnosti internetové konektivity z hlediska občanské vybavenosti, nikoliv ekonomický potenciál (jde o místa, kde by bez podpory pravděpodobně v příštích třech letech nebyl realizován žádný projekt).</w:t>
            </w:r>
          </w:p>
        </w:tc>
      </w:tr>
      <w:tr w:rsidR="006D67F1" w:rsidRPr="002C224A" w:rsidTr="00EF4DC5">
        <w:tc>
          <w:tcPr>
            <w:tcW w:w="1701" w:type="dxa"/>
            <w:vMerge/>
          </w:tcPr>
          <w:p w:rsidR="006D67F1" w:rsidRPr="002C224A" w:rsidRDefault="006D67F1" w:rsidP="00EF4DC5">
            <w:pPr>
              <w:spacing w:after="240"/>
              <w:rPr>
                <w:rFonts w:cs="Calibri"/>
                <w:color w:val="222222"/>
                <w:szCs w:val="22"/>
              </w:rPr>
            </w:pPr>
          </w:p>
        </w:tc>
        <w:tc>
          <w:tcPr>
            <w:tcW w:w="1843" w:type="dxa"/>
          </w:tcPr>
          <w:p w:rsidR="006D67F1" w:rsidRPr="002C224A" w:rsidRDefault="006D67F1" w:rsidP="00EF4DC5">
            <w:pPr>
              <w:spacing w:after="240"/>
              <w:rPr>
                <w:rFonts w:cs="Calibri"/>
                <w:color w:val="222222"/>
                <w:szCs w:val="22"/>
              </w:rPr>
            </w:pPr>
            <w:r w:rsidRPr="002C224A">
              <w:t>Vyvíjení produktů a služeb v oblasti IKT, elektronický obchod a zvyšování poptávky po IKT</w:t>
            </w:r>
          </w:p>
        </w:tc>
        <w:tc>
          <w:tcPr>
            <w:tcW w:w="1985" w:type="dxa"/>
          </w:tcPr>
          <w:p w:rsidR="006D67F1" w:rsidRPr="002C224A" w:rsidRDefault="006D67F1" w:rsidP="00EF4DC5">
            <w:pPr>
              <w:spacing w:after="240"/>
              <w:rPr>
                <w:rFonts w:cs="Calibri"/>
                <w:color w:val="222222"/>
                <w:szCs w:val="22"/>
              </w:rPr>
            </w:pPr>
            <w:r w:rsidRPr="002C224A">
              <w:rPr>
                <w:rFonts w:cs="Calibri"/>
                <w:color w:val="222222"/>
                <w:szCs w:val="22"/>
              </w:rPr>
              <w:t xml:space="preserve">SC 4.2: </w:t>
            </w:r>
            <w:r w:rsidRPr="002C224A">
              <w:t>Zvýšit využití potenciálu ICT sektoru pro konkurenceschopnost ekonomiky</w:t>
            </w:r>
          </w:p>
        </w:tc>
        <w:tc>
          <w:tcPr>
            <w:tcW w:w="3709" w:type="dxa"/>
          </w:tcPr>
          <w:p w:rsidR="006D67F1" w:rsidRPr="002C224A" w:rsidRDefault="006D67F1" w:rsidP="00EF4DC5">
            <w:pPr>
              <w:spacing w:after="240"/>
              <w:rPr>
                <w:rFonts w:cs="Calibri"/>
                <w:color w:val="222222"/>
                <w:szCs w:val="22"/>
              </w:rPr>
            </w:pPr>
            <w:r w:rsidRPr="002C224A">
              <w:rPr>
                <w:rFonts w:cs="Calibri"/>
                <w:color w:val="222222"/>
                <w:szCs w:val="22"/>
              </w:rPr>
              <w:t>Produktivní činnost (investiční projekty) – ANO/NE (záleží na konkrétním projektu)</w:t>
            </w:r>
          </w:p>
          <w:p w:rsidR="006D67F1" w:rsidRPr="002C224A" w:rsidRDefault="006D67F1" w:rsidP="00EF4DC5">
            <w:pPr>
              <w:spacing w:after="240"/>
              <w:rPr>
                <w:rFonts w:cs="Calibri"/>
                <w:color w:val="222222"/>
                <w:szCs w:val="22"/>
              </w:rPr>
            </w:pPr>
            <w:r w:rsidRPr="002C224A">
              <w:rPr>
                <w:rFonts w:cs="Calibri"/>
                <w:color w:val="222222"/>
                <w:szCs w:val="22"/>
              </w:rPr>
              <w:t>Předpoklad dostatečného cash flow typových projektů – ANO/NE (záleží na konkrétním projektu)</w:t>
            </w:r>
          </w:p>
          <w:p w:rsidR="006D67F1" w:rsidRPr="002C224A" w:rsidRDefault="006D67F1" w:rsidP="00EF4DC5">
            <w:pPr>
              <w:spacing w:after="240"/>
              <w:rPr>
                <w:rFonts w:cs="Calibri"/>
                <w:color w:val="222222"/>
                <w:szCs w:val="22"/>
              </w:rPr>
            </w:pPr>
            <w:r w:rsidRPr="002C224A">
              <w:rPr>
                <w:rFonts w:cs="Calibri"/>
                <w:color w:val="222222"/>
                <w:szCs w:val="22"/>
              </w:rPr>
              <w:t>Možnost zapojení dodatečných soukromých nebo veřejných zdrojů – ANO</w:t>
            </w:r>
          </w:p>
          <w:p w:rsidR="006D67F1" w:rsidRPr="002C224A" w:rsidRDefault="006D67F1" w:rsidP="00EF4DC5">
            <w:pPr>
              <w:spacing w:after="240"/>
              <w:rPr>
                <w:rFonts w:cs="Calibri"/>
                <w:color w:val="222222"/>
                <w:szCs w:val="22"/>
              </w:rPr>
            </w:pPr>
            <w:r w:rsidRPr="002C224A">
              <w:rPr>
                <w:rFonts w:cs="Calibri"/>
                <w:color w:val="222222"/>
                <w:szCs w:val="22"/>
              </w:rPr>
              <w:t>Předpoklad ztížené dostupnosti komerčního financování – ANO</w:t>
            </w:r>
          </w:p>
          <w:p w:rsidR="006D67F1" w:rsidRPr="002C224A" w:rsidRDefault="006D67F1" w:rsidP="00EF4DC5">
            <w:pPr>
              <w:spacing w:after="240"/>
              <w:rPr>
                <w:rFonts w:cs="Calibri"/>
                <w:color w:val="222222"/>
                <w:szCs w:val="22"/>
              </w:rPr>
            </w:pPr>
            <w:r w:rsidRPr="002C224A">
              <w:rPr>
                <w:rFonts w:cs="Calibri"/>
                <w:color w:val="222222"/>
                <w:szCs w:val="22"/>
              </w:rPr>
              <w:t>Dosavadní zkušenosti v ČR s aplikací finančního nástroje v dané oblasti – NE</w:t>
            </w:r>
          </w:p>
          <w:p w:rsidR="006D67F1" w:rsidRPr="002C224A" w:rsidRDefault="006D67F1" w:rsidP="00EF4DC5">
            <w:pPr>
              <w:spacing w:after="240"/>
              <w:rPr>
                <w:rFonts w:cs="Calibri"/>
                <w:color w:val="222222"/>
                <w:szCs w:val="22"/>
              </w:rPr>
            </w:pPr>
            <w:r w:rsidRPr="002C224A">
              <w:rPr>
                <w:rFonts w:cs="Calibri"/>
                <w:color w:val="222222"/>
                <w:szCs w:val="22"/>
              </w:rPr>
              <w:t xml:space="preserve">Řídící orgán nepředpokládá využití finančních nástrojů v této investiční prioritě. Podporovány jsou zejména projekty vývoje software a center sdílených služeb, které jsou velmi různorodé z hlediska ekonomického potenciálu a cílů. V případě potenciálu </w:t>
            </w:r>
            <w:r w:rsidRPr="002C224A">
              <w:rPr>
                <w:rFonts w:cs="Calibri"/>
                <w:color w:val="222222"/>
                <w:szCs w:val="22"/>
              </w:rPr>
              <w:lastRenderedPageBreak/>
              <w:t>zafinancování rizikovým kapitálem (zejména projekty vývoje software startupových společností) může být projekt podpořen v SC 2.1, který je předmětem předběžného posouzení FN. Pokud je primárním cílem projektu energetická účinnost (např. energeticky úsporná opatření serverhousů), může být podpořen z SC 3.2, který je rovněž předmětem předběžného posouzení FN.</w:t>
            </w:r>
          </w:p>
        </w:tc>
      </w:tr>
    </w:tbl>
    <w:p w:rsidR="006D67F1" w:rsidRPr="002C224A" w:rsidRDefault="006D67F1" w:rsidP="008074B1"/>
    <w:p w:rsidR="006D67F1" w:rsidRPr="002C224A" w:rsidRDefault="006D67F1" w:rsidP="008074B1">
      <w:pPr>
        <w:rPr>
          <w:b/>
        </w:rPr>
      </w:pPr>
      <w:r w:rsidRPr="002C224A">
        <w:rPr>
          <w:b/>
        </w:rPr>
        <w:t>Předběžné posouzení finančních nástrojů OP PIK se dále detailně věnuje pouze specifickým cílům OP</w:t>
      </w:r>
      <w:r w:rsidR="002D09B7" w:rsidRPr="002C224A">
        <w:rPr>
          <w:b/>
        </w:rPr>
        <w:t xml:space="preserve"> </w:t>
      </w:r>
      <w:r w:rsidRPr="002C224A">
        <w:rPr>
          <w:b/>
        </w:rPr>
        <w:t xml:space="preserve">PIK odpovídajících investičním prioritám, u kterých je v operačním programu uvedeno, že v nich řídící orgán předpokládá nebo zvažuje využití finančních nástrojů, tedy ve specifických cílech 1.1, 1.2, 2.1, 2.3, 3.1, 3.2, </w:t>
      </w:r>
      <w:smartTag w:uri="urn:schemas-microsoft-com:office:smarttags" w:element="metricconverter">
        <w:smartTagPr>
          <w:attr w:name="ProductID" w:val="3.5 a"/>
        </w:smartTagPr>
        <w:r w:rsidRPr="002C224A">
          <w:rPr>
            <w:b/>
          </w:rPr>
          <w:t>3.5 a</w:t>
        </w:r>
      </w:smartTag>
      <w:r w:rsidRPr="002C224A">
        <w:rPr>
          <w:b/>
        </w:rPr>
        <w:t xml:space="preserve"> 4.1.</w:t>
      </w:r>
    </w:p>
    <w:p w:rsidR="006D67F1" w:rsidRPr="002C224A" w:rsidRDefault="006D67F1" w:rsidP="008074B1">
      <w:pPr>
        <w:pStyle w:val="Nadpis2"/>
        <w:rPr>
          <w:rFonts w:ascii="Calibri" w:hAnsi="Calibri"/>
          <w:b w:val="0"/>
          <w:bCs w:val="0"/>
        </w:rPr>
      </w:pPr>
      <w:bookmarkStart w:id="14" w:name="_Toc421534271"/>
      <w:r w:rsidRPr="002C224A">
        <w:rPr>
          <w:rFonts w:ascii="Calibri" w:hAnsi="Calibri"/>
        </w:rPr>
        <w:t>Metodický přístup ke zpracování předběžného posouzení finančních nástrojů</w:t>
      </w:r>
      <w:bookmarkEnd w:id="14"/>
    </w:p>
    <w:p w:rsidR="006D67F1" w:rsidRPr="002C224A" w:rsidRDefault="006D67F1" w:rsidP="008074B1">
      <w:pPr>
        <w:spacing w:after="240"/>
        <w:rPr>
          <w:rFonts w:cs="Calibri"/>
          <w:color w:val="222222"/>
          <w:szCs w:val="22"/>
        </w:rPr>
      </w:pPr>
      <w:r w:rsidRPr="00A50943">
        <w:rPr>
          <w:rFonts w:cs="Calibri"/>
          <w:color w:val="222222"/>
          <w:szCs w:val="22"/>
        </w:rPr>
        <w:t xml:space="preserve">Předběžné posouzení FN OP PIK probíhá ve </w:t>
      </w:r>
      <w:r w:rsidRPr="002C224A">
        <w:rPr>
          <w:rFonts w:cs="Calibri"/>
          <w:color w:val="222222"/>
          <w:szCs w:val="22"/>
        </w:rPr>
        <w:t>dvou blocích a sedmi dílčích okruzích, které podrobněji definuje článek 37 odst. 2 písm. a) až f) Obecného nařízení:</w:t>
      </w:r>
    </w:p>
    <w:p w:rsidR="006D67F1" w:rsidRPr="002C224A" w:rsidRDefault="006D67F1" w:rsidP="008074B1">
      <w:pPr>
        <w:spacing w:after="240"/>
        <w:rPr>
          <w:rFonts w:cs="Calibri"/>
          <w:b/>
          <w:color w:val="222222"/>
          <w:szCs w:val="22"/>
        </w:rPr>
      </w:pPr>
      <w:r w:rsidRPr="002C224A">
        <w:rPr>
          <w:rFonts w:cs="Calibri"/>
          <w:b/>
          <w:color w:val="222222"/>
          <w:szCs w:val="22"/>
        </w:rPr>
        <w:t>Blok I.: Analýza tržní situace</w:t>
      </w:r>
    </w:p>
    <w:p w:rsidR="006D67F1" w:rsidRPr="002C224A" w:rsidRDefault="006D67F1" w:rsidP="008074B1">
      <w:pPr>
        <w:spacing w:after="240"/>
        <w:rPr>
          <w:rFonts w:cs="Calibri"/>
          <w:color w:val="222222"/>
          <w:szCs w:val="22"/>
        </w:rPr>
      </w:pPr>
      <w:r w:rsidRPr="002C224A">
        <w:rPr>
          <w:rFonts w:cs="Calibri"/>
          <w:color w:val="222222"/>
          <w:szCs w:val="22"/>
        </w:rPr>
        <w:t>a) analýza selhání trhu,</w:t>
      </w:r>
    </w:p>
    <w:p w:rsidR="006D67F1" w:rsidRPr="002C224A" w:rsidRDefault="006D67F1" w:rsidP="008074B1">
      <w:pPr>
        <w:spacing w:after="240"/>
        <w:rPr>
          <w:rFonts w:cs="Calibri"/>
          <w:color w:val="222222"/>
          <w:szCs w:val="22"/>
        </w:rPr>
      </w:pPr>
      <w:r w:rsidRPr="002C224A">
        <w:rPr>
          <w:rFonts w:cs="Calibri"/>
          <w:color w:val="222222"/>
          <w:szCs w:val="22"/>
        </w:rPr>
        <w:t>b) posouzení přidané hodnoty finančních nástrojů,</w:t>
      </w:r>
    </w:p>
    <w:p w:rsidR="006D67F1" w:rsidRPr="002C224A" w:rsidRDefault="006D67F1" w:rsidP="008074B1">
      <w:pPr>
        <w:spacing w:after="240"/>
        <w:rPr>
          <w:rFonts w:cs="Calibri"/>
          <w:color w:val="222222"/>
          <w:szCs w:val="22"/>
        </w:rPr>
      </w:pPr>
      <w:r w:rsidRPr="002C224A">
        <w:rPr>
          <w:rFonts w:cs="Calibri"/>
          <w:color w:val="222222"/>
          <w:szCs w:val="22"/>
        </w:rPr>
        <w:t>c) odhad dodatečných veřejných a soukromých zdrojů.</w:t>
      </w:r>
    </w:p>
    <w:p w:rsidR="006D67F1" w:rsidRPr="002C224A" w:rsidRDefault="006D67F1" w:rsidP="008074B1">
      <w:pPr>
        <w:spacing w:after="240"/>
        <w:rPr>
          <w:rFonts w:cs="Calibri"/>
          <w:b/>
          <w:color w:val="222222"/>
          <w:szCs w:val="22"/>
        </w:rPr>
      </w:pPr>
    </w:p>
    <w:p w:rsidR="006D67F1" w:rsidRPr="002C224A" w:rsidRDefault="006D67F1" w:rsidP="008074B1">
      <w:pPr>
        <w:spacing w:after="240"/>
        <w:rPr>
          <w:rFonts w:cs="Calibri"/>
          <w:b/>
          <w:color w:val="222222"/>
          <w:szCs w:val="22"/>
        </w:rPr>
      </w:pPr>
      <w:r w:rsidRPr="002C224A">
        <w:rPr>
          <w:rFonts w:cs="Calibri"/>
          <w:b/>
          <w:color w:val="222222"/>
          <w:szCs w:val="22"/>
        </w:rPr>
        <w:t>Blok II.: Návrh vhodné strategie</w:t>
      </w:r>
    </w:p>
    <w:p w:rsidR="006D67F1" w:rsidRPr="002C224A" w:rsidRDefault="006D67F1" w:rsidP="008074B1">
      <w:pPr>
        <w:spacing w:after="240"/>
        <w:rPr>
          <w:rFonts w:cs="Calibri"/>
          <w:color w:val="222222"/>
          <w:szCs w:val="22"/>
        </w:rPr>
      </w:pPr>
      <w:r w:rsidRPr="002C224A">
        <w:rPr>
          <w:rFonts w:cs="Calibri"/>
          <w:color w:val="222222"/>
          <w:szCs w:val="22"/>
        </w:rPr>
        <w:t>a) posouzení zkušeností získaných v minulosti,</w:t>
      </w:r>
    </w:p>
    <w:p w:rsidR="006D67F1" w:rsidRPr="002C224A" w:rsidRDefault="006D67F1" w:rsidP="008074B1">
      <w:pPr>
        <w:spacing w:after="240"/>
        <w:rPr>
          <w:rFonts w:cs="Calibri"/>
          <w:color w:val="222222"/>
          <w:szCs w:val="22"/>
        </w:rPr>
      </w:pPr>
      <w:r w:rsidRPr="002C224A">
        <w:rPr>
          <w:rFonts w:cs="Calibri"/>
          <w:color w:val="222222"/>
          <w:szCs w:val="22"/>
        </w:rPr>
        <w:t>b) navrhovaná investiční strategie,</w:t>
      </w:r>
    </w:p>
    <w:p w:rsidR="006D67F1" w:rsidRPr="002C224A" w:rsidRDefault="006D67F1" w:rsidP="008074B1">
      <w:pPr>
        <w:spacing w:after="240"/>
        <w:rPr>
          <w:rFonts w:cs="Calibri"/>
          <w:color w:val="222222"/>
          <w:szCs w:val="22"/>
        </w:rPr>
      </w:pPr>
      <w:r w:rsidRPr="002C224A">
        <w:rPr>
          <w:rFonts w:cs="Calibri"/>
          <w:color w:val="222222"/>
          <w:szCs w:val="22"/>
        </w:rPr>
        <w:t>c) očekávané výsledky,</w:t>
      </w:r>
    </w:p>
    <w:p w:rsidR="006D67F1" w:rsidRPr="002C224A" w:rsidRDefault="006D67F1" w:rsidP="008074B1">
      <w:pPr>
        <w:spacing w:after="240"/>
        <w:rPr>
          <w:rFonts w:cs="Calibri"/>
          <w:color w:val="222222"/>
          <w:szCs w:val="22"/>
        </w:rPr>
      </w:pPr>
      <w:r w:rsidRPr="002C224A">
        <w:rPr>
          <w:rFonts w:cs="Calibri"/>
          <w:color w:val="222222"/>
          <w:szCs w:val="22"/>
        </w:rPr>
        <w:t>d) přezkoumatelnost závěrů hodnocení.</w:t>
      </w:r>
    </w:p>
    <w:p w:rsidR="006D67F1" w:rsidRPr="002C224A" w:rsidRDefault="006D67F1" w:rsidP="008074B1">
      <w:pPr>
        <w:spacing w:after="240"/>
        <w:rPr>
          <w:rFonts w:cs="Calibri"/>
          <w:color w:val="222222"/>
          <w:szCs w:val="22"/>
        </w:rPr>
      </w:pPr>
    </w:p>
    <w:p w:rsidR="006D67F1" w:rsidRPr="002C224A" w:rsidRDefault="00AA7B28" w:rsidP="008074B1">
      <w:pPr>
        <w:spacing w:after="240"/>
        <w:rPr>
          <w:rFonts w:cs="Calibri"/>
          <w:color w:val="222222"/>
          <w:szCs w:val="22"/>
        </w:rPr>
      </w:pPr>
      <w:r w:rsidRPr="002C224A">
        <w:rPr>
          <w:rFonts w:cs="Calibri"/>
          <w:color w:val="222222"/>
          <w:szCs w:val="22"/>
        </w:rPr>
        <w:t xml:space="preserve">Rozdělení studie na dva bloky doporučuje Obecná metodika EK. </w:t>
      </w:r>
      <w:r w:rsidR="006D67F1" w:rsidRPr="002C224A">
        <w:rPr>
          <w:rFonts w:cs="Calibri"/>
          <w:color w:val="222222"/>
          <w:szCs w:val="22"/>
        </w:rPr>
        <w:t>Čl. 37 odst. 2 Obecného nařízení dále obsahuje ustanovení o přezkoumatelnosti závěrů předběžného posouzení FN:</w:t>
      </w:r>
    </w:p>
    <w:p w:rsidR="006D67F1" w:rsidRPr="002C224A" w:rsidRDefault="006D67F1" w:rsidP="008074B1">
      <w:pPr>
        <w:spacing w:after="240"/>
        <w:rPr>
          <w:rFonts w:cs="Calibri"/>
          <w:i/>
          <w:color w:val="222222"/>
          <w:szCs w:val="22"/>
        </w:rPr>
      </w:pPr>
      <w:r w:rsidRPr="002C224A">
        <w:rPr>
          <w:rFonts w:cs="Calibri"/>
          <w:i/>
          <w:color w:val="222222"/>
          <w:szCs w:val="22"/>
        </w:rPr>
        <w:lastRenderedPageBreak/>
        <w:t>g) ustanovení, jež podle potřeby umožní přezkoumat a aktualizovat předběžné posouzení během provádění jakéhokoli finančního nástroje, který byl použit na základě tohoto posouzení, pokud řídící orgán v prováděcí fázi usoudí, že předběžné posouzení již přesně nevystihuje aktuální podmínky na trhu v době provádění.</w:t>
      </w:r>
    </w:p>
    <w:p w:rsidR="006D67F1" w:rsidRPr="002C224A" w:rsidRDefault="006D67F1" w:rsidP="008074B1">
      <w:pPr>
        <w:spacing w:after="240"/>
        <w:rPr>
          <w:rFonts w:cs="Calibri"/>
          <w:color w:val="222222"/>
          <w:szCs w:val="22"/>
        </w:rPr>
      </w:pPr>
      <w:r w:rsidRPr="002C224A">
        <w:rPr>
          <w:rFonts w:cs="Calibri"/>
          <w:color w:val="222222"/>
          <w:szCs w:val="22"/>
        </w:rPr>
        <w:t>Následující odstavec 3 článku 37 Obecného nařízení pak stanoví procesní náležitosti související s předběžným posouzením FN:</w:t>
      </w:r>
    </w:p>
    <w:p w:rsidR="006D67F1" w:rsidRPr="002C224A" w:rsidRDefault="006D67F1" w:rsidP="008074B1">
      <w:pPr>
        <w:spacing w:after="240"/>
        <w:rPr>
          <w:rFonts w:cs="Calibri"/>
          <w:i/>
          <w:color w:val="222222"/>
          <w:szCs w:val="22"/>
        </w:rPr>
      </w:pPr>
      <w:r w:rsidRPr="002C224A">
        <w:rPr>
          <w:rFonts w:cs="Calibri"/>
          <w:i/>
          <w:color w:val="222222"/>
          <w:szCs w:val="22"/>
        </w:rPr>
        <w:t>3. Předběžné posouzení uvedené v odstavci 2 lze provádět postupně. Musí však být v každém případě dokončeno dříve, než řídící orgán rozhodne, že finanční nástroj obdrží příspěvek z programu.</w:t>
      </w:r>
    </w:p>
    <w:p w:rsidR="006D67F1" w:rsidRPr="002C224A" w:rsidRDefault="006D67F1" w:rsidP="008074B1">
      <w:pPr>
        <w:spacing w:after="240"/>
        <w:rPr>
          <w:rFonts w:cs="Calibri"/>
          <w:i/>
          <w:color w:val="222222"/>
          <w:szCs w:val="22"/>
        </w:rPr>
      </w:pPr>
      <w:r w:rsidRPr="002C224A">
        <w:rPr>
          <w:rFonts w:cs="Calibri"/>
          <w:i/>
          <w:color w:val="222222"/>
          <w:szCs w:val="22"/>
        </w:rPr>
        <w:t>Do tří měsíců od dokončení předběžných posouzení finančních nástrojů se zveřejní souhrnný přehled jejich zjištění a závěrů.</w:t>
      </w:r>
    </w:p>
    <w:p w:rsidR="006D67F1" w:rsidRPr="002C224A" w:rsidRDefault="006D67F1" w:rsidP="008074B1">
      <w:pPr>
        <w:spacing w:after="240"/>
        <w:rPr>
          <w:rFonts w:cs="Calibri"/>
          <w:i/>
          <w:color w:val="222222"/>
          <w:szCs w:val="22"/>
        </w:rPr>
      </w:pPr>
      <w:r w:rsidRPr="002C224A">
        <w:rPr>
          <w:rFonts w:cs="Calibri"/>
          <w:i/>
          <w:color w:val="222222"/>
          <w:szCs w:val="22"/>
        </w:rPr>
        <w:t>Předběžné posouzení se pro informaci předkládá monitorovacímu výboru v souladu s pravidly pro daný fond.</w:t>
      </w:r>
    </w:p>
    <w:p w:rsidR="006D67F1" w:rsidRPr="00A50943" w:rsidRDefault="006D67F1" w:rsidP="008074B1">
      <w:pPr>
        <w:spacing w:after="240"/>
        <w:rPr>
          <w:rFonts w:cs="Calibri"/>
          <w:color w:val="222222"/>
          <w:szCs w:val="22"/>
        </w:rPr>
      </w:pPr>
      <w:r w:rsidRPr="002C224A">
        <w:rPr>
          <w:rFonts w:cs="Calibri"/>
          <w:color w:val="222222"/>
          <w:szCs w:val="22"/>
        </w:rPr>
        <w:t xml:space="preserve">Předběžné posouzení FN OP PIK se primárně řídí těmito ustanoveními Obecného nařízení a dále relevantními částmi metodiky, </w:t>
      </w:r>
      <w:r w:rsidRPr="002C224A">
        <w:rPr>
          <w:rStyle w:val="hps"/>
          <w:rFonts w:cs="Calibri"/>
          <w:color w:val="222222"/>
          <w:szCs w:val="22"/>
        </w:rPr>
        <w:t>kterou Evropská komise zveřejnila v průběhu roku 2014</w:t>
      </w:r>
      <w:r w:rsidRPr="00A50943">
        <w:rPr>
          <w:rStyle w:val="Znakapoznpodarou"/>
          <w:rFonts w:ascii="Calibri" w:hAnsi="Calibri" w:cs="Calibri"/>
          <w:color w:val="222222"/>
          <w:szCs w:val="22"/>
        </w:rPr>
        <w:footnoteReference w:id="13"/>
      </w:r>
      <w:r w:rsidRPr="00A50943">
        <w:rPr>
          <w:rFonts w:cs="Calibri"/>
          <w:color w:val="222222"/>
          <w:szCs w:val="22"/>
        </w:rPr>
        <w:t>:</w:t>
      </w:r>
    </w:p>
    <w:p w:rsidR="006D67F1" w:rsidRPr="002C224A" w:rsidRDefault="006D67F1" w:rsidP="008074B1">
      <w:pPr>
        <w:spacing w:after="240"/>
        <w:rPr>
          <w:rFonts w:cs="Calibri"/>
          <w:i/>
          <w:color w:val="222222"/>
          <w:szCs w:val="22"/>
          <w:lang w:val="en-GB"/>
        </w:rPr>
      </w:pPr>
      <w:r w:rsidRPr="002C224A">
        <w:rPr>
          <w:rFonts w:cs="Calibri"/>
          <w:i/>
          <w:color w:val="222222"/>
          <w:szCs w:val="22"/>
          <w:lang w:val="en-GB"/>
        </w:rPr>
        <w:t>General methodology covering all thematic objectives - Quick reference guide</w:t>
      </w:r>
    </w:p>
    <w:p w:rsidR="006D67F1" w:rsidRPr="002C224A" w:rsidRDefault="006D67F1" w:rsidP="008074B1">
      <w:pPr>
        <w:spacing w:after="240"/>
        <w:rPr>
          <w:rFonts w:cs="Calibri"/>
          <w:i/>
          <w:color w:val="222222"/>
          <w:szCs w:val="22"/>
          <w:lang w:val="en-GB"/>
        </w:rPr>
      </w:pPr>
      <w:r w:rsidRPr="002C224A">
        <w:rPr>
          <w:rFonts w:cs="Calibri"/>
          <w:i/>
          <w:color w:val="222222"/>
          <w:szCs w:val="22"/>
          <w:lang w:val="en-GB"/>
        </w:rPr>
        <w:t xml:space="preserve">General methodology covering all thematic objectives - Volume I </w:t>
      </w:r>
      <w:r w:rsidR="00EF75EC" w:rsidRPr="002C224A">
        <w:rPr>
          <w:rFonts w:cs="Calibri"/>
          <w:i/>
          <w:color w:val="222222"/>
          <w:szCs w:val="22"/>
          <w:lang w:val="en-GB"/>
        </w:rPr>
        <w:t xml:space="preserve">(dále jen “Obecná Metodika EK”) </w:t>
      </w:r>
    </w:p>
    <w:p w:rsidR="006D67F1" w:rsidRPr="002C224A" w:rsidRDefault="006D67F1" w:rsidP="008074B1">
      <w:pPr>
        <w:spacing w:after="240"/>
        <w:rPr>
          <w:rFonts w:cs="Calibri"/>
          <w:i/>
          <w:color w:val="222222"/>
          <w:szCs w:val="22"/>
          <w:lang w:val="en-GB"/>
        </w:rPr>
      </w:pPr>
      <w:r w:rsidRPr="002C224A">
        <w:rPr>
          <w:rFonts w:cs="Calibri"/>
          <w:i/>
          <w:color w:val="222222"/>
          <w:szCs w:val="22"/>
          <w:lang w:val="en-GB"/>
        </w:rPr>
        <w:t xml:space="preserve">Strengthening research, technological development and innovation (Thematic objective 1) - Volume II </w:t>
      </w:r>
      <w:r w:rsidR="00EF75EC" w:rsidRPr="002C224A">
        <w:rPr>
          <w:rFonts w:cs="Calibri"/>
          <w:i/>
          <w:color w:val="222222"/>
          <w:szCs w:val="22"/>
          <w:lang w:val="en-GB"/>
        </w:rPr>
        <w:t>(dále jen “Metodika EK VaV”)</w:t>
      </w:r>
    </w:p>
    <w:p w:rsidR="006D67F1" w:rsidRPr="002C224A" w:rsidRDefault="006D67F1" w:rsidP="008074B1">
      <w:pPr>
        <w:spacing w:after="240"/>
        <w:rPr>
          <w:rFonts w:cs="Calibri"/>
          <w:i/>
          <w:color w:val="222222"/>
          <w:szCs w:val="22"/>
          <w:lang w:val="en-GB"/>
        </w:rPr>
      </w:pPr>
      <w:r w:rsidRPr="002C224A">
        <w:rPr>
          <w:rFonts w:cs="Calibri"/>
          <w:i/>
          <w:color w:val="222222"/>
          <w:szCs w:val="22"/>
          <w:lang w:val="en-GB"/>
        </w:rPr>
        <w:t xml:space="preserve">Enhancing the competitiveness of SME, including agriculture, microcredit and fisheries (Thematic objective 3) - Volume III </w:t>
      </w:r>
      <w:r w:rsidR="00EF75EC" w:rsidRPr="002C224A">
        <w:rPr>
          <w:rFonts w:cs="Calibri"/>
          <w:i/>
          <w:color w:val="222222"/>
          <w:szCs w:val="22"/>
          <w:lang w:val="en-GB"/>
        </w:rPr>
        <w:t>(dále jen “Metodika EK MSP”)</w:t>
      </w:r>
    </w:p>
    <w:p w:rsidR="006D67F1" w:rsidRPr="002C224A" w:rsidRDefault="006D67F1" w:rsidP="008074B1">
      <w:pPr>
        <w:spacing w:after="240"/>
        <w:rPr>
          <w:rFonts w:cs="Calibri"/>
          <w:i/>
          <w:color w:val="222222"/>
          <w:szCs w:val="22"/>
          <w:lang w:val="en-GB"/>
        </w:rPr>
      </w:pPr>
      <w:r w:rsidRPr="002C224A">
        <w:rPr>
          <w:rFonts w:cs="Calibri"/>
          <w:i/>
          <w:color w:val="222222"/>
          <w:szCs w:val="22"/>
          <w:lang w:val="en-GB"/>
        </w:rPr>
        <w:t xml:space="preserve">Supporting the shift towards low-carbon economy (Thematic objective 4) - Volume IV </w:t>
      </w:r>
      <w:r w:rsidR="00EF75EC" w:rsidRPr="002C224A">
        <w:rPr>
          <w:rFonts w:cs="Calibri"/>
          <w:i/>
          <w:color w:val="222222"/>
          <w:szCs w:val="22"/>
          <w:lang w:val="en-GB"/>
        </w:rPr>
        <w:t>(dále jen Metodika EK Energie”)</w:t>
      </w:r>
    </w:p>
    <w:p w:rsidR="006D67F1" w:rsidRPr="002C224A" w:rsidRDefault="006D67F1" w:rsidP="008074B1">
      <w:pPr>
        <w:spacing w:after="240"/>
        <w:rPr>
          <w:rFonts w:cs="Calibri"/>
          <w:szCs w:val="22"/>
        </w:rPr>
      </w:pPr>
      <w:r w:rsidRPr="002C224A">
        <w:rPr>
          <w:rFonts w:cs="Calibri"/>
          <w:color w:val="222222"/>
          <w:szCs w:val="22"/>
        </w:rPr>
        <w:t>I</w:t>
      </w:r>
      <w:r w:rsidRPr="002C224A">
        <w:rPr>
          <w:rStyle w:val="hps"/>
          <w:rFonts w:cs="Calibri"/>
          <w:color w:val="222222"/>
          <w:szCs w:val="22"/>
        </w:rPr>
        <w:t xml:space="preserve"> když tyto metodické pokyny </w:t>
      </w:r>
      <w:r w:rsidRPr="002C224A">
        <w:rPr>
          <w:rFonts w:cs="Calibri"/>
          <w:color w:val="222222"/>
          <w:szCs w:val="22"/>
        </w:rPr>
        <w:t xml:space="preserve">Komise </w:t>
      </w:r>
      <w:r w:rsidRPr="002C224A">
        <w:rPr>
          <w:rStyle w:val="hps"/>
          <w:rFonts w:cs="Calibri"/>
          <w:color w:val="222222"/>
          <w:szCs w:val="22"/>
        </w:rPr>
        <w:t>nejsou závazné</w:t>
      </w:r>
      <w:r w:rsidRPr="002C224A">
        <w:rPr>
          <w:rFonts w:cs="Calibri"/>
          <w:color w:val="222222"/>
          <w:szCs w:val="22"/>
        </w:rPr>
        <w:t xml:space="preserve">, byly </w:t>
      </w:r>
      <w:r w:rsidRPr="002C224A">
        <w:rPr>
          <w:rStyle w:val="hps"/>
          <w:rFonts w:cs="Calibri"/>
          <w:color w:val="222222"/>
          <w:szCs w:val="22"/>
        </w:rPr>
        <w:t>vytvořeny s cílem poskytnout ŘO osvědčené postupy pro naplnění požadavků</w:t>
      </w:r>
      <w:r w:rsidR="00B928FB" w:rsidRPr="002C224A">
        <w:rPr>
          <w:rStyle w:val="hps"/>
          <w:rFonts w:cs="Calibri"/>
          <w:color w:val="222222"/>
          <w:szCs w:val="22"/>
        </w:rPr>
        <w:t xml:space="preserve"> </w:t>
      </w:r>
      <w:r w:rsidRPr="002C224A">
        <w:rPr>
          <w:rStyle w:val="hps"/>
          <w:rFonts w:cs="Calibri"/>
          <w:color w:val="222222"/>
          <w:szCs w:val="22"/>
        </w:rPr>
        <w:t>článku</w:t>
      </w:r>
      <w:r w:rsidR="00191448" w:rsidRPr="002C224A">
        <w:rPr>
          <w:rStyle w:val="hps"/>
          <w:rFonts w:cs="Calibri"/>
          <w:color w:val="222222"/>
          <w:szCs w:val="22"/>
        </w:rPr>
        <w:t xml:space="preserve"> </w:t>
      </w:r>
      <w:r w:rsidRPr="002C224A">
        <w:rPr>
          <w:rStyle w:val="hps"/>
          <w:rFonts w:cs="Calibri"/>
          <w:color w:val="222222"/>
          <w:szCs w:val="22"/>
        </w:rPr>
        <w:t>37 odst. 2 Obecného nařízení a tvoří proto základní metodologický rámec pro přípravu předběžného posouzení finančních nástrojů OP PIK.</w:t>
      </w:r>
    </w:p>
    <w:p w:rsidR="006D67F1" w:rsidRPr="002C224A" w:rsidRDefault="006D67F1" w:rsidP="008074B1">
      <w:pPr>
        <w:spacing w:after="240"/>
        <w:rPr>
          <w:rFonts w:cs="Calibri"/>
          <w:szCs w:val="22"/>
        </w:rPr>
      </w:pPr>
    </w:p>
    <w:p w:rsidR="006D67F1" w:rsidRPr="002C224A" w:rsidRDefault="006D67F1" w:rsidP="008074B1">
      <w:pPr>
        <w:pStyle w:val="Nadpis3"/>
        <w:rPr>
          <w:rFonts w:ascii="Calibri" w:hAnsi="Calibri"/>
          <w:b w:val="0"/>
          <w:bCs w:val="0"/>
        </w:rPr>
      </w:pPr>
      <w:bookmarkStart w:id="15" w:name="_Toc421534272"/>
      <w:r w:rsidRPr="002C224A">
        <w:rPr>
          <w:rFonts w:ascii="Calibri" w:hAnsi="Calibri"/>
        </w:rPr>
        <w:t>Analýza tržní situace</w:t>
      </w:r>
      <w:bookmarkEnd w:id="15"/>
    </w:p>
    <w:p w:rsidR="006D67F1" w:rsidRPr="002C224A" w:rsidRDefault="006D67F1" w:rsidP="008074B1">
      <w:pPr>
        <w:spacing w:after="240"/>
        <w:rPr>
          <w:rFonts w:cs="Calibri"/>
          <w:color w:val="222222"/>
          <w:szCs w:val="22"/>
        </w:rPr>
      </w:pPr>
      <w:r w:rsidRPr="00A50943">
        <w:rPr>
          <w:rFonts w:cs="Calibri"/>
          <w:color w:val="222222"/>
          <w:szCs w:val="22"/>
        </w:rPr>
        <w:t>Za účelem vytvoření strategického rámce pro finanční nástroje v OP PIK je třeba vzít v úvahu příslušný kontext, který odůvodňuje použití ESI fondů. Jakmile jsou tato východiska upřesněna, může být identifikováno selhán</w:t>
      </w:r>
      <w:r w:rsidRPr="002C224A">
        <w:rPr>
          <w:rFonts w:cs="Calibri"/>
          <w:color w:val="222222"/>
          <w:szCs w:val="22"/>
        </w:rPr>
        <w:t>í trhu nebo sub-optimální investiční situace, které se týkají finančních nástrojů, a to na základě analýzy finančních potřeb nebo mezer v tržním financování, zkoumání rovnováhy mezi nabídkou a poptávkou v dané investiční oblasti podle strategie OP PIK, včetně jejich možného budoucího vývoje.</w:t>
      </w:r>
      <w:r w:rsidR="00591F4E" w:rsidRPr="002C224A">
        <w:rPr>
          <w:rFonts w:cs="Calibri"/>
          <w:color w:val="222222"/>
          <w:szCs w:val="22"/>
        </w:rPr>
        <w:t xml:space="preserve"> </w:t>
      </w:r>
      <w:r w:rsidRPr="002C224A">
        <w:rPr>
          <w:rFonts w:cs="Calibri"/>
          <w:color w:val="222222"/>
          <w:szCs w:val="22"/>
        </w:rPr>
        <w:t>Analýza tržní situace se soustředí zejména na vývoj souvisejících ukazatelů</w:t>
      </w:r>
      <w:r w:rsidR="00A5545B" w:rsidRPr="002C224A">
        <w:rPr>
          <w:rFonts w:cs="Calibri"/>
          <w:color w:val="222222"/>
          <w:szCs w:val="22"/>
        </w:rPr>
        <w:t xml:space="preserve"> </w:t>
      </w:r>
      <w:r w:rsidRPr="002C224A">
        <w:rPr>
          <w:rFonts w:cs="Calibri"/>
          <w:color w:val="222222"/>
          <w:szCs w:val="22"/>
        </w:rPr>
        <w:t>v cílových segmentech, ale i na finančním trhu, tržní průzkum a pohovory se zástupci cílových skupin.</w:t>
      </w:r>
      <w:r w:rsidR="00191448" w:rsidRPr="002C224A">
        <w:rPr>
          <w:rFonts w:cs="Calibri"/>
          <w:color w:val="222222"/>
          <w:szCs w:val="22"/>
        </w:rPr>
        <w:t xml:space="preserve"> </w:t>
      </w:r>
      <w:r w:rsidRPr="002C224A">
        <w:rPr>
          <w:rFonts w:cs="Calibri"/>
          <w:color w:val="222222"/>
          <w:szCs w:val="22"/>
        </w:rPr>
        <w:t>Analýza tržní situace by měla být založena na výsledcích kvantitativního a kvalitativního průzkumu.</w:t>
      </w:r>
      <w:r w:rsidR="00AA7B28" w:rsidRPr="002C224A">
        <w:rPr>
          <w:rFonts w:cs="Calibri"/>
          <w:color w:val="222222"/>
          <w:szCs w:val="22"/>
        </w:rPr>
        <w:t xml:space="preserve"> Následující rozčlenění je v souladu s Obecnou metodikou EK a zároveň ji v některých bodech dále rozvádí.</w:t>
      </w:r>
    </w:p>
    <w:p w:rsidR="006D67F1" w:rsidRPr="002C224A" w:rsidRDefault="006D67F1" w:rsidP="008074B1">
      <w:pPr>
        <w:spacing w:after="240"/>
        <w:rPr>
          <w:rFonts w:cs="Calibri"/>
          <w:b/>
          <w:color w:val="222222"/>
          <w:szCs w:val="22"/>
        </w:rPr>
      </w:pPr>
      <w:r w:rsidRPr="002C224A">
        <w:rPr>
          <w:rFonts w:cs="Calibri"/>
          <w:b/>
          <w:color w:val="222222"/>
          <w:szCs w:val="22"/>
        </w:rPr>
        <w:lastRenderedPageBreak/>
        <w:t>a) Analýza selhání trhu</w:t>
      </w:r>
    </w:p>
    <w:p w:rsidR="006D67F1" w:rsidRPr="002C224A" w:rsidRDefault="006D67F1" w:rsidP="008074B1">
      <w:pPr>
        <w:pStyle w:val="Odstavecseseznamem1"/>
        <w:numPr>
          <w:ilvl w:val="0"/>
          <w:numId w:val="11"/>
        </w:numPr>
        <w:spacing w:after="240"/>
        <w:rPr>
          <w:rFonts w:cs="Calibri"/>
          <w:color w:val="222222"/>
          <w:szCs w:val="22"/>
        </w:rPr>
      </w:pPr>
      <w:r w:rsidRPr="002C224A">
        <w:rPr>
          <w:rFonts w:cs="Calibri"/>
          <w:color w:val="222222"/>
          <w:szCs w:val="22"/>
        </w:rPr>
        <w:t>Tržní analýza – rozbor tržních segmentů z hlediska programových cílů a potenciálních typových projektů, nabídka zdrojů a investiční poptávka</w:t>
      </w:r>
    </w:p>
    <w:p w:rsidR="006D67F1" w:rsidRPr="002C224A" w:rsidRDefault="006D67F1" w:rsidP="008074B1">
      <w:pPr>
        <w:pStyle w:val="Odstavecseseznamem1"/>
        <w:numPr>
          <w:ilvl w:val="0"/>
          <w:numId w:val="11"/>
        </w:numPr>
        <w:spacing w:after="240"/>
        <w:rPr>
          <w:rFonts w:cs="Calibri"/>
          <w:color w:val="222222"/>
          <w:szCs w:val="22"/>
        </w:rPr>
      </w:pPr>
      <w:r w:rsidRPr="002C224A">
        <w:rPr>
          <w:rFonts w:cs="Calibri"/>
          <w:color w:val="222222"/>
          <w:szCs w:val="22"/>
        </w:rPr>
        <w:t>Odhad absorpční kapacity veřejné podpory a finančního nástroje</w:t>
      </w:r>
    </w:p>
    <w:p w:rsidR="006D67F1" w:rsidRPr="002C224A" w:rsidRDefault="006D67F1" w:rsidP="008074B1">
      <w:pPr>
        <w:pStyle w:val="Odstavecseseznamem1"/>
        <w:numPr>
          <w:ilvl w:val="0"/>
          <w:numId w:val="11"/>
        </w:numPr>
        <w:spacing w:after="240"/>
        <w:rPr>
          <w:rFonts w:cs="Calibri"/>
          <w:color w:val="222222"/>
          <w:szCs w:val="22"/>
        </w:rPr>
      </w:pPr>
      <w:r w:rsidRPr="002C224A">
        <w:rPr>
          <w:rFonts w:cs="Calibri"/>
          <w:color w:val="222222"/>
          <w:szCs w:val="22"/>
        </w:rPr>
        <w:t>Identifikace selhání trhu a suboptimální investiční situace, jejich typ a rozsah</w:t>
      </w:r>
    </w:p>
    <w:p w:rsidR="006D67F1" w:rsidRPr="002C224A" w:rsidRDefault="006D67F1" w:rsidP="008074B1">
      <w:pPr>
        <w:pStyle w:val="Odstavecseseznamem1"/>
        <w:numPr>
          <w:ilvl w:val="0"/>
          <w:numId w:val="11"/>
        </w:numPr>
        <w:jc w:val="left"/>
        <w:rPr>
          <w:rFonts w:cs="Calibri"/>
          <w:color w:val="222222"/>
          <w:szCs w:val="22"/>
        </w:rPr>
      </w:pPr>
      <w:r w:rsidRPr="002C224A">
        <w:rPr>
          <w:rFonts w:cs="Calibri"/>
          <w:color w:val="222222"/>
          <w:szCs w:val="22"/>
        </w:rPr>
        <w:t>Návrh řešení identifikovaných tržních selhání</w:t>
      </w:r>
    </w:p>
    <w:p w:rsidR="006D67F1" w:rsidRPr="002C224A" w:rsidRDefault="006D67F1" w:rsidP="008074B1">
      <w:pPr>
        <w:pStyle w:val="Odstavecseseznamem1"/>
        <w:rPr>
          <w:rFonts w:cs="Calibri"/>
          <w:color w:val="222222"/>
          <w:szCs w:val="22"/>
        </w:rPr>
      </w:pPr>
    </w:p>
    <w:p w:rsidR="006D67F1" w:rsidRPr="002C224A" w:rsidRDefault="006D67F1" w:rsidP="008074B1">
      <w:pPr>
        <w:spacing w:after="240"/>
        <w:rPr>
          <w:rFonts w:cs="Calibri"/>
          <w:b/>
          <w:color w:val="222222"/>
          <w:szCs w:val="22"/>
        </w:rPr>
      </w:pPr>
      <w:r w:rsidRPr="002C224A">
        <w:rPr>
          <w:rFonts w:cs="Calibri"/>
          <w:b/>
          <w:color w:val="222222"/>
          <w:szCs w:val="22"/>
        </w:rPr>
        <w:t>b) Posouzení přidané hodnoty finančních nástrojů</w:t>
      </w:r>
    </w:p>
    <w:p w:rsidR="006D67F1" w:rsidRPr="002C224A" w:rsidRDefault="006D67F1" w:rsidP="008074B1">
      <w:pPr>
        <w:pStyle w:val="Odstavecseseznamem1"/>
        <w:numPr>
          <w:ilvl w:val="0"/>
          <w:numId w:val="12"/>
        </w:numPr>
        <w:spacing w:after="240"/>
        <w:rPr>
          <w:rFonts w:cs="Calibri"/>
          <w:color w:val="222222"/>
          <w:szCs w:val="22"/>
        </w:rPr>
      </w:pPr>
      <w:r w:rsidRPr="002C224A">
        <w:rPr>
          <w:rFonts w:cs="Calibri"/>
          <w:color w:val="222222"/>
          <w:szCs w:val="22"/>
        </w:rPr>
        <w:t>Představení typových projektů, zaměření intervencí FN včetně identifikace hlavních cílových skupin a typu</w:t>
      </w:r>
      <w:r w:rsidR="00683FDD">
        <w:rPr>
          <w:rFonts w:cs="Calibri"/>
          <w:color w:val="222222"/>
          <w:szCs w:val="22"/>
        </w:rPr>
        <w:t xml:space="preserve"> konečných</w:t>
      </w:r>
      <w:r w:rsidRPr="002C224A">
        <w:rPr>
          <w:rFonts w:cs="Calibri"/>
          <w:color w:val="222222"/>
          <w:szCs w:val="22"/>
        </w:rPr>
        <w:t xml:space="preserve"> příjemců</w:t>
      </w:r>
    </w:p>
    <w:p w:rsidR="006D67F1" w:rsidRPr="002C224A" w:rsidRDefault="006D67F1" w:rsidP="008074B1">
      <w:pPr>
        <w:pStyle w:val="Odstavecseseznamem1"/>
        <w:numPr>
          <w:ilvl w:val="0"/>
          <w:numId w:val="12"/>
        </w:numPr>
        <w:spacing w:after="240"/>
        <w:rPr>
          <w:rFonts w:cs="Calibri"/>
          <w:color w:val="222222"/>
          <w:szCs w:val="22"/>
        </w:rPr>
      </w:pPr>
      <w:r w:rsidRPr="002C224A">
        <w:rPr>
          <w:rFonts w:cs="Calibri"/>
          <w:color w:val="222222"/>
          <w:szCs w:val="22"/>
        </w:rPr>
        <w:t>Přidaná hodnota FN ve vztahu k cílům OP PIK,</w:t>
      </w:r>
      <w:r w:rsidR="00683FDD">
        <w:rPr>
          <w:rFonts w:cs="Calibri"/>
          <w:color w:val="222222"/>
          <w:szCs w:val="22"/>
        </w:rPr>
        <w:t xml:space="preserve"> konečným</w:t>
      </w:r>
      <w:r w:rsidRPr="002C224A">
        <w:rPr>
          <w:rFonts w:cs="Calibri"/>
          <w:color w:val="222222"/>
          <w:szCs w:val="22"/>
        </w:rPr>
        <w:t xml:space="preserve"> příjemcům podpory i řídícímu orgánu, posouzení problémů, rizik a dopadů na tržní prostředí</w:t>
      </w:r>
    </w:p>
    <w:p w:rsidR="006D67F1" w:rsidRPr="002C224A" w:rsidRDefault="006D67F1" w:rsidP="008074B1">
      <w:pPr>
        <w:pStyle w:val="Odstavecseseznamem1"/>
        <w:numPr>
          <w:ilvl w:val="0"/>
          <w:numId w:val="12"/>
        </w:numPr>
        <w:spacing w:after="240"/>
        <w:rPr>
          <w:rFonts w:cs="Calibri"/>
          <w:color w:val="222222"/>
          <w:szCs w:val="22"/>
        </w:rPr>
      </w:pPr>
      <w:r w:rsidRPr="002C224A">
        <w:rPr>
          <w:rFonts w:cs="Calibri"/>
          <w:color w:val="222222"/>
          <w:szCs w:val="22"/>
        </w:rPr>
        <w:t>Srovnání přidané hodnoty FN s jinými formami podpory</w:t>
      </w:r>
    </w:p>
    <w:p w:rsidR="006D67F1" w:rsidRPr="002C224A" w:rsidRDefault="006D67F1" w:rsidP="008074B1">
      <w:pPr>
        <w:pStyle w:val="Odstavecseseznamem1"/>
        <w:numPr>
          <w:ilvl w:val="0"/>
          <w:numId w:val="12"/>
        </w:numPr>
        <w:spacing w:after="240"/>
        <w:rPr>
          <w:rFonts w:cs="Calibri"/>
          <w:color w:val="222222"/>
          <w:szCs w:val="22"/>
        </w:rPr>
      </w:pPr>
      <w:r w:rsidRPr="002C224A">
        <w:rPr>
          <w:rFonts w:cs="Calibri"/>
          <w:color w:val="222222"/>
          <w:szCs w:val="22"/>
        </w:rPr>
        <w:t>Soulad s jinými formami veřejných intervenci zaměřených na stejné selhání trhu k omezení překryvů – zejména s ohledem na dotační podporu z OP PIK, národních programů a jiných zdrojů, ale i další komplementarity a synergie (včetně FN v unijních programech COSME, HORIZON 2020 atd.)</w:t>
      </w:r>
    </w:p>
    <w:p w:rsidR="006D67F1" w:rsidRPr="002C224A" w:rsidRDefault="006D67F1" w:rsidP="008074B1">
      <w:pPr>
        <w:pStyle w:val="Odstavecseseznamem1"/>
        <w:numPr>
          <w:ilvl w:val="0"/>
          <w:numId w:val="12"/>
        </w:numPr>
        <w:spacing w:after="240"/>
        <w:rPr>
          <w:rFonts w:cs="Calibri"/>
          <w:color w:val="222222"/>
          <w:szCs w:val="22"/>
        </w:rPr>
      </w:pPr>
      <w:r w:rsidRPr="002C224A">
        <w:rPr>
          <w:rFonts w:cs="Calibri"/>
          <w:color w:val="222222"/>
          <w:szCs w:val="22"/>
        </w:rPr>
        <w:t>Možné řešení veřejné podpory, včetně přiměřenosti zamýšleného zásahu na zjištěné potřeby trhu</w:t>
      </w:r>
    </w:p>
    <w:p w:rsidR="006D67F1" w:rsidRPr="002C224A" w:rsidRDefault="006D67F1" w:rsidP="008074B1">
      <w:pPr>
        <w:spacing w:after="240"/>
        <w:rPr>
          <w:rFonts w:cs="Calibri"/>
          <w:b/>
          <w:color w:val="222222"/>
          <w:szCs w:val="22"/>
        </w:rPr>
      </w:pPr>
      <w:r w:rsidRPr="002C224A">
        <w:rPr>
          <w:rFonts w:cs="Calibri"/>
          <w:b/>
          <w:color w:val="222222"/>
          <w:szCs w:val="22"/>
        </w:rPr>
        <w:t>c) Odhad dodatečných veřejných a soukromých zdrojů</w:t>
      </w:r>
    </w:p>
    <w:p w:rsidR="006D67F1" w:rsidRPr="002C224A" w:rsidRDefault="006D67F1" w:rsidP="008074B1">
      <w:pPr>
        <w:pStyle w:val="Odstavecseseznamem1"/>
        <w:numPr>
          <w:ilvl w:val="0"/>
          <w:numId w:val="13"/>
        </w:numPr>
        <w:spacing w:after="240"/>
        <w:rPr>
          <w:rFonts w:cs="Calibri"/>
          <w:color w:val="222222"/>
          <w:szCs w:val="22"/>
        </w:rPr>
      </w:pPr>
      <w:r w:rsidRPr="002C224A">
        <w:rPr>
          <w:rFonts w:cs="Calibri"/>
          <w:color w:val="222222"/>
          <w:szCs w:val="22"/>
        </w:rPr>
        <w:t>Spolufinancování ze soukromých zdrojů až na úroveň konečného příjemce</w:t>
      </w:r>
    </w:p>
    <w:p w:rsidR="006D67F1" w:rsidRPr="002C224A" w:rsidRDefault="006D67F1" w:rsidP="0074622E">
      <w:pPr>
        <w:pStyle w:val="Odstavecseseznamem1"/>
        <w:numPr>
          <w:ilvl w:val="0"/>
          <w:numId w:val="13"/>
        </w:numPr>
        <w:spacing w:after="240"/>
        <w:rPr>
          <w:rFonts w:cs="Calibri"/>
          <w:color w:val="222222"/>
          <w:szCs w:val="22"/>
        </w:rPr>
      </w:pPr>
      <w:r w:rsidRPr="002C224A">
        <w:rPr>
          <w:rFonts w:cs="Calibri"/>
          <w:color w:val="222222"/>
          <w:szCs w:val="22"/>
        </w:rPr>
        <w:t>Identifikace klíčových hráčů (např. individuálních investorů, podniků, veřejných subjektů, institucí na finančním trhu a dalších subjektů</w:t>
      </w:r>
    </w:p>
    <w:p w:rsidR="00DF203C" w:rsidRPr="002C224A" w:rsidRDefault="00DF203C" w:rsidP="00DF203C">
      <w:pPr>
        <w:pStyle w:val="Odstavecseseznamem1"/>
        <w:numPr>
          <w:ilvl w:val="0"/>
          <w:numId w:val="13"/>
        </w:numPr>
        <w:spacing w:after="240"/>
        <w:rPr>
          <w:rFonts w:cs="Calibri"/>
          <w:color w:val="222222"/>
          <w:szCs w:val="22"/>
        </w:rPr>
      </w:pPr>
      <w:r w:rsidRPr="002C224A">
        <w:rPr>
          <w:rFonts w:cs="Calibri"/>
          <w:color w:val="222222"/>
          <w:szCs w:val="22"/>
        </w:rPr>
        <w:t>Odhad dodatečných veřejných a soukromých zdrojů, které potenciálně daný FN přiláká, očekávaný pákový efekt</w:t>
      </w:r>
    </w:p>
    <w:p w:rsidR="006D67F1" w:rsidRPr="002C224A" w:rsidRDefault="006D67F1" w:rsidP="008074B1">
      <w:pPr>
        <w:pStyle w:val="Odstavecseseznamem1"/>
        <w:numPr>
          <w:ilvl w:val="0"/>
          <w:numId w:val="13"/>
        </w:numPr>
        <w:spacing w:after="240"/>
        <w:rPr>
          <w:rFonts w:cs="Calibri"/>
          <w:color w:val="222222"/>
          <w:szCs w:val="22"/>
        </w:rPr>
      </w:pPr>
      <w:r w:rsidRPr="002C224A">
        <w:t>Posouzení potřeby a úroveň preferenčního odměňování pro soukromé investory, je-li to relevantní s ohledem na předcházející závěry</w:t>
      </w:r>
    </w:p>
    <w:p w:rsidR="006D67F1" w:rsidRPr="002C224A" w:rsidRDefault="006D67F1" w:rsidP="008074B1">
      <w:pPr>
        <w:pStyle w:val="Odstavecseseznamem1"/>
        <w:spacing w:after="240"/>
        <w:ind w:left="360"/>
        <w:rPr>
          <w:rFonts w:cs="Calibri"/>
          <w:color w:val="222222"/>
          <w:szCs w:val="22"/>
        </w:rPr>
      </w:pPr>
    </w:p>
    <w:p w:rsidR="006D67F1" w:rsidRPr="002C224A" w:rsidRDefault="006D67F1" w:rsidP="008074B1">
      <w:pPr>
        <w:pStyle w:val="Nadpis3"/>
        <w:rPr>
          <w:rFonts w:ascii="Calibri" w:hAnsi="Calibri"/>
          <w:b w:val="0"/>
          <w:bCs w:val="0"/>
        </w:rPr>
      </w:pPr>
      <w:bookmarkStart w:id="16" w:name="_Toc421534273"/>
      <w:r w:rsidRPr="002C224A">
        <w:rPr>
          <w:rFonts w:ascii="Calibri" w:hAnsi="Calibri"/>
        </w:rPr>
        <w:t>Návrh vhodné strategie</w:t>
      </w:r>
      <w:bookmarkEnd w:id="16"/>
    </w:p>
    <w:p w:rsidR="006D67F1" w:rsidRPr="002C224A" w:rsidRDefault="006D67F1" w:rsidP="008074B1">
      <w:pPr>
        <w:spacing w:after="240"/>
        <w:rPr>
          <w:rFonts w:cs="Calibri"/>
          <w:color w:val="222222"/>
          <w:szCs w:val="22"/>
        </w:rPr>
      </w:pPr>
      <w:r w:rsidRPr="00A50943">
        <w:rPr>
          <w:rFonts w:cs="Calibri"/>
          <w:color w:val="222222"/>
          <w:szCs w:val="22"/>
        </w:rPr>
        <w:t xml:space="preserve">Výsledky analýzy prováděné v rámci bloku I. budou tvořit základní vstup pro blok II. </w:t>
      </w:r>
      <w:r w:rsidRPr="002C224A">
        <w:rPr>
          <w:rFonts w:cs="Calibri"/>
          <w:color w:val="222222"/>
          <w:szCs w:val="22"/>
        </w:rPr>
        <w:t>za předpokladu, že analýza tržní situace podpoří závěr, že selhání trhu a nedostatečné investiční situace lze účinně řešit prostřednictvím finančních nástrojů. Blok II. navrhne vhodnou investiční strategii, navrhne postupy pro implementaci, monitorování, hodnocení a řízení FN, mj. na základě poznatků a zkušeností s implementací předchozích podpor. Navrhne vhodné ukazatele a představí ilustrativní očekávané výsledky FN na základě modelového fungování a milníky včetně jejich věcného nastavení a hodnot.</w:t>
      </w:r>
      <w:r w:rsidR="00322321" w:rsidRPr="002C224A">
        <w:rPr>
          <w:rFonts w:cs="Calibri"/>
          <w:color w:val="222222"/>
          <w:szCs w:val="22"/>
        </w:rPr>
        <w:t xml:space="preserve"> Následující rozčlenění je v souladu s Obecnou metodikou EK a zároveň ji v některých bodech dále rozvádí.</w:t>
      </w:r>
    </w:p>
    <w:p w:rsidR="006D67F1" w:rsidRPr="002C224A" w:rsidRDefault="006D67F1" w:rsidP="008074B1">
      <w:pPr>
        <w:spacing w:after="240"/>
        <w:rPr>
          <w:rFonts w:cs="Calibri"/>
          <w:b/>
          <w:color w:val="222222"/>
          <w:szCs w:val="22"/>
        </w:rPr>
      </w:pPr>
      <w:r w:rsidRPr="002C224A">
        <w:rPr>
          <w:rFonts w:cs="Calibri"/>
          <w:b/>
          <w:color w:val="222222"/>
          <w:szCs w:val="22"/>
        </w:rPr>
        <w:t>a) Posouzení zkušeností získaných v minulosti</w:t>
      </w:r>
    </w:p>
    <w:p w:rsidR="006D67F1" w:rsidRPr="002C224A" w:rsidRDefault="006D67F1" w:rsidP="008074B1">
      <w:pPr>
        <w:pStyle w:val="Odstavecseseznamem1"/>
        <w:numPr>
          <w:ilvl w:val="0"/>
          <w:numId w:val="16"/>
        </w:numPr>
        <w:spacing w:after="240"/>
        <w:rPr>
          <w:rFonts w:cs="Calibri"/>
          <w:color w:val="222222"/>
          <w:szCs w:val="22"/>
        </w:rPr>
      </w:pPr>
      <w:r w:rsidRPr="002C224A">
        <w:rPr>
          <w:rFonts w:cs="Calibri"/>
          <w:color w:val="222222"/>
          <w:szCs w:val="22"/>
        </w:rPr>
        <w:t>Závěry vyvozené z implementace podobných nástrojů v minulosti</w:t>
      </w:r>
    </w:p>
    <w:p w:rsidR="006D67F1" w:rsidRPr="002C224A" w:rsidRDefault="006D67F1" w:rsidP="008074B1">
      <w:pPr>
        <w:pStyle w:val="Odstavecseseznamem1"/>
        <w:numPr>
          <w:ilvl w:val="0"/>
          <w:numId w:val="16"/>
        </w:numPr>
        <w:spacing w:after="240"/>
        <w:rPr>
          <w:rFonts w:cs="Calibri"/>
          <w:color w:val="222222"/>
          <w:szCs w:val="22"/>
        </w:rPr>
      </w:pPr>
      <w:r w:rsidRPr="002C224A">
        <w:rPr>
          <w:rFonts w:cs="Calibri"/>
          <w:color w:val="222222"/>
          <w:szCs w:val="22"/>
        </w:rPr>
        <w:t>Přehled zahraničních zkušeností s obdobnou podporou</w:t>
      </w:r>
    </w:p>
    <w:p w:rsidR="006D67F1" w:rsidRPr="002C224A" w:rsidRDefault="006D67F1" w:rsidP="008074B1">
      <w:pPr>
        <w:pStyle w:val="Odstavecseseznamem1"/>
        <w:numPr>
          <w:ilvl w:val="0"/>
          <w:numId w:val="16"/>
        </w:numPr>
        <w:spacing w:after="240"/>
        <w:rPr>
          <w:rFonts w:cs="Calibri"/>
          <w:color w:val="222222"/>
          <w:szCs w:val="22"/>
        </w:rPr>
      </w:pPr>
      <w:r w:rsidRPr="002C224A">
        <w:rPr>
          <w:rFonts w:cs="Calibri"/>
          <w:color w:val="222222"/>
          <w:szCs w:val="22"/>
        </w:rPr>
        <w:t>Aplikace zkušeností na současné podmínky OP PIK</w:t>
      </w:r>
    </w:p>
    <w:p w:rsidR="006D67F1" w:rsidRPr="002C224A" w:rsidRDefault="006D67F1" w:rsidP="008074B1">
      <w:pPr>
        <w:spacing w:after="240"/>
        <w:rPr>
          <w:rFonts w:cs="Calibri"/>
          <w:b/>
          <w:color w:val="222222"/>
          <w:szCs w:val="22"/>
        </w:rPr>
      </w:pPr>
      <w:r w:rsidRPr="002C224A">
        <w:rPr>
          <w:rFonts w:cs="Calibri"/>
          <w:b/>
          <w:color w:val="222222"/>
          <w:szCs w:val="22"/>
        </w:rPr>
        <w:t>b) Navrhovaná investiční strategie</w:t>
      </w:r>
    </w:p>
    <w:p w:rsidR="006D67F1" w:rsidRPr="002C224A" w:rsidRDefault="006D67F1" w:rsidP="008074B1">
      <w:pPr>
        <w:pStyle w:val="Odstavecseseznamem1"/>
        <w:numPr>
          <w:ilvl w:val="0"/>
          <w:numId w:val="14"/>
        </w:numPr>
        <w:spacing w:after="240"/>
        <w:rPr>
          <w:rFonts w:cs="Calibri"/>
          <w:color w:val="222222"/>
          <w:szCs w:val="22"/>
        </w:rPr>
      </w:pPr>
      <w:r w:rsidRPr="002C224A">
        <w:rPr>
          <w:rFonts w:cs="Calibri"/>
          <w:color w:val="222222"/>
          <w:szCs w:val="22"/>
        </w:rPr>
        <w:lastRenderedPageBreak/>
        <w:t>Identifikace forem finančních nástrojů a výše alokace (dluhové, kapitálové, záruční nebo jiné finanční nástroje) včetně případné kombinace s</w:t>
      </w:r>
      <w:r w:rsidR="0079497D" w:rsidRPr="002C224A">
        <w:rPr>
          <w:rFonts w:cs="Calibri"/>
          <w:color w:val="222222"/>
          <w:szCs w:val="22"/>
        </w:rPr>
        <w:t> </w:t>
      </w:r>
      <w:r w:rsidRPr="002C224A">
        <w:rPr>
          <w:rFonts w:cs="Calibri"/>
          <w:color w:val="222222"/>
          <w:szCs w:val="22"/>
        </w:rPr>
        <w:t>grant</w:t>
      </w:r>
      <w:r w:rsidR="0079497D" w:rsidRPr="002C224A">
        <w:rPr>
          <w:rFonts w:cs="Calibri"/>
          <w:color w:val="222222"/>
          <w:szCs w:val="22"/>
        </w:rPr>
        <w:t>em, subvencí úrokové sazby, subvencí ceny záruky nebo repayable assistance (návratnou podporou)</w:t>
      </w:r>
    </w:p>
    <w:p w:rsidR="0073644A" w:rsidRPr="002C224A" w:rsidRDefault="006D67F1" w:rsidP="0008236A">
      <w:pPr>
        <w:pStyle w:val="Odstavecseseznamem1"/>
        <w:numPr>
          <w:ilvl w:val="0"/>
          <w:numId w:val="14"/>
        </w:numPr>
        <w:spacing w:after="240"/>
        <w:rPr>
          <w:rFonts w:cs="Calibri"/>
          <w:color w:val="222222"/>
          <w:szCs w:val="22"/>
        </w:rPr>
      </w:pPr>
      <w:r w:rsidRPr="002C224A">
        <w:rPr>
          <w:rFonts w:cs="Calibri"/>
          <w:color w:val="222222"/>
          <w:szCs w:val="22"/>
        </w:rPr>
        <w:t>Identifikace nejvhodnějších možností implementace s ohledem na potřeby identifikované v závěrech bloku I. a na základě posouzení dosavadních zkušeností</w:t>
      </w:r>
    </w:p>
    <w:p w:rsidR="0073644A" w:rsidRPr="00A50943" w:rsidRDefault="0073644A" w:rsidP="008074B1">
      <w:pPr>
        <w:pStyle w:val="Odstavecseseznamem1"/>
        <w:numPr>
          <w:ilvl w:val="0"/>
          <w:numId w:val="14"/>
        </w:numPr>
        <w:spacing w:after="240"/>
        <w:rPr>
          <w:rFonts w:cs="Calibri"/>
          <w:color w:val="222222"/>
          <w:szCs w:val="22"/>
        </w:rPr>
      </w:pPr>
      <w:r w:rsidRPr="002C224A">
        <w:rPr>
          <w:rFonts w:cs="Calibri"/>
          <w:color w:val="222222"/>
          <w:szCs w:val="22"/>
        </w:rPr>
        <w:t>Posouzení implementujících subjekt</w:t>
      </w:r>
      <w:r w:rsidR="004727E5" w:rsidRPr="002C224A">
        <w:rPr>
          <w:rFonts w:cs="Calibri"/>
          <w:color w:val="222222"/>
          <w:szCs w:val="22"/>
        </w:rPr>
        <w:t>ů, implementační struktury a zapojení fondu fondů</w:t>
      </w:r>
    </w:p>
    <w:p w:rsidR="006D67F1" w:rsidRPr="002C224A" w:rsidRDefault="006D67F1" w:rsidP="008074B1">
      <w:pPr>
        <w:pStyle w:val="Odstavecseseznamem1"/>
        <w:numPr>
          <w:ilvl w:val="0"/>
          <w:numId w:val="14"/>
        </w:numPr>
        <w:spacing w:after="240"/>
        <w:rPr>
          <w:rFonts w:cs="Calibri"/>
          <w:color w:val="222222"/>
          <w:szCs w:val="22"/>
        </w:rPr>
      </w:pPr>
      <w:r w:rsidRPr="002C224A">
        <w:rPr>
          <w:rFonts w:cs="Calibri"/>
          <w:color w:val="222222"/>
          <w:szCs w:val="22"/>
        </w:rPr>
        <w:t>Způsob zajištění finančního a věcného monitoringu a evaluace provádění FN</w:t>
      </w:r>
    </w:p>
    <w:p w:rsidR="006D67F1" w:rsidRPr="002C224A" w:rsidRDefault="006D67F1" w:rsidP="008074B1">
      <w:pPr>
        <w:pStyle w:val="Odstavecseseznamem1"/>
        <w:numPr>
          <w:ilvl w:val="0"/>
          <w:numId w:val="14"/>
        </w:numPr>
        <w:spacing w:after="240"/>
        <w:rPr>
          <w:rFonts w:cs="Calibri"/>
          <w:color w:val="222222"/>
          <w:szCs w:val="22"/>
        </w:rPr>
      </w:pPr>
      <w:r w:rsidRPr="002C224A">
        <w:rPr>
          <w:rFonts w:cs="Calibri"/>
          <w:color w:val="222222"/>
          <w:szCs w:val="22"/>
        </w:rPr>
        <w:t>Plánovaná strategie ukončení finančního nástroje (uzavření životního cyklu)</w:t>
      </w:r>
    </w:p>
    <w:p w:rsidR="006D67F1" w:rsidRPr="002C224A" w:rsidRDefault="006D67F1" w:rsidP="008074B1">
      <w:pPr>
        <w:pStyle w:val="Odstavecseseznamem1"/>
        <w:numPr>
          <w:ilvl w:val="0"/>
          <w:numId w:val="14"/>
        </w:numPr>
        <w:spacing w:after="240"/>
        <w:rPr>
          <w:rFonts w:cs="Calibri"/>
          <w:color w:val="222222"/>
          <w:szCs w:val="22"/>
        </w:rPr>
      </w:pPr>
      <w:r w:rsidRPr="002C224A">
        <w:rPr>
          <w:rFonts w:cs="Calibri"/>
          <w:color w:val="222222"/>
          <w:szCs w:val="22"/>
        </w:rPr>
        <w:t>Horizontální principy a integrované přístupy: zhodnocení přiměřenosti plánovaných opatření k podpoře rovných příležitostí, opatření k předcházení diskriminace a opatření k podpoře udržitelného rozvoje</w:t>
      </w:r>
    </w:p>
    <w:p w:rsidR="006D67F1" w:rsidRPr="002C224A" w:rsidRDefault="006D67F1" w:rsidP="008074B1">
      <w:pPr>
        <w:pStyle w:val="Odstavecseseznamem1"/>
        <w:numPr>
          <w:ilvl w:val="0"/>
          <w:numId w:val="14"/>
        </w:numPr>
        <w:spacing w:after="240"/>
        <w:rPr>
          <w:rFonts w:cs="Calibri"/>
          <w:color w:val="222222"/>
          <w:szCs w:val="22"/>
        </w:rPr>
      </w:pPr>
      <w:r w:rsidRPr="002C224A">
        <w:rPr>
          <w:rFonts w:cs="Calibri"/>
          <w:color w:val="222222"/>
          <w:szCs w:val="22"/>
        </w:rPr>
        <w:t>Regionální dimenze a integrované přístupy: zhodnocení pojetí a způsobu zapracování regionální dimenze v investiční strategii včetně integrovaných přístupů, zhodnocení, jak a do jaké míry zohledňuje investiční strategie specifické regionální potřeby a regionální rozdíly, zhodnocení relevance zařazení navržených územních jednotek či funkčních území k podpoře poskytované v rámci programu, včetně regionálních aktérů</w:t>
      </w:r>
    </w:p>
    <w:p w:rsidR="006D67F1" w:rsidRPr="002C224A" w:rsidRDefault="006D67F1" w:rsidP="008074B1">
      <w:pPr>
        <w:spacing w:after="240"/>
        <w:rPr>
          <w:rFonts w:cs="Calibri"/>
          <w:b/>
          <w:color w:val="222222"/>
          <w:szCs w:val="22"/>
        </w:rPr>
      </w:pPr>
      <w:r w:rsidRPr="002C224A">
        <w:rPr>
          <w:rFonts w:cs="Calibri"/>
          <w:b/>
          <w:color w:val="222222"/>
          <w:szCs w:val="22"/>
        </w:rPr>
        <w:t>c) Očekávané výsledky</w:t>
      </w:r>
    </w:p>
    <w:p w:rsidR="00EC5B81" w:rsidRPr="002C224A" w:rsidRDefault="00EC5B81" w:rsidP="00EC5B81">
      <w:pPr>
        <w:pStyle w:val="Odstavecseseznamem1"/>
        <w:numPr>
          <w:ilvl w:val="0"/>
          <w:numId w:val="15"/>
        </w:numPr>
        <w:spacing w:after="240"/>
        <w:rPr>
          <w:rFonts w:cs="Calibri"/>
          <w:color w:val="222222"/>
          <w:szCs w:val="22"/>
        </w:rPr>
      </w:pPr>
      <w:r w:rsidRPr="002C224A">
        <w:rPr>
          <w:rFonts w:cs="Calibri"/>
          <w:color w:val="222222"/>
          <w:szCs w:val="22"/>
        </w:rPr>
        <w:t>Modelové scénáře vývoje portfolií, počet investic a revolvingový efekt</w:t>
      </w:r>
    </w:p>
    <w:p w:rsidR="006D67F1" w:rsidRPr="002C224A" w:rsidRDefault="006D67F1" w:rsidP="008074B1">
      <w:pPr>
        <w:pStyle w:val="Odstavecseseznamem1"/>
        <w:numPr>
          <w:ilvl w:val="0"/>
          <w:numId w:val="15"/>
        </w:numPr>
        <w:spacing w:after="240"/>
        <w:rPr>
          <w:rFonts w:cs="Calibri"/>
          <w:color w:val="222222"/>
          <w:szCs w:val="22"/>
        </w:rPr>
      </w:pPr>
      <w:r w:rsidRPr="002C224A">
        <w:rPr>
          <w:rFonts w:cs="Calibri"/>
          <w:color w:val="222222"/>
          <w:szCs w:val="22"/>
        </w:rPr>
        <w:t>Kvantifikace výchozích a cílových hodnot indikátorů: volba vhodných ukazatelů, doporučení nebo odkazy na zdroje a metody pro kvantifikaci hodnot indikátorů, kvantifikace cílových hodnot ukazatelů s ohledem na navrhované alokace, zaměření intervencí a formy podpory</w:t>
      </w:r>
    </w:p>
    <w:p w:rsidR="006D67F1" w:rsidRPr="002C224A" w:rsidRDefault="006D67F1" w:rsidP="008074B1">
      <w:pPr>
        <w:spacing w:after="240"/>
        <w:rPr>
          <w:rFonts w:cs="Calibri"/>
          <w:b/>
          <w:color w:val="222222"/>
          <w:szCs w:val="22"/>
        </w:rPr>
      </w:pPr>
      <w:r w:rsidRPr="002C224A">
        <w:rPr>
          <w:rFonts w:cs="Calibri"/>
          <w:b/>
          <w:color w:val="222222"/>
          <w:szCs w:val="22"/>
        </w:rPr>
        <w:t>d) Přezkoumatelnost závěrů hodnocení</w:t>
      </w:r>
    </w:p>
    <w:p w:rsidR="006D67F1" w:rsidRPr="002C224A" w:rsidRDefault="006D67F1">
      <w:pPr>
        <w:pStyle w:val="Odstavecseseznamem1"/>
        <w:numPr>
          <w:ilvl w:val="0"/>
          <w:numId w:val="17"/>
        </w:numPr>
        <w:spacing w:after="240"/>
      </w:pPr>
      <w:r w:rsidRPr="002C224A">
        <w:rPr>
          <w:rFonts w:cs="Calibri"/>
          <w:color w:val="222222"/>
          <w:szCs w:val="22"/>
        </w:rPr>
        <w:t>Identifikace důvodů pro provedení případné revize závěrů předběžného posouzení FN OP PIK v budoucnu</w:t>
      </w:r>
    </w:p>
    <w:p w:rsidR="006D67F1" w:rsidRPr="002C224A" w:rsidRDefault="006D67F1" w:rsidP="002E2C94">
      <w:pPr>
        <w:rPr>
          <w:rFonts w:cs="Calibri"/>
          <w:bCs/>
          <w:color w:val="222222"/>
          <w:szCs w:val="22"/>
        </w:rPr>
      </w:pPr>
      <w:r w:rsidRPr="002C224A">
        <w:br w:type="page"/>
      </w:r>
    </w:p>
    <w:p w:rsidR="006D67F1" w:rsidRPr="002C224A" w:rsidRDefault="006D67F1" w:rsidP="008074B1">
      <w:pPr>
        <w:pStyle w:val="Nadpis1"/>
        <w:rPr>
          <w:rFonts w:ascii="Calibri" w:hAnsi="Calibri"/>
        </w:rPr>
      </w:pPr>
      <w:bookmarkStart w:id="17" w:name="_Toc421534274"/>
      <w:r w:rsidRPr="002C224A">
        <w:rPr>
          <w:rFonts w:ascii="Calibri" w:hAnsi="Calibri"/>
        </w:rPr>
        <w:lastRenderedPageBreak/>
        <w:t>Blok I.: Analýza tržní situace</w:t>
      </w:r>
      <w:bookmarkEnd w:id="17"/>
    </w:p>
    <w:p w:rsidR="006D67F1" w:rsidRPr="00A50943" w:rsidRDefault="006D67F1" w:rsidP="008074B1"/>
    <w:p w:rsidR="006D67F1" w:rsidRPr="002C224A" w:rsidRDefault="006D67F1" w:rsidP="008074B1">
      <w:r w:rsidRPr="002C224A">
        <w:t xml:space="preserve">Ve sledované kapitole je na základě podkladů Deloitte Advisory, s.r.o. </w:t>
      </w:r>
      <w:r w:rsidRPr="002C224A">
        <w:rPr>
          <w:shd w:val="clear" w:color="auto" w:fill="FFFFFF"/>
        </w:rPr>
        <w:t>a dle metodiky Evropské komise</w:t>
      </w:r>
      <w:r w:rsidR="00341E42" w:rsidRPr="002C224A">
        <w:rPr>
          <w:shd w:val="clear" w:color="auto" w:fill="FFFFFF"/>
        </w:rPr>
        <w:t xml:space="preserve"> </w:t>
      </w:r>
      <w:r w:rsidRPr="002C224A">
        <w:rPr>
          <w:shd w:val="clear" w:color="auto" w:fill="FFFFFF"/>
        </w:rPr>
        <w:t>(EK) zpracována analýza tržních selhání a suboptimálních investičních situací u vybraných specifických cílů OP PIK, které byly vy</w:t>
      </w:r>
      <w:r w:rsidRPr="002C224A">
        <w:t>brány k další analýze na základě screeningu vhodnosti využití finančních nástrojů podle zaměření podporovaných aktivit.</w:t>
      </w:r>
    </w:p>
    <w:p w:rsidR="006D67F1" w:rsidRPr="002C224A" w:rsidRDefault="006D67F1" w:rsidP="008074B1"/>
    <w:p w:rsidR="006D67F1" w:rsidRPr="002C224A" w:rsidRDefault="006D67F1" w:rsidP="008074B1">
      <w:pPr>
        <w:pStyle w:val="Nadpis2"/>
        <w:rPr>
          <w:rFonts w:ascii="Calibri" w:hAnsi="Calibri"/>
        </w:rPr>
      </w:pPr>
      <w:bookmarkStart w:id="18" w:name="_Toc421534275"/>
      <w:r w:rsidRPr="002C224A">
        <w:rPr>
          <w:rFonts w:ascii="Calibri" w:hAnsi="Calibri"/>
        </w:rPr>
        <w:t>Specifický cíl 1.1 – Zvýšení inovační výkonnosti podniků</w:t>
      </w:r>
      <w:bookmarkEnd w:id="18"/>
    </w:p>
    <w:p w:rsidR="006D67F1" w:rsidRPr="002C224A" w:rsidRDefault="006D67F1" w:rsidP="008074B1">
      <w:pPr>
        <w:pStyle w:val="Nadpis3"/>
        <w:rPr>
          <w:rFonts w:ascii="Calibri" w:hAnsi="Calibri"/>
        </w:rPr>
      </w:pPr>
      <w:bookmarkStart w:id="19" w:name="_Toc421534276"/>
      <w:r w:rsidRPr="002C224A">
        <w:rPr>
          <w:rFonts w:ascii="Calibri" w:hAnsi="Calibri"/>
        </w:rPr>
        <w:t>Zaměření specifického cíle</w:t>
      </w:r>
      <w:bookmarkEnd w:id="19"/>
    </w:p>
    <w:p w:rsidR="006D67F1" w:rsidRPr="00A50943" w:rsidRDefault="006D67F1" w:rsidP="008074B1">
      <w:pPr>
        <w:pStyle w:val="Neslovannadpisy"/>
      </w:pPr>
      <w:r w:rsidRPr="00A50943">
        <w:t xml:space="preserve">Podporované aktivity: </w:t>
      </w:r>
    </w:p>
    <w:p w:rsidR="006D67F1" w:rsidRPr="002C224A" w:rsidRDefault="006D67F1" w:rsidP="00554FD3">
      <w:pPr>
        <w:pStyle w:val="Odstavecseseznamem1"/>
        <w:numPr>
          <w:ilvl w:val="0"/>
          <w:numId w:val="3"/>
        </w:numPr>
        <w:ind w:left="709" w:hanging="349"/>
      </w:pPr>
      <w:r w:rsidRPr="002C224A">
        <w:t>Zakládání a rozvoj podnikových výzkumných a vývojových center ve vazbě na jasně definovanou, životaschopnou strategii firmy.</w:t>
      </w:r>
    </w:p>
    <w:p w:rsidR="006D67F1" w:rsidRPr="002C224A" w:rsidRDefault="006D67F1" w:rsidP="00554FD3">
      <w:pPr>
        <w:pStyle w:val="Odstavecseseznamem1"/>
        <w:numPr>
          <w:ilvl w:val="0"/>
          <w:numId w:val="3"/>
        </w:numPr>
        <w:ind w:left="709" w:hanging="349"/>
      </w:pPr>
      <w:r w:rsidRPr="002C224A">
        <w:t>Zavádění inovací výrobků a služeb do výroby a jejich uvedení na trh (např. up-scaling, pilotní výrobní linky apod.).</w:t>
      </w:r>
    </w:p>
    <w:p w:rsidR="006D67F1" w:rsidRPr="002C224A" w:rsidRDefault="006D67F1" w:rsidP="008074B1">
      <w:pPr>
        <w:pStyle w:val="Odstavecseseznamem1"/>
        <w:numPr>
          <w:ilvl w:val="0"/>
          <w:numId w:val="3"/>
        </w:numPr>
      </w:pPr>
      <w:r w:rsidRPr="002C224A">
        <w:t>Zvýšení efektivnosti výrobních procesů, zavádění procesních a marketingových inovací.</w:t>
      </w:r>
    </w:p>
    <w:p w:rsidR="006D67F1" w:rsidRPr="002C224A" w:rsidRDefault="006D67F1" w:rsidP="008074B1">
      <w:pPr>
        <w:pStyle w:val="Odstavecseseznamem1"/>
        <w:numPr>
          <w:ilvl w:val="0"/>
          <w:numId w:val="3"/>
        </w:numPr>
      </w:pPr>
      <w:r w:rsidRPr="002C224A">
        <w:t>Ochrana duševního vlastnictví v podnicích.</w:t>
      </w:r>
    </w:p>
    <w:p w:rsidR="006D67F1" w:rsidRPr="002C224A" w:rsidRDefault="006D67F1" w:rsidP="00341E42">
      <w:pPr>
        <w:pStyle w:val="Odstavecseseznamem1"/>
        <w:numPr>
          <w:ilvl w:val="0"/>
          <w:numId w:val="3"/>
        </w:numPr>
        <w:ind w:left="709" w:hanging="349"/>
      </w:pPr>
      <w:r w:rsidRPr="002C224A">
        <w:t xml:space="preserve">Průmyslový výzkum a vývoj: realizace projektů aplikovaného výzkumu a experimentálního vývoje – realizovaných zejména ve spolupráci firem a výzkumných institucí, jejichž výsledky povedou následně k zavádění inovací vyšších řádů a k tvorbě produktů konkurenceschopných na světových trzích. </w:t>
      </w:r>
    </w:p>
    <w:p w:rsidR="006D67F1" w:rsidRPr="00A50943" w:rsidRDefault="006D67F1" w:rsidP="002C224A">
      <w:pPr>
        <w:pStyle w:val="Odstavecseseznamem1"/>
        <w:numPr>
          <w:ilvl w:val="0"/>
          <w:numId w:val="3"/>
        </w:numPr>
      </w:pPr>
      <w:r w:rsidRPr="002C224A">
        <w:t>Aktivity, kde inovační poptávku iniciuje veřejný sektor, jakožto významná část aplikační sféry, pomocí nástroje předkomerčního zadávání veřejných zakázek v inovacích („pre-commercial public procurement“, PCP</w:t>
      </w:r>
      <w:r w:rsidRPr="002C224A">
        <w:rPr>
          <w:rStyle w:val="Znakapoznpodarou"/>
          <w:rFonts w:ascii="Calibri" w:hAnsi="Calibri"/>
        </w:rPr>
        <w:footnoteReference w:id="14"/>
      </w:r>
      <w:r w:rsidRPr="00A50943">
        <w:t>).</w:t>
      </w:r>
    </w:p>
    <w:p w:rsidR="006D67F1" w:rsidRPr="002C224A" w:rsidRDefault="006D67F1" w:rsidP="008074B1">
      <w:pPr>
        <w:pStyle w:val="Neslovannadpisy"/>
      </w:pPr>
    </w:p>
    <w:p w:rsidR="006D67F1" w:rsidRPr="002C224A" w:rsidRDefault="006D67F1" w:rsidP="008074B1">
      <w:pPr>
        <w:pStyle w:val="Neslovannadpisy"/>
      </w:pPr>
      <w:r w:rsidRPr="002C224A">
        <w:t xml:space="preserve">Cílová skupina konečných příjemců: </w:t>
      </w:r>
    </w:p>
    <w:p w:rsidR="006D67F1" w:rsidRPr="002C224A" w:rsidRDefault="006D67F1" w:rsidP="008074B1">
      <w:r w:rsidRPr="002C224A">
        <w:t>Podnikatelské subjekty (zejména malé a střední, v odůvodněných případech velké podniky), organizace pro výzkum a šíření znalostí (tj. subjekty splňující definici výzkumné organizace dle Rámce pro státní podporu výzkumu, vývoje a inovací), orgány státní správy a samosprávy (včetně jejich svazků) a jim podřízené či jimi zřízené organizace (v případě PCP), dále zemědělští podnikatelé s výstupem projektu mimo seznam uvedený v Příloze I. Smlouvy o fungování EU v oblasti výzkumu a vývoje a inovací.</w:t>
      </w:r>
    </w:p>
    <w:p w:rsidR="006D67F1" w:rsidRPr="002C224A" w:rsidRDefault="006D67F1" w:rsidP="008074B1"/>
    <w:p w:rsidR="006D67F1" w:rsidRPr="002C224A" w:rsidRDefault="006D67F1" w:rsidP="008074B1">
      <w:pPr>
        <w:pStyle w:val="Neslovannadpisy"/>
      </w:pPr>
      <w:r w:rsidRPr="002C224A">
        <w:t xml:space="preserve">Cílové území: </w:t>
      </w:r>
    </w:p>
    <w:p w:rsidR="006D67F1" w:rsidRPr="002C224A" w:rsidRDefault="006D67F1" w:rsidP="008074B1">
      <w:r w:rsidRPr="002C224A">
        <w:t>Území České republiky, mimo území hl. města Prahy.</w:t>
      </w:r>
    </w:p>
    <w:p w:rsidR="006D67F1" w:rsidRPr="002C224A" w:rsidRDefault="006D67F1" w:rsidP="008074B1">
      <w:pPr>
        <w:pStyle w:val="Neslovannadpisy"/>
      </w:pPr>
    </w:p>
    <w:p w:rsidR="006D67F1" w:rsidRPr="002C224A" w:rsidRDefault="006D67F1" w:rsidP="008074B1">
      <w:pPr>
        <w:pStyle w:val="Neslovannadpisy"/>
      </w:pPr>
      <w:r w:rsidRPr="002C224A">
        <w:t>Výběr aktivit k posouzení vhodnosti finančního nástroje</w:t>
      </w:r>
    </w:p>
    <w:p w:rsidR="006D67F1" w:rsidRPr="002C224A" w:rsidRDefault="006D67F1" w:rsidP="008074B1">
      <w:r w:rsidRPr="002C224A">
        <w:t>Na základě vstupní analýzy byly pro bližší posouzení vybrány</w:t>
      </w:r>
      <w:r w:rsidRPr="002C224A">
        <w:rPr>
          <w:b/>
        </w:rPr>
        <w:t xml:space="preserve"> aktivity průmyslového výzkumu a vývoje</w:t>
      </w:r>
      <w:r w:rsidRPr="002C224A">
        <w:t xml:space="preserve"> a </w:t>
      </w:r>
      <w:r w:rsidRPr="002C224A">
        <w:rPr>
          <w:b/>
        </w:rPr>
        <w:t>zavádění inovací vyšších řádů</w:t>
      </w:r>
      <w:r w:rsidRPr="002C224A">
        <w:rPr>
          <w:rStyle w:val="Znakapoznpodarou"/>
          <w:rFonts w:ascii="Calibri" w:hAnsi="Calibri"/>
          <w:b/>
        </w:rPr>
        <w:footnoteReference w:id="15"/>
      </w:r>
      <w:r w:rsidRPr="002C224A">
        <w:rPr>
          <w:b/>
        </w:rPr>
        <w:t>výrobků, služeb, procesů a marketingu</w:t>
      </w:r>
      <w:r w:rsidRPr="002C224A">
        <w:t xml:space="preserve"> u skupiny konečných příjemců (podnikatelské subjekty).</w:t>
      </w:r>
    </w:p>
    <w:p w:rsidR="006D67F1" w:rsidRPr="002C224A" w:rsidRDefault="006D67F1" w:rsidP="008074B1"/>
    <w:p w:rsidR="006D67F1" w:rsidRPr="002C224A" w:rsidRDefault="006D67F1" w:rsidP="008074B1">
      <w:r w:rsidRPr="002C224A">
        <w:t xml:space="preserve">V rámci SC 1.1 by měly být podporovány především </w:t>
      </w:r>
      <w:r w:rsidRPr="002C224A">
        <w:rPr>
          <w:b/>
        </w:rPr>
        <w:t>existující podnikatelské subjekty a jejich projekty zaměřené na zavádění inovací a rozvoj výzkumných a vývojových aktivit</w:t>
      </w:r>
      <w:r w:rsidRPr="002C224A">
        <w:t xml:space="preserve">. Vzhledem k tomu, že se jedná o již existující podniky s určitou historií, disponují tyto podniky vlastními aktivy. Projekty, které </w:t>
      </w:r>
      <w:r w:rsidRPr="002C224A">
        <w:lastRenderedPageBreak/>
        <w:t>by měly být podpořeny v rámci tohoto SC, by měly podporovat další rozvoj a konkurenceschopnost firem díky investicím do vlastních aktivit výzkumu a vývoje (VaV) a/nebo zaváděním inovací (produktových, procesních, organizačních či marketingových). Jednotlivé aktivity se nicméně výrazně liší v míře rizika, návratnosti a cash-flow.</w:t>
      </w:r>
    </w:p>
    <w:p w:rsidR="006D67F1" w:rsidRPr="002C224A" w:rsidRDefault="006D67F1" w:rsidP="008074B1"/>
    <w:p w:rsidR="006D67F1" w:rsidRPr="002C224A" w:rsidRDefault="006D67F1" w:rsidP="008074B1">
      <w:pPr>
        <w:pStyle w:val="Nadpis3"/>
        <w:rPr>
          <w:rFonts w:ascii="Calibri" w:hAnsi="Calibri"/>
        </w:rPr>
      </w:pPr>
      <w:bookmarkStart w:id="20" w:name="_Toc421534277"/>
      <w:r w:rsidRPr="002C224A">
        <w:rPr>
          <w:rFonts w:ascii="Calibri" w:hAnsi="Calibri"/>
        </w:rPr>
        <w:t>Analýza selhání trhu</w:t>
      </w:r>
      <w:bookmarkEnd w:id="20"/>
    </w:p>
    <w:p w:rsidR="006D67F1" w:rsidRPr="002C224A" w:rsidRDefault="006D67F1" w:rsidP="00C72C85">
      <w:pPr>
        <w:pStyle w:val="Nadpis4"/>
        <w:rPr>
          <w:rFonts w:ascii="Calibri" w:hAnsi="Calibri"/>
        </w:rPr>
      </w:pPr>
      <w:r w:rsidRPr="002C224A">
        <w:rPr>
          <w:rFonts w:ascii="Calibri" w:hAnsi="Calibri"/>
        </w:rPr>
        <w:t>Tržní analýza</w:t>
      </w:r>
    </w:p>
    <w:p w:rsidR="006D67F1" w:rsidRPr="00A50943" w:rsidDel="002E0758" w:rsidRDefault="006D67F1" w:rsidP="008074B1"/>
    <w:p w:rsidR="006D67F1" w:rsidRPr="002C224A" w:rsidRDefault="006D67F1" w:rsidP="008074B1">
      <w:r w:rsidRPr="002C224A">
        <w:rPr>
          <w:b/>
        </w:rPr>
        <w:t>V České republice byl dle údajů ČSÚ v roce 2012 VaV prováděn ve 2 311 podnicích na 2 334 pracovištích</w:t>
      </w:r>
      <w:r w:rsidRPr="002C224A">
        <w:t xml:space="preserve">, z nichž přibližně </w:t>
      </w:r>
      <w:r w:rsidRPr="002C224A">
        <w:rPr>
          <w:b/>
        </w:rPr>
        <w:t>polovina se věnuje VaV činnosti v posledních pěti letech soustavně</w:t>
      </w:r>
      <w:r w:rsidRPr="002C224A">
        <w:t xml:space="preserve">. Především u menších ekonomických subjektů je vyšší zastoupení podniků, jež neprováděly VaV po celé sledované období. Z výše uvedených 2 334 pracovišť VaV v podnikatelském sektoru pouze ve čtvrtině z nich bylo v roce 2012 za VaV </w:t>
      </w:r>
      <w:r w:rsidR="00341E42" w:rsidRPr="002C224A">
        <w:t xml:space="preserve">vynaloženo </w:t>
      </w:r>
      <w:r w:rsidRPr="002C224A">
        <w:t xml:space="preserve">více jak </w:t>
      </w:r>
      <w:smartTag w:uri="urn:schemas-microsoft-com:office:smarttags" w:element="metricconverter">
        <w:smartTagPr>
          <w:attr w:name="ProductID" w:val="10 mil"/>
        </w:smartTagPr>
        <w:r w:rsidRPr="002C224A">
          <w:t>10 mil</w:t>
        </w:r>
      </w:smartTag>
      <w:r w:rsidRPr="002C224A">
        <w:t xml:space="preserve">. Kč a pouze ve třech ze sta více jak </w:t>
      </w:r>
      <w:smartTag w:uri="urn:schemas-microsoft-com:office:smarttags" w:element="metricconverter">
        <w:smartTagPr>
          <w:attr w:name="ProductID" w:val="100 mil"/>
        </w:smartTagPr>
        <w:r w:rsidRPr="002C224A">
          <w:t>100 mil</w:t>
        </w:r>
      </w:smartTag>
      <w:r w:rsidRPr="002C224A">
        <w:t xml:space="preserve">. Kč. Naopak </w:t>
      </w:r>
      <w:r w:rsidRPr="002C224A">
        <w:rPr>
          <w:b/>
        </w:rPr>
        <w:t xml:space="preserve">téměř čtvrtina z těchto pracovišť uváděla, že za provedený VaV v roce 2012 </w:t>
      </w:r>
      <w:r w:rsidR="00341E42" w:rsidRPr="002C224A">
        <w:rPr>
          <w:b/>
        </w:rPr>
        <w:t>vynaložila</w:t>
      </w:r>
      <w:r w:rsidR="00191448" w:rsidRPr="002C224A">
        <w:rPr>
          <w:b/>
        </w:rPr>
        <w:t xml:space="preserve"> </w:t>
      </w:r>
      <w:r w:rsidRPr="002C224A">
        <w:rPr>
          <w:b/>
        </w:rPr>
        <w:t>méně než milion korun a ve třech čtvrtinách pracovalo méně než 10 přepočtených osob ve VaV</w:t>
      </w:r>
      <w:r w:rsidRPr="002C224A">
        <w:t>.</w:t>
      </w:r>
    </w:p>
    <w:p w:rsidR="006D67F1" w:rsidRPr="002C224A" w:rsidRDefault="006D67F1" w:rsidP="008074B1"/>
    <w:p w:rsidR="006D67F1" w:rsidRPr="002C224A" w:rsidRDefault="006D67F1" w:rsidP="008074B1">
      <w:r w:rsidRPr="002C224A">
        <w:t>Pokud jde o vlastnictví sledovaných podniků, přibližně tři čtvrtiny tvoří soukromé domácí podniky (1 710), necelá čtvrtina (549) připadá na podniky pod zahraniční kontrolou a 2,5 % na veřejné podniky. Pokud jde o velikost sledovaných ekonomických subjektů provádějících VaV podnikatelském sektoru, ve třetině z nich jde o střední podniky s 50 až 249 zaměstnanci, tři z deseti se nacházejí mezi malými podniky s 10 až 49 zaměstnanci a necelá pětina pak připadá na mikropodniky (0–9 zaměstnanci) a na velké podniky s 250 a více zaměstnanci.</w:t>
      </w:r>
    </w:p>
    <w:p w:rsidR="0045138F" w:rsidRPr="002C224A" w:rsidRDefault="0045138F" w:rsidP="008074B1"/>
    <w:p w:rsidR="0045138F" w:rsidRPr="002C224A" w:rsidRDefault="0045138F" w:rsidP="008074B1">
      <w:r w:rsidRPr="002C224A">
        <w:t>Poslední provedené šetření ČSÚ inovačních aktivit v ČR s výsledky pro rok 2010-2012 udává, že v ČR se inovačními aktivitami zabývalo až 44 % podniků (37 % technickými inovacemi, 32 % netechnickými)</w:t>
      </w:r>
      <w:r w:rsidR="0068568E" w:rsidRPr="002C224A">
        <w:t>, viz graf níže.</w:t>
      </w:r>
      <w:r w:rsidR="00AA4F6C" w:rsidRPr="002C224A">
        <w:t xml:space="preserve"> Je nutné zohlednit, že </w:t>
      </w:r>
      <w:r w:rsidR="00294A1F" w:rsidRPr="002C224A">
        <w:t>jen část</w:t>
      </w:r>
      <w:r w:rsidR="00AA4F6C" w:rsidRPr="002C224A">
        <w:t xml:space="preserve"> uvádě</w:t>
      </w:r>
      <w:r w:rsidR="00294A1F" w:rsidRPr="002C224A">
        <w:t>ných</w:t>
      </w:r>
      <w:r w:rsidR="00AA4F6C" w:rsidRPr="002C224A">
        <w:t xml:space="preserve"> inovační</w:t>
      </w:r>
      <w:r w:rsidR="00294A1F" w:rsidRPr="002C224A">
        <w:t>ch aktivit v tomto šetření spadá</w:t>
      </w:r>
      <w:r w:rsidR="00AA4F6C" w:rsidRPr="002C224A">
        <w:t xml:space="preserve"> do podpory SC 1.1, částečně spadají do aktivit podporovaných v SC 2.1.</w:t>
      </w:r>
    </w:p>
    <w:p w:rsidR="0045138F" w:rsidRPr="00A50943" w:rsidRDefault="007A3F34" w:rsidP="002C224A">
      <w:pPr>
        <w:keepNext/>
      </w:pPr>
      <w:r w:rsidRPr="00A50943">
        <w:rPr>
          <w:noProof/>
        </w:rPr>
        <w:drawing>
          <wp:inline distT="0" distB="0" distL="0" distR="0" wp14:anchorId="33BB6192" wp14:editId="369AE8AB">
            <wp:extent cx="5943600" cy="1857375"/>
            <wp:effectExtent l="0" t="0" r="0" b="9525"/>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l="31834" t="45045" r="21677" b="29100"/>
                    <a:stretch>
                      <a:fillRect/>
                    </a:stretch>
                  </pic:blipFill>
                  <pic:spPr bwMode="auto">
                    <a:xfrm>
                      <a:off x="0" y="0"/>
                      <a:ext cx="5943600" cy="1857375"/>
                    </a:xfrm>
                    <a:prstGeom prst="rect">
                      <a:avLst/>
                    </a:prstGeom>
                    <a:noFill/>
                    <a:ln>
                      <a:noFill/>
                    </a:ln>
                  </pic:spPr>
                </pic:pic>
              </a:graphicData>
            </a:graphic>
          </wp:inline>
        </w:drawing>
      </w:r>
    </w:p>
    <w:p w:rsidR="0045138F" w:rsidRPr="002C224A" w:rsidRDefault="0045138F" w:rsidP="002C224A">
      <w:pPr>
        <w:pStyle w:val="Titulek"/>
      </w:pPr>
      <w:r w:rsidRPr="002C224A">
        <w:t xml:space="preserve">Obrázek </w:t>
      </w:r>
      <w:r w:rsidR="008F5D1D">
        <w:fldChar w:fldCharType="begin"/>
      </w:r>
      <w:r w:rsidR="008F5D1D">
        <w:instrText xml:space="preserve"> SEQ Obrázek \* ARABIC </w:instrText>
      </w:r>
      <w:r w:rsidR="008F5D1D">
        <w:fldChar w:fldCharType="separate"/>
      </w:r>
      <w:r w:rsidR="005A25ED">
        <w:rPr>
          <w:noProof/>
        </w:rPr>
        <w:t>4</w:t>
      </w:r>
      <w:r w:rsidR="008F5D1D">
        <w:rPr>
          <w:noProof/>
        </w:rPr>
        <w:fldChar w:fldCharType="end"/>
      </w:r>
      <w:r w:rsidRPr="002C224A">
        <w:t>: Inovující podniky v ČR</w:t>
      </w:r>
    </w:p>
    <w:p w:rsidR="0045138F" w:rsidRPr="002C224A" w:rsidRDefault="0045138F" w:rsidP="002C224A">
      <w:pPr>
        <w:pStyle w:val="Titulek"/>
      </w:pPr>
      <w:r w:rsidRPr="002C224A">
        <w:t>Zdroj: Inovační aktivity podniků v ČR: 2010-2012, ČSÚ</w:t>
      </w:r>
    </w:p>
    <w:p w:rsidR="0045138F" w:rsidRPr="00A50943" w:rsidRDefault="0045138F" w:rsidP="008074B1"/>
    <w:p w:rsidR="00C066D1" w:rsidRPr="002C224A" w:rsidRDefault="00C066D1" w:rsidP="008074B1">
      <w:r w:rsidRPr="002C224A">
        <w:t>MSP inovují výrazně méně než velké podniky, obdobně je výrazně menší i podíl jejich tržeb z nových produktů.</w:t>
      </w:r>
    </w:p>
    <w:p w:rsidR="006D67F1" w:rsidRPr="002C224A" w:rsidRDefault="006D67F1" w:rsidP="002E0758"/>
    <w:p w:rsidR="006D67F1" w:rsidRPr="002C224A" w:rsidRDefault="006D67F1" w:rsidP="002E0758">
      <w:r w:rsidRPr="002C224A">
        <w:t>Hodnocení Innovation Union Scoreboard 2014 podle dat Eurostatu indikuje, že výdaje českých podniků na inovace dosahují 122 % průměru EU. Ve struktuře výdajů na inovace hrají v ČR dlouhodobě nejvýznamnější roli investice do pořízení strojů, zařízení a softwaru, které tvoří více než polovinu celkových výdajů. Naopak výdaje na podnikové VaV v ČR tvoří dle těchto dat jen 77 % průměru EU.</w:t>
      </w:r>
    </w:p>
    <w:p w:rsidR="006D67F1" w:rsidRPr="002C224A" w:rsidRDefault="006D67F1" w:rsidP="002E0758"/>
    <w:p w:rsidR="006D67F1" w:rsidRPr="002C224A" w:rsidRDefault="006D67F1" w:rsidP="002E0758">
      <w:r w:rsidRPr="002C224A">
        <w:rPr>
          <w:b/>
        </w:rPr>
        <w:lastRenderedPageBreak/>
        <w:t>To značí poměrně velkou dif</w:t>
      </w:r>
      <w:r w:rsidR="00191448" w:rsidRPr="002C224A">
        <w:rPr>
          <w:b/>
        </w:rPr>
        <w:t>u</w:t>
      </w:r>
      <w:r w:rsidRPr="002C224A">
        <w:rPr>
          <w:b/>
        </w:rPr>
        <w:t>zi technologií ze zahraničí a spíše adaptivní charakter českých inovací, kdy podniky v ČR přejímají vyspělé technologie a výrobní procesy a zavádějí je ve svých výrobách.</w:t>
      </w:r>
      <w:r w:rsidR="00191448" w:rsidRPr="002C224A">
        <w:rPr>
          <w:b/>
        </w:rPr>
        <w:t xml:space="preserve"> </w:t>
      </w:r>
      <w:r w:rsidRPr="002C224A">
        <w:rPr>
          <w:b/>
        </w:rPr>
        <w:t>Tyto výsledky zapadají do obecné kategorizace průmyslu ČR jako inovačního následovníka s omezenou aktivitou firem v oblasti vlastního VaV.</w:t>
      </w:r>
      <w:r w:rsidRPr="002C224A">
        <w:t xml:space="preserve"> Určitý rozdíl ve struktuře nákladů na inovace je u podniků pod zahraniční kontrolou, které vynakládají výrazně vyšší objem prostředků na VaVaI za nákup externích služeb (zejména patrně od mateřských společností či podniků ve skupině).</w:t>
      </w:r>
    </w:p>
    <w:p w:rsidR="006D67F1" w:rsidRPr="002C224A" w:rsidRDefault="006D67F1" w:rsidP="002E0758"/>
    <w:p w:rsidR="006D67F1" w:rsidRPr="002C224A" w:rsidRDefault="006D67F1" w:rsidP="002E0758">
      <w:r w:rsidRPr="002C224A">
        <w:t>V celkovém hodnocení žebříčku Innovation Union 2014 je ČR zařazována do skupiny mírných inovátorů. Jedná se však o agregovaný index s širším spektrem parametrů.</w:t>
      </w:r>
    </w:p>
    <w:p w:rsidR="006D67F1" w:rsidRPr="002C224A" w:rsidRDefault="006D67F1" w:rsidP="008074B1"/>
    <w:p w:rsidR="006D67F1" w:rsidRPr="002C224A" w:rsidRDefault="007A3F34" w:rsidP="008074B1">
      <w:pPr>
        <w:keepNext/>
      </w:pPr>
      <w:r w:rsidRPr="002C224A">
        <w:rPr>
          <w:noProof/>
        </w:rPr>
        <w:drawing>
          <wp:inline distT="0" distB="0" distL="0" distR="0" wp14:anchorId="6FDCBEA9" wp14:editId="028B51BC">
            <wp:extent cx="5162550" cy="2152650"/>
            <wp:effectExtent l="0" t="0" r="0" b="0"/>
            <wp:docPr id="8" name="Obráze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152650"/>
                    </a:xfrm>
                    <a:prstGeom prst="rect">
                      <a:avLst/>
                    </a:prstGeom>
                    <a:noFill/>
                    <a:ln>
                      <a:noFill/>
                    </a:ln>
                  </pic:spPr>
                </pic:pic>
              </a:graphicData>
            </a:graphic>
          </wp:inline>
        </w:drawing>
      </w:r>
    </w:p>
    <w:p w:rsidR="006D67F1" w:rsidRPr="002C224A" w:rsidRDefault="006D67F1" w:rsidP="008074B1">
      <w:pPr>
        <w:pStyle w:val="Titulek"/>
        <w:rPr>
          <w:noProof/>
        </w:rPr>
      </w:pPr>
      <w:r w:rsidRPr="002C224A">
        <w:t xml:space="preserve">Obrázek </w:t>
      </w:r>
      <w:r w:rsidR="008F5D1D">
        <w:fldChar w:fldCharType="begin"/>
      </w:r>
      <w:r w:rsidR="008F5D1D">
        <w:instrText xml:space="preserve"> SEQ Obrázek \* ARABIC </w:instrText>
      </w:r>
      <w:r w:rsidR="008F5D1D">
        <w:fldChar w:fldCharType="separate"/>
      </w:r>
      <w:r w:rsidR="005A25ED">
        <w:rPr>
          <w:noProof/>
        </w:rPr>
        <w:t>5</w:t>
      </w:r>
      <w:r w:rsidR="008F5D1D">
        <w:rPr>
          <w:noProof/>
        </w:rPr>
        <w:fldChar w:fldCharType="end"/>
      </w:r>
      <w:r w:rsidRPr="002C224A">
        <w:t xml:space="preserve"> - Inovační</w:t>
      </w:r>
      <w:r w:rsidRPr="002C224A">
        <w:rPr>
          <w:noProof/>
        </w:rPr>
        <w:t xml:space="preserve"> výkonnost členských zemí EU,</w:t>
      </w:r>
    </w:p>
    <w:p w:rsidR="006D67F1" w:rsidRPr="002C224A" w:rsidRDefault="006D67F1" w:rsidP="008074B1">
      <w:pPr>
        <w:pStyle w:val="Titulek"/>
      </w:pPr>
      <w:r w:rsidRPr="002C224A">
        <w:rPr>
          <w:noProof/>
        </w:rPr>
        <w:t>Zdroj: Inovation Union Scoreboard 2014</w:t>
      </w:r>
    </w:p>
    <w:p w:rsidR="006D67F1" w:rsidRPr="00A50943" w:rsidRDefault="006D67F1" w:rsidP="008074B1"/>
    <w:p w:rsidR="006D67F1" w:rsidRPr="002C224A" w:rsidRDefault="006D67F1" w:rsidP="008074B1">
      <w:pPr>
        <w:pStyle w:val="Neslovannadpisy"/>
      </w:pPr>
      <w:r w:rsidRPr="002C224A">
        <w:t>Soukromé a veřejné zdroje financování</w:t>
      </w:r>
    </w:p>
    <w:p w:rsidR="006D67F1" w:rsidRPr="002C224A" w:rsidRDefault="006D67F1" w:rsidP="008074B1">
      <w:pPr>
        <w:rPr>
          <w:b/>
        </w:rPr>
      </w:pPr>
      <w:r w:rsidRPr="002C224A">
        <w:rPr>
          <w:b/>
        </w:rPr>
        <w:t>Výzkum a vývoj</w:t>
      </w:r>
    </w:p>
    <w:p w:rsidR="006D67F1" w:rsidRPr="002C224A" w:rsidRDefault="006D67F1" w:rsidP="008074B1">
      <w:r w:rsidRPr="002C224A">
        <w:t>Celkové výdaje na VaV zahrnující veškeré neinvestiční a investiční výdaje vynaložené ve sledovaném roce na VaV prováděný na území ČR činily v roce 2013 77,9 mld. Kč, což odpovídalo 1,91% podílu na HDP</w:t>
      </w:r>
      <w:r w:rsidRPr="002C224A">
        <w:rPr>
          <w:rStyle w:val="Znakapoznpodarou"/>
          <w:rFonts w:ascii="Calibri" w:hAnsi="Calibri"/>
        </w:rPr>
        <w:footnoteReference w:id="16"/>
      </w:r>
      <w:r w:rsidRPr="002C224A">
        <w:t>. V obou případech jde o nejvyšší zaznamenané hodnoty za celé sledované období. Mezi lety 2010-2013 došlo ke značnému nárůstu těchto výdajů, a to téměř o 25 mld. Kč.</w:t>
      </w:r>
      <w:r w:rsidR="00341E42" w:rsidRPr="002C224A">
        <w:t xml:space="preserve"> </w:t>
      </w:r>
      <w:r w:rsidRPr="002C224A">
        <w:rPr>
          <w:b/>
        </w:rPr>
        <w:t>Největším dílem se na nárůstu výdajů, který v posledním roce činil 5,5 mld. Kč, podílely domácí podnikatelské zdroje</w:t>
      </w:r>
      <w:r w:rsidRPr="002C224A">
        <w:t>.</w:t>
      </w:r>
      <w:r w:rsidRPr="002C224A">
        <w:rPr>
          <w:b/>
        </w:rPr>
        <w:t xml:space="preserve"> Meziročně vzrostly o 3 mld. Kč</w:t>
      </w:r>
      <w:r w:rsidRPr="002C224A">
        <w:t>. V posledních pěti letech se nicméně celkové veřejné zdroje na financování VaV provedeného v ČR stále podílejí těsnou nadpoloviční většinou, a to především díky narůstajícím zdrojům z EU.</w:t>
      </w:r>
      <w:r w:rsidR="00341E42" w:rsidRPr="002C224A">
        <w:t xml:space="preserve"> </w:t>
      </w:r>
      <w:r w:rsidRPr="002C224A">
        <w:t>Podíl aplikovaného výzkumu, resp. experimentálního vývoje se na celkových výdajích na VaV v roce 2013 pohyboval na úrovni 32, resp. 35 %. Zbytek připadal na základní výzkum. Výdaje na inovace nejsou ČSÚ evidovány.</w:t>
      </w:r>
    </w:p>
    <w:p w:rsidR="006D67F1" w:rsidRPr="002C224A" w:rsidRDefault="006D67F1" w:rsidP="008074B1"/>
    <w:p w:rsidR="006D67F1" w:rsidRPr="002C224A" w:rsidRDefault="006D67F1" w:rsidP="008074B1">
      <w:r w:rsidRPr="002C224A">
        <w:t>Na VaV se nejvíce peněz vynaložilo v podnikatelském sektoru (42,1 mld. Kč v roce 2013).</w:t>
      </w:r>
      <w:r w:rsidR="00341E42" w:rsidRPr="002C224A">
        <w:t xml:space="preserve"> </w:t>
      </w:r>
      <w:r w:rsidRPr="002C224A">
        <w:rPr>
          <w:b/>
        </w:rPr>
        <w:t xml:space="preserve">Na financování výzkumu v tomto sektoru se podílejí především podniky svými vlastními zdroji </w:t>
      </w:r>
      <w:r w:rsidRPr="002C224A">
        <w:t>a dále pak účelová podpora státního rozpočtu a Evropské unie,</w:t>
      </w:r>
      <w:r w:rsidRPr="002C224A">
        <w:rPr>
          <w:b/>
        </w:rPr>
        <w:t xml:space="preserve"> především ze strukturálních fondů EU (v minulém období OP PI).</w:t>
      </w:r>
    </w:p>
    <w:p w:rsidR="006D67F1" w:rsidRPr="002C224A" w:rsidDel="00613E20" w:rsidRDefault="006D67F1" w:rsidP="008074B1"/>
    <w:p w:rsidR="006D67F1" w:rsidRPr="002C224A" w:rsidRDefault="006D67F1" w:rsidP="008074B1">
      <w:r w:rsidRPr="002C224A">
        <w:t xml:space="preserve">Většinu peněz vynakládají podniky na vlastní výzkum, největší obnos tak očekávaně putuje do VaV v oblasti technických věd. </w:t>
      </w:r>
      <w:r w:rsidRPr="002C224A">
        <w:rPr>
          <w:b/>
        </w:rPr>
        <w:t>Technické vědy mají výrazný 73% podíl na podnikatelských zdrojích vynaložených na VaV</w:t>
      </w:r>
      <w:r w:rsidRPr="002C224A">
        <w:t>.</w:t>
      </w:r>
      <w:r w:rsidR="00341E42" w:rsidRPr="002C224A">
        <w:t xml:space="preserve"> </w:t>
      </w:r>
      <w:r w:rsidRPr="002C224A">
        <w:t xml:space="preserve">Velmi málo prostředků naopak ve srovnání s dalšími zeměmi OECD vynakládají české podniky na spolupráci s vysokými školami a pracovišti vládního sektoru. Z podnikatelských zdrojů putovaly v roce 2013 do VaV v těchto dvou sektorech necelé 2,5 mld. Kč, což tvořilo pouhých 6 % </w:t>
      </w:r>
      <w:r w:rsidRPr="002C224A">
        <w:lastRenderedPageBreak/>
        <w:t>podnikatelských zdrojů vynaložených na VaV provedený na území ČR</w:t>
      </w:r>
      <w:r w:rsidRPr="002C224A">
        <w:rPr>
          <w:rStyle w:val="Znakapoznpodarou"/>
          <w:rFonts w:ascii="Calibri" w:hAnsi="Calibri"/>
        </w:rPr>
        <w:footnoteReference w:id="17"/>
      </w:r>
      <w:r w:rsidRPr="002C224A">
        <w:t>.</w:t>
      </w:r>
      <w:r w:rsidR="00341E42" w:rsidRPr="002C224A">
        <w:t xml:space="preserve"> </w:t>
      </w:r>
      <w:r w:rsidRPr="002C224A">
        <w:t>Většinu toho tvořily licenční poplatky AVČR.</w:t>
      </w:r>
    </w:p>
    <w:p w:rsidR="006D67F1" w:rsidRPr="002C224A" w:rsidRDefault="006D67F1" w:rsidP="008074B1"/>
    <w:p w:rsidR="006D67F1" w:rsidRPr="002C224A" w:rsidRDefault="006D67F1" w:rsidP="008074B1">
      <w:r w:rsidRPr="002C224A">
        <w:t>Nejvíce peněz z podnikatelských zdrojů se vynakládá na VaV ve zpracovatelském průmyslu, v roce 2013 to bylo 22,4 mld. Kč. Z ostatních odvětví ekonomické činnosti byly z podnikatelských zdrojů značné částky vynaloženy na VaV v informačních a komunikačních činnostech (4,9 mld. Kč) a v odvětví výzkumu a vývoje (3,8 mld. Kč).</w:t>
      </w:r>
    </w:p>
    <w:p w:rsidR="006D67F1" w:rsidRPr="002C224A" w:rsidRDefault="006D67F1" w:rsidP="008074B1"/>
    <w:p w:rsidR="006D67F1" w:rsidRPr="002C224A" w:rsidRDefault="007A3F34" w:rsidP="008074B1">
      <w:pPr>
        <w:keepNext/>
      </w:pPr>
      <w:r w:rsidRPr="002C224A">
        <w:rPr>
          <w:noProof/>
        </w:rPr>
        <w:drawing>
          <wp:inline distT="0" distB="0" distL="0" distR="0" wp14:anchorId="35CB41FC" wp14:editId="51AF2C3A">
            <wp:extent cx="5676900" cy="1666875"/>
            <wp:effectExtent l="0" t="0" r="0" b="9525"/>
            <wp:docPr id="9" name="Obráze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1666875"/>
                    </a:xfrm>
                    <a:prstGeom prst="rect">
                      <a:avLst/>
                    </a:prstGeom>
                    <a:noFill/>
                    <a:ln>
                      <a:noFill/>
                    </a:ln>
                  </pic:spPr>
                </pic:pic>
              </a:graphicData>
            </a:graphic>
          </wp:inline>
        </w:drawing>
      </w:r>
    </w:p>
    <w:p w:rsidR="006D67F1" w:rsidRPr="002C224A" w:rsidRDefault="006C318C" w:rsidP="008074B1">
      <w:pPr>
        <w:pStyle w:val="Titulek"/>
      </w:pPr>
      <w:r>
        <w:t>Obrázek</w:t>
      </w:r>
      <w:r>
        <w:rPr>
          <w:noProof/>
        </w:rPr>
        <w:t xml:space="preserve"> 6</w:t>
      </w:r>
      <w:r w:rsidR="006D67F1" w:rsidRPr="002C224A">
        <w:t>: Výdaje na VaV financované z podnikatelských zdrojů podle sektorů provádění VaV (mld.  Kč)</w:t>
      </w:r>
    </w:p>
    <w:p w:rsidR="006D67F1" w:rsidRPr="002C224A" w:rsidRDefault="006D67F1" w:rsidP="008074B1">
      <w:pPr>
        <w:pStyle w:val="Titulek"/>
      </w:pPr>
      <w:r w:rsidRPr="002C224A">
        <w:t>Zdroj: ČSÚ</w:t>
      </w:r>
    </w:p>
    <w:p w:rsidR="006D67F1" w:rsidRPr="002C224A" w:rsidRDefault="006D67F1" w:rsidP="008074B1">
      <w:r w:rsidRPr="00A50943">
        <w:t>V cílovém segmentu SC 1.1 průmyslového výzkumu a vývoje se tedy na financování významně podílí jak soukromé, tak z velké části i veřejné zdroje, které jsou poskytovány téměř výluč</w:t>
      </w:r>
      <w:r w:rsidRPr="002C224A">
        <w:t>ně formou nenávratných dotací.</w:t>
      </w:r>
    </w:p>
    <w:p w:rsidR="006D67F1" w:rsidRPr="002C224A" w:rsidRDefault="006D67F1" w:rsidP="008074B1"/>
    <w:p w:rsidR="006D67F1" w:rsidRPr="002C224A" w:rsidRDefault="006D67F1" w:rsidP="008C61FF">
      <w:pPr>
        <w:rPr>
          <w:b/>
        </w:rPr>
      </w:pPr>
      <w:r w:rsidRPr="002C224A">
        <w:rPr>
          <w:b/>
        </w:rPr>
        <w:t>Inovace</w:t>
      </w:r>
    </w:p>
    <w:p w:rsidR="00C066D1" w:rsidRPr="002C224A" w:rsidRDefault="00C066D1" w:rsidP="0008236A">
      <w:r w:rsidRPr="002C224A">
        <w:t>Celkové náklady na inovační aktivity související s technickými inovacemi v roce 2012 dosáhly dle průzkumu ČSÚ výše 99,1 mld. Kč (opět s částečným přesahem do inovačních aktivit podporovaných v SC 2.1).</w:t>
      </w:r>
      <w:r w:rsidR="00E86592" w:rsidRPr="002C224A">
        <w:t xml:space="preserve"> Převážná část spadala do zpracovatelského průmyslu.</w:t>
      </w:r>
      <w:r w:rsidRPr="002C224A">
        <w:t xml:space="preserve"> Více než celou polovinu této částky (62,4 %) připadalo na velké podniky, konkrétně 61,9 mld. Kč. Střední podniky vynaložily na své technické inovace 22,4 mld. Kč (22,6 %). Malé podniky vydaly na technické inovace 14,8 mld. Kč, což odpovídá podílu 14,9 %. Technicky inovující zahraniční afilace investovaly do zavádění inovací více (65,8 mld. Kč) než domácí podniky (33,4 mld. Kč). Ve srovnání s rokem 2010 celkové náklady na technické inovace vzrostly o 20,9 %.</w:t>
      </w:r>
    </w:p>
    <w:p w:rsidR="00C066D1" w:rsidRPr="002C224A" w:rsidRDefault="00C066D1" w:rsidP="0074622E"/>
    <w:p w:rsidR="00C066D1" w:rsidRPr="002C224A" w:rsidRDefault="00D644B2" w:rsidP="0074622E">
      <w:r w:rsidRPr="002C224A">
        <w:t>Jako zásadní zdroj financování je zde možné označit vlastní zdroje podniku doplněné o externí bankovní zdroje a zdroje veřejné podpory – přesná kvantifikace však není dostupná.</w:t>
      </w:r>
    </w:p>
    <w:p w:rsidR="006D67F1" w:rsidRPr="002C224A" w:rsidRDefault="006D67F1" w:rsidP="008074B1"/>
    <w:p w:rsidR="006D67F1" w:rsidRPr="002C224A" w:rsidRDefault="006D67F1" w:rsidP="008074B1">
      <w:pPr>
        <w:rPr>
          <w:b/>
        </w:rPr>
      </w:pPr>
      <w:r w:rsidRPr="002C224A">
        <w:t>U soukromých podnikatelských zdrojů se dá předpokládat vysoký podíl externího bankovního financování, byť se jedná o projekty značně rizikové a tedy s potřebou vysokého zajištění.</w:t>
      </w:r>
      <w:r w:rsidR="00341E42" w:rsidRPr="002C224A">
        <w:t xml:space="preserve"> </w:t>
      </w:r>
      <w:r w:rsidRPr="002C224A">
        <w:t xml:space="preserve">Soukromé finanční instituce v Česku realizovaly v období 2007-2013 inovační úvěry prostřednictvím tzv. </w:t>
      </w:r>
      <w:r w:rsidRPr="002C224A">
        <w:rPr>
          <w:b/>
        </w:rPr>
        <w:t xml:space="preserve">Risk Sharing Instrument (RSI) Evropského investičního fondu (EIF) </w:t>
      </w:r>
      <w:r w:rsidRPr="002C224A">
        <w:t xml:space="preserve">v rámci 7. rámcového programu pro výzkum a technologický rozvoj. </w:t>
      </w:r>
      <w:r w:rsidRPr="002C224A">
        <w:rPr>
          <w:b/>
        </w:rPr>
        <w:t>Nabízeným bankovním produktem byly zvýhodněné úvěry na inovační projekty, případně i VaV inovativních podniků i soukromých VO se zajištěním od EIF</w:t>
      </w:r>
      <w:r w:rsidRPr="002C224A">
        <w:t>. Tyto úvěry nabízely v ČR čtyři banky – UniCredit Bank, Česká spořitelna, Komerční banka a GE Money Bank.</w:t>
      </w:r>
      <w:r w:rsidR="0048469C" w:rsidRPr="002C224A">
        <w:t xml:space="preserve"> Na tuto formu podpory dosáhlo dle šetření ČSÚ 2 % malých a 5 % středních a velkých technicky inovujících podniků</w:t>
      </w:r>
      <w:r w:rsidR="0048469C" w:rsidRPr="002C224A">
        <w:rPr>
          <w:rStyle w:val="Znakapoznpodarou"/>
          <w:rFonts w:ascii="Calibri" w:hAnsi="Calibri"/>
        </w:rPr>
        <w:footnoteReference w:id="18"/>
      </w:r>
      <w:r w:rsidR="0048469C" w:rsidRPr="002C224A">
        <w:t>.</w:t>
      </w:r>
    </w:p>
    <w:p w:rsidR="006D67F1" w:rsidRPr="002C224A" w:rsidRDefault="006D67F1" w:rsidP="008074B1">
      <w:pPr>
        <w:rPr>
          <w:b/>
        </w:rPr>
      </w:pPr>
    </w:p>
    <w:p w:rsidR="0088779F" w:rsidRPr="002C224A" w:rsidRDefault="006D67F1" w:rsidP="008074B1">
      <w:r w:rsidRPr="002C224A">
        <w:t xml:space="preserve">Nástupcem nástroje RSI pro období 2014-2020 je </w:t>
      </w:r>
      <w:r w:rsidRPr="002C224A">
        <w:rPr>
          <w:b/>
        </w:rPr>
        <w:t>InnovFin SME Guarantee Facility</w:t>
      </w:r>
      <w:r w:rsidRPr="002C224A">
        <w:t xml:space="preserve"> EIF z evropského programu HORIZONT 2020. </w:t>
      </w:r>
      <w:r w:rsidR="0088779F" w:rsidRPr="002C224A">
        <w:t xml:space="preserve">Na základě první uzavřené dohody z roku 2015 budou Česká spořitelna a </w:t>
      </w:r>
      <w:r w:rsidR="0088779F" w:rsidRPr="002C224A">
        <w:lastRenderedPageBreak/>
        <w:t>Komerční banka poskytovat projektům VaVaI úvěry zaručené do výše 50 %</w:t>
      </w:r>
      <w:r w:rsidR="006678D3" w:rsidRPr="002C224A">
        <w:t xml:space="preserve"> ze strany EIF a EU, a to v celkové výši do </w:t>
      </w:r>
      <w:smartTag w:uri="urn:schemas-microsoft-com:office:smarttags" w:element="metricconverter">
        <w:smartTagPr>
          <w:attr w:name="ProductID" w:val="250 mil"/>
        </w:smartTagPr>
        <w:r w:rsidR="006678D3" w:rsidRPr="002C224A">
          <w:t>250 mil</w:t>
        </w:r>
      </w:smartTag>
      <w:r w:rsidR="006678D3" w:rsidRPr="002C224A">
        <w:t>. EUR.</w:t>
      </w:r>
    </w:p>
    <w:p w:rsidR="006D67F1" w:rsidRPr="002C224A" w:rsidRDefault="006D67F1" w:rsidP="008074B1">
      <w:pPr>
        <w:rPr>
          <w:b/>
        </w:rPr>
      </w:pPr>
    </w:p>
    <w:p w:rsidR="006D67F1" w:rsidRPr="002C224A" w:rsidRDefault="006D67F1" w:rsidP="008074B1">
      <w:pPr>
        <w:rPr>
          <w:b/>
        </w:rPr>
      </w:pPr>
      <w:r w:rsidRPr="002C224A">
        <w:t xml:space="preserve">Česká spořitelna kromě toho nabízí též inovační úvěry prostřednictvím </w:t>
      </w:r>
      <w:r w:rsidR="00B00758" w:rsidRPr="002C224A">
        <w:t>P</w:t>
      </w:r>
      <w:r w:rsidRPr="002C224A">
        <w:t>rogramu I</w:t>
      </w:r>
      <w:r w:rsidR="00B00758" w:rsidRPr="002C224A">
        <w:t>nostart</w:t>
      </w:r>
      <w:r w:rsidRPr="002C224A">
        <w:t>, zaměřeného na inovační podniky do 3 let.</w:t>
      </w:r>
      <w:r w:rsidR="00341E42" w:rsidRPr="002C224A">
        <w:t xml:space="preserve"> Záruky k těmto úvěrům poskytuje ČMZRB.</w:t>
      </w:r>
    </w:p>
    <w:p w:rsidR="006D67F1" w:rsidRPr="002C224A" w:rsidRDefault="006D67F1" w:rsidP="008074B1">
      <w:pPr>
        <w:pStyle w:val="Neslovannadpisy"/>
      </w:pPr>
    </w:p>
    <w:p w:rsidR="006D67F1" w:rsidRPr="002C224A" w:rsidRDefault="006D67F1" w:rsidP="008074B1">
      <w:pPr>
        <w:rPr>
          <w:b/>
        </w:rPr>
      </w:pPr>
      <w:r w:rsidRPr="002C224A">
        <w:rPr>
          <w:b/>
        </w:rPr>
        <w:t>Programy veřejné podpory</w:t>
      </w:r>
    </w:p>
    <w:p w:rsidR="006D67F1" w:rsidRPr="002C224A" w:rsidRDefault="006D67F1" w:rsidP="008074B1">
      <w:r w:rsidRPr="002C224A">
        <w:t>Programy veřejné podpory výzkumu, vývoje a inovací (VaVaI) z národních a evropských zdrojů tvořily významný podíl celkové nabídky zdrojů dostupných podnikům na jejich VaVaI aktivity, oslovily též valnou část způsobilé poptávky –</w:t>
      </w:r>
      <w:r w:rsidR="00DF63D5" w:rsidRPr="002C224A">
        <w:t xml:space="preserve"> </w:t>
      </w:r>
      <w:r w:rsidRPr="002C224A">
        <w:t xml:space="preserve">velká část podniků s výzkumnými a inovačními aktivitami recipuje dotační programy a uchází se o jejich podporu. Níže jsou detailněji uvedeny statistiky ke dvěma hlavním programům MPO pro podporu podnikového VaVaI, které dotačně financovaly v minulém období analyzované oblasti SC 1.1 – průmyslový VaV a inovace soukromých podniků – a </w:t>
      </w:r>
      <w:r w:rsidR="00B00758" w:rsidRPr="002C224A">
        <w:t>P</w:t>
      </w:r>
      <w:r w:rsidRPr="002C224A">
        <w:t>rogramu Inostart, který reprezentuje poptávku po podpoře návratného financování inovací.</w:t>
      </w:r>
    </w:p>
    <w:p w:rsidR="006D67F1" w:rsidRPr="002C224A" w:rsidRDefault="006D67F1" w:rsidP="008074B1"/>
    <w:p w:rsidR="00E90495" w:rsidRPr="002C224A" w:rsidRDefault="00E90495" w:rsidP="00DF6FF0">
      <w:pPr>
        <w:shd w:val="clear" w:color="auto" w:fill="FFFFFF"/>
      </w:pPr>
      <w:r w:rsidRPr="002C224A">
        <w:rPr>
          <w:b/>
        </w:rPr>
        <w:t xml:space="preserve">OP PI Inovace – </w:t>
      </w:r>
      <w:r w:rsidRPr="002C224A">
        <w:t>Cílem programu bylo zvýšení inovačního potenciálu podnikatelského sektoru prostřednictvím dotací na realizaci inovačních projektů podniků (zejména MSP) a na projekty veřejných výzkumných institucí, vysokých škol, fyzických osob a MSP směřující k ochraně práv průmyslového vlastnictví. V oblasti inovačních projektů podniků bylo do konce roku 2014 přijato 2566 způsobilých žádostí o celkových uznatelných nákladech 105 mld. Kč a 46 mld. Kč požadované dotace. Podpořeno bylo 1270 projektů (50 %) v objemu 51 mld. uznatelných nákladů a požadovanou dotací 22 mld. Kč.</w:t>
      </w:r>
    </w:p>
    <w:p w:rsidR="006D67F1" w:rsidRPr="002C224A" w:rsidRDefault="006D67F1" w:rsidP="008074B1"/>
    <w:p w:rsidR="006D67F1" w:rsidRPr="002C224A" w:rsidRDefault="006D67F1" w:rsidP="008074B1">
      <w:r w:rsidRPr="002C224A">
        <w:rPr>
          <w:b/>
        </w:rPr>
        <w:t>TIP</w:t>
      </w:r>
      <w:r w:rsidRPr="002C224A">
        <w:t xml:space="preserve"> - Cílem programu bylo poskytovat dotační podporu z prostředků státního rozpočtu České republiky výzkumným a vývojovým projektům pro aplikaci v průmyslu. </w:t>
      </w:r>
      <w:r w:rsidR="003D7EB1">
        <w:t>Koneční p</w:t>
      </w:r>
      <w:r w:rsidRPr="002C224A">
        <w:t>říjemci byly podniky i výzkumné instituce. V letech 2009-2012 proběhly 4 veřejné soutěže, z 3029 projektů odpovídalo kritériím 86,7 % a podpořeno 28,7 %. Celkové uznatelné náklady projektů podpořených v programu budou za celou dobu jejich řešení činit cca 21,5 mld. Kč. Na jejich řešení byla poskytnuta podpora v celkovém objemu cca 12,5 mld. Kč (z toho 9 mld. Kč bylo poskytnuto do konce roku 2012), průměrná dosažená míra podpory činila 58 %. Lze tak odvodit hrubou neuspokojenou poptávku odmítnutých žadatelů ve výši 43 mld. způsobilých nákladů, avšak s přihlédnutím k tomu, že některé neúspěšné projekty byly podány v následné výzvě, případně podniky podávaly více žádostí naráz s reálnou uskutečnitelností pouze jednoho. Hodnota neuspokojené poptávky tak bude ve skutečnosti znatelně nižší.</w:t>
      </w:r>
    </w:p>
    <w:p w:rsidR="006D67F1" w:rsidRPr="002C224A" w:rsidRDefault="006D67F1" w:rsidP="008074B1"/>
    <w:p w:rsidR="006D67F1" w:rsidRPr="002C224A" w:rsidRDefault="006D67F1" w:rsidP="008074B1">
      <w:r w:rsidRPr="002C224A">
        <w:rPr>
          <w:b/>
        </w:rPr>
        <w:t>Inostart</w:t>
      </w:r>
      <w:r w:rsidRPr="002C224A">
        <w:t xml:space="preserve"> - MPO ve spolupráci s  ČMZRB a Českou spořitelnou realizuje od roku 2012 finanční nástroj na podporu inovativních podnikatelských záměrů </w:t>
      </w:r>
      <w:r w:rsidR="00B00758" w:rsidRPr="002C224A">
        <w:t>P</w:t>
      </w:r>
      <w:r w:rsidRPr="002C224A">
        <w:t>rogram I</w:t>
      </w:r>
      <w:r w:rsidR="00B00758" w:rsidRPr="002C224A">
        <w:t>nostart</w:t>
      </w:r>
      <w:r w:rsidRPr="002C224A">
        <w:t xml:space="preserve"> ze zdrojů Programu švýcarsko-české spolupráce. Cílem </w:t>
      </w:r>
      <w:r w:rsidR="00B00758" w:rsidRPr="002C224A">
        <w:t>P</w:t>
      </w:r>
      <w:r w:rsidRPr="002C224A">
        <w:t>rogramu I</w:t>
      </w:r>
      <w:r w:rsidR="00B00758" w:rsidRPr="002C224A">
        <w:t>nostart</w:t>
      </w:r>
      <w:r w:rsidRPr="002C224A">
        <w:t xml:space="preserve"> je podpora projektů začínajících inovativních MSP (do 3 let) z celé České republiky. Česká spořitelna vysoutěžená v rámci programu jako finanční zprostředkovatel zajišťuje odborné poradenské služby a poskytování zvýhodněných úvěrů zaručených ČMZRB. Podpora probíhá ve formě záruky za 60 % jistiny úvěru v rozmezí 0,5 – </w:t>
      </w:r>
      <w:smartTag w:uri="urn:schemas-microsoft-com:office:smarttags" w:element="metricconverter">
        <w:smartTagPr>
          <w:attr w:name="ProductID" w:val="15 mil"/>
        </w:smartTagPr>
        <w:r w:rsidRPr="002C224A">
          <w:t>15 mil</w:t>
        </w:r>
      </w:smartTag>
      <w:r w:rsidRPr="002C224A">
        <w:t xml:space="preserve">. Kč a částečně dotovaných nákladů na poradenské služby. Celková alokace činí </w:t>
      </w:r>
      <w:smartTag w:uri="urn:schemas-microsoft-com:office:smarttags" w:element="metricconverter">
        <w:smartTagPr>
          <w:attr w:name="ProductID" w:val="10 mil"/>
        </w:smartTagPr>
        <w:r w:rsidRPr="002C224A">
          <w:t>10 mil</w:t>
        </w:r>
      </w:smartTag>
      <w:r w:rsidRPr="002C224A">
        <w:t xml:space="preserve">. CHF (cca </w:t>
      </w:r>
      <w:smartTag w:uri="urn:schemas-microsoft-com:office:smarttags" w:element="metricconverter">
        <w:smartTagPr>
          <w:attr w:name="ProductID" w:val="250 mil"/>
        </w:smartTagPr>
        <w:r w:rsidRPr="002C224A">
          <w:t>250 mil</w:t>
        </w:r>
      </w:smartTag>
      <w:r w:rsidRPr="002C224A">
        <w:t xml:space="preserve">. Kč) Po vyhlášení v roce </w:t>
      </w:r>
      <w:smartTag w:uri="urn:schemas-microsoft-com:office:smarttags" w:element="metricconverter">
        <w:smartTagPr>
          <w:attr w:name="ProductID" w:val="2012 a"/>
        </w:smartTagPr>
        <w:r w:rsidRPr="002C224A">
          <w:t>2012 a</w:t>
        </w:r>
      </w:smartTag>
      <w:r w:rsidRPr="002C224A">
        <w:t xml:space="preserve"> pilotním spuštění v roce 2013 v Olomouckém a Moravskoslezském kraji (MSK a OK), kde byly poskytnuty první dva úvěry v souhrnné výši </w:t>
      </w:r>
      <w:smartTag w:uri="urn:schemas-microsoft-com:office:smarttags" w:element="metricconverter">
        <w:smartTagPr>
          <w:attr w:name="ProductID" w:val="8 mil"/>
        </w:smartTagPr>
        <w:r w:rsidRPr="002C224A">
          <w:t>8 mil</w:t>
        </w:r>
      </w:smartTag>
      <w:r w:rsidRPr="002C224A">
        <w:t>. Kč, byla působnost programu rozšířena na celou ČR kvůli nedostatečné absorpční kapacitě.  Velký zájem žadatelů v OK a MSK většinou ztroskotal na požadovaném inovačním zaměření.</w:t>
      </w:r>
      <w:r w:rsidR="00341E42" w:rsidRPr="002C224A">
        <w:t xml:space="preserve"> </w:t>
      </w:r>
      <w:r w:rsidRPr="002C224A">
        <w:rPr>
          <w:b/>
        </w:rPr>
        <w:t>K 31.</w:t>
      </w:r>
      <w:r w:rsidR="0054464B" w:rsidRPr="002C224A">
        <w:rPr>
          <w:b/>
        </w:rPr>
        <w:t xml:space="preserve"> </w:t>
      </w:r>
      <w:r w:rsidRPr="002C224A">
        <w:rPr>
          <w:b/>
        </w:rPr>
        <w:t>12.</w:t>
      </w:r>
      <w:r w:rsidR="0054464B" w:rsidRPr="002C224A">
        <w:rPr>
          <w:b/>
        </w:rPr>
        <w:t xml:space="preserve"> </w:t>
      </w:r>
      <w:r w:rsidRPr="002C224A">
        <w:rPr>
          <w:b/>
        </w:rPr>
        <w:t xml:space="preserve">2014 byly poskytnuty záruky v celkové výši </w:t>
      </w:r>
      <w:smartTag w:uri="urn:schemas-microsoft-com:office:smarttags" w:element="metricconverter">
        <w:smartTagPr>
          <w:attr w:name="ProductID" w:val="52 mil"/>
        </w:smartTagPr>
        <w:r w:rsidRPr="002C224A">
          <w:rPr>
            <w:b/>
          </w:rPr>
          <w:t>52 mil</w:t>
        </w:r>
      </w:smartTag>
      <w:r w:rsidRPr="002C224A">
        <w:rPr>
          <w:b/>
        </w:rPr>
        <w:t>. Kč za úvěry ve výši  87mil. Kč</w:t>
      </w:r>
      <w:r w:rsidR="00034061" w:rsidRPr="002C224A">
        <w:rPr>
          <w:b/>
        </w:rPr>
        <w:t xml:space="preserve"> </w:t>
      </w:r>
      <w:r w:rsidRPr="002C224A">
        <w:t>(podáno 39 žádostí, podepsáno 16 úvěrových smluv, dalších 8 schválených žádostí v jednání). Program potrvá do roku 2016</w:t>
      </w:r>
    </w:p>
    <w:p w:rsidR="006D67F1" w:rsidRPr="002C224A" w:rsidRDefault="006D67F1" w:rsidP="008074B1"/>
    <w:p w:rsidR="006D67F1" w:rsidRPr="002C224A" w:rsidRDefault="006D67F1" w:rsidP="008074B1">
      <w:r w:rsidRPr="002C224A">
        <w:t xml:space="preserve">V uvedeném segmentu byly v průběhu minulého programovacího období spuštěny též </w:t>
      </w:r>
      <w:r w:rsidRPr="002C224A">
        <w:rPr>
          <w:b/>
        </w:rPr>
        <w:t xml:space="preserve">národní programy TAČR, </w:t>
      </w:r>
      <w:r w:rsidRPr="002C224A">
        <w:t xml:space="preserve">které dále významně doplnily veřejné zdroje financování. Jednalo se zejména o program TAČR ALFA (tři výzvy v letech 2010-2012, prodloužení do roku 2019) v oblasti průmyslového </w:t>
      </w:r>
      <w:r w:rsidRPr="002C224A">
        <w:lastRenderedPageBreak/>
        <w:t>VaV,</w:t>
      </w:r>
      <w:r w:rsidR="0021034B" w:rsidRPr="002C224A">
        <w:t xml:space="preserve"> </w:t>
      </w:r>
      <w:r w:rsidRPr="002C224A">
        <w:t>který má být od roku 2015 doplněn také programem TAČR EPSILON, opět zaměřeném na průmyslové VaV s výrazným potenciálem tržního uplatnění.</w:t>
      </w:r>
    </w:p>
    <w:p w:rsidR="006D67F1" w:rsidRPr="002C224A" w:rsidRDefault="006D67F1" w:rsidP="008074B1"/>
    <w:p w:rsidR="006D67F1" w:rsidRPr="002C224A" w:rsidRDefault="006D67F1" w:rsidP="008074B1">
      <w:pPr>
        <w:spacing w:line="300" w:lineRule="exact"/>
      </w:pPr>
    </w:p>
    <w:p w:rsidR="006D67F1" w:rsidRPr="002C224A" w:rsidRDefault="006D67F1" w:rsidP="008074B1"/>
    <w:p w:rsidR="006D67F1" w:rsidRPr="002C224A" w:rsidRDefault="00E90495" w:rsidP="003F4059">
      <w:pPr>
        <w:pStyle w:val="Nadpis4"/>
        <w:rPr>
          <w:rFonts w:ascii="Calibri" w:hAnsi="Calibri"/>
        </w:rPr>
      </w:pPr>
      <w:r w:rsidRPr="002C224A">
        <w:rPr>
          <w:rFonts w:ascii="Calibri" w:hAnsi="Calibri"/>
        </w:rPr>
        <w:t>Dotazníkové šetření</w:t>
      </w:r>
    </w:p>
    <w:p w:rsidR="006D67F1" w:rsidRPr="002C224A" w:rsidRDefault="006D67F1" w:rsidP="00813D55">
      <w:r w:rsidRPr="00A50943">
        <w:t xml:space="preserve">Dotazníkové šetření provedené v rámci předběžného posouzení mezi více než 15 000 podnikatelskými subjekty ukázalo značný zájem podniků o investice do VaVaI v příštích třech letech, konkrétně v případě 384 z 1077 došlých odpovědí. Přes 82 </w:t>
      </w:r>
      <w:r w:rsidRPr="002C224A">
        <w:t xml:space="preserve">% firem s plánem na investice do vlastního VaVaI tvořily malé a střední podniky. Jednalo se zejména o zavedené společnosti s mediánem stáří 18 let. </w:t>
      </w:r>
    </w:p>
    <w:p w:rsidR="006D67F1" w:rsidRPr="002C224A" w:rsidRDefault="006D67F1" w:rsidP="00813D55"/>
    <w:p w:rsidR="006D67F1" w:rsidRPr="002C224A" w:rsidRDefault="006D67F1" w:rsidP="00813D55">
      <w:r w:rsidRPr="002C224A">
        <w:t>Následující tabulka podrobně mapuje dostupnost financování pro tyto podniky v období posledních tří let.</w:t>
      </w:r>
    </w:p>
    <w:p w:rsidR="007D2F2E" w:rsidRPr="002C224A" w:rsidRDefault="007D2F2E" w:rsidP="007D2F2E">
      <w:pPr>
        <w:pStyle w:val="Titulek"/>
      </w:pPr>
      <w:r w:rsidRPr="002C224A">
        <w:t>Tabulka 3: dostupnost financování pro investice</w:t>
      </w:r>
    </w:p>
    <w:tbl>
      <w:tblPr>
        <w:tblW w:w="8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4"/>
        <w:gridCol w:w="919"/>
        <w:gridCol w:w="1636"/>
        <w:gridCol w:w="1417"/>
        <w:gridCol w:w="1319"/>
      </w:tblGrid>
      <w:tr w:rsidR="006D67F1" w:rsidRPr="002C224A" w:rsidTr="008366D3">
        <w:trPr>
          <w:trHeight w:val="255"/>
        </w:trPr>
        <w:tc>
          <w:tcPr>
            <w:tcW w:w="8695" w:type="dxa"/>
            <w:gridSpan w:val="5"/>
            <w:noWrap/>
          </w:tcPr>
          <w:p w:rsidR="006D67F1" w:rsidRPr="002C224A" w:rsidRDefault="006D67F1" w:rsidP="00813D55">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w:t>
            </w:r>
          </w:p>
        </w:tc>
        <w:tc>
          <w:tcPr>
            <w:tcW w:w="919"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Úspěšný (počet)</w:t>
            </w:r>
          </w:p>
        </w:tc>
        <w:tc>
          <w:tcPr>
            <w:tcW w:w="1636"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Neúspěšný nebo částečně úspěšný (počet)</w:t>
            </w:r>
          </w:p>
        </w:tc>
        <w:tc>
          <w:tcPr>
            <w:tcW w:w="1417"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Celkem počet</w:t>
            </w:r>
          </w:p>
        </w:tc>
        <w:tc>
          <w:tcPr>
            <w:tcW w:w="1319"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Podíl neúspěšných</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Krátkodobé půjčky</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191</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34</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225</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15,1%</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Dlouhodobé a střednědobé půjčky</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167</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54</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221</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24,4%</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Záruky</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64</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14</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78</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17,9%</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Dotace nebo jiná veřejná podpora</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203</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89</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292</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30,5%</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Rizikový kapitál</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4</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80,0%</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Private equity</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40,0%</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Leasing</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134</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11</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145</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7,6%</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Faktoring</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26</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8</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34</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23,5%</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Mezzaninové financování</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50,0%</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Firemní dluhopisy</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0</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0,0%</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Mikropůjčky</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0</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100,0%</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Emise akcií na veřejně obchodovaném trhu</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0</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100,0%</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Rodina, přátelé a známí</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32</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4</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36</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11,1%</w:t>
            </w:r>
          </w:p>
        </w:tc>
      </w:tr>
      <w:tr w:rsidR="006D67F1" w:rsidRPr="002C224A" w:rsidTr="008366D3">
        <w:trPr>
          <w:trHeight w:val="255"/>
        </w:trPr>
        <w:tc>
          <w:tcPr>
            <w:tcW w:w="3404" w:type="dxa"/>
            <w:noWrap/>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Vlastní zdroje financování</w:t>
            </w:r>
          </w:p>
        </w:tc>
        <w:tc>
          <w:tcPr>
            <w:tcW w:w="9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215</w:t>
            </w:r>
          </w:p>
        </w:tc>
        <w:tc>
          <w:tcPr>
            <w:tcW w:w="1636"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25</w:t>
            </w:r>
          </w:p>
        </w:tc>
        <w:tc>
          <w:tcPr>
            <w:tcW w:w="1417"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240</w:t>
            </w:r>
          </w:p>
        </w:tc>
        <w:tc>
          <w:tcPr>
            <w:tcW w:w="1319" w:type="dxa"/>
            <w:noWrap/>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10,4%</w:t>
            </w:r>
          </w:p>
        </w:tc>
      </w:tr>
    </w:tbl>
    <w:p w:rsidR="006D67F1" w:rsidRPr="002C224A" w:rsidRDefault="006D67F1" w:rsidP="00813D55"/>
    <w:p w:rsidR="006D67F1" w:rsidRPr="002C224A" w:rsidRDefault="006D67F1" w:rsidP="00813D55">
      <w:r w:rsidRPr="002C224A">
        <w:t xml:space="preserve">Společnosti, které v příštích třech letech chtějí investovat do VaVaI, usilovaly v minulých letech zejména o financování prostřednictvím půjček, kde jejich úspěšnost dosahovala v případě středně a dlouhodobých úvěrů 75,6 %. Nejlépe dostupným běžným zdrojem financování byl leasing s podílem neúspěšných žadatelů o financování 7,6 %. </w:t>
      </w:r>
      <w:r w:rsidR="008618CA" w:rsidRPr="002C224A">
        <w:t>Velmi výjimečně využívaly tázané firmy</w:t>
      </w:r>
      <w:r w:rsidRPr="002C224A">
        <w:t> rizikov</w:t>
      </w:r>
      <w:r w:rsidR="008618CA" w:rsidRPr="002C224A">
        <w:t>ý kapitál a</w:t>
      </w:r>
      <w:r w:rsidRPr="002C224A">
        <w:t xml:space="preserve"> další alternativní form</w:t>
      </w:r>
      <w:r w:rsidR="008618CA" w:rsidRPr="002C224A">
        <w:t>y</w:t>
      </w:r>
      <w:r w:rsidRPr="002C224A">
        <w:t xml:space="preserve"> financování (private equity, veřejná emise akcií, korporátní dluhopisy, mikropůjčky včetně crowdfundingu a P2P lendingu)</w:t>
      </w:r>
      <w:r w:rsidR="008618CA" w:rsidRPr="002C224A">
        <w:t>. To vyplývá z charakteru cílových společností, etablovaných MSP s podnikatelskou historií, které tyto druhy financování zpravidla nevyužívají z důvodu jejich nákladů i dostupnosti. Tato situace je zcela odlišná u inovativních startupů zhruba do tří let existence, jimž se věnuje SC 2.1.</w:t>
      </w:r>
    </w:p>
    <w:p w:rsidR="007834DB" w:rsidRPr="002C224A" w:rsidRDefault="007834DB" w:rsidP="00813D55"/>
    <w:p w:rsidR="006D67F1" w:rsidRPr="002C224A" w:rsidRDefault="007834DB" w:rsidP="007834DB">
      <w:pPr>
        <w:pStyle w:val="Titulek"/>
      </w:pPr>
      <w:r w:rsidRPr="002C224A">
        <w:t xml:space="preserve">Tabulka </w:t>
      </w:r>
      <w:r w:rsidR="00543325">
        <w:t>4</w:t>
      </w:r>
      <w:r w:rsidRPr="002C224A">
        <w:t>: dostupnost financování pro investice</w:t>
      </w:r>
    </w:p>
    <w:tbl>
      <w:tblPr>
        <w:tblW w:w="9416" w:type="dxa"/>
        <w:tblInd w:w="65" w:type="dxa"/>
        <w:tblCellMar>
          <w:left w:w="70" w:type="dxa"/>
          <w:right w:w="70" w:type="dxa"/>
        </w:tblCellMar>
        <w:tblLook w:val="0000" w:firstRow="0" w:lastRow="0" w:firstColumn="0" w:lastColumn="0" w:noHBand="0" w:noVBand="0"/>
      </w:tblPr>
      <w:tblGrid>
        <w:gridCol w:w="7826"/>
        <w:gridCol w:w="902"/>
        <w:gridCol w:w="795"/>
      </w:tblGrid>
      <w:tr w:rsidR="006D67F1" w:rsidRPr="002C224A" w:rsidTr="00813D55">
        <w:trPr>
          <w:trHeight w:val="255"/>
        </w:trPr>
        <w:tc>
          <w:tcPr>
            <w:tcW w:w="7826"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c>
          <w:tcPr>
            <w:tcW w:w="795" w:type="dxa"/>
            <w:tcBorders>
              <w:top w:val="single" w:sz="4" w:space="0" w:color="auto"/>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Počet odpovědí</w:t>
            </w:r>
          </w:p>
        </w:tc>
        <w:tc>
          <w:tcPr>
            <w:tcW w:w="795" w:type="dxa"/>
            <w:tcBorders>
              <w:top w:val="single" w:sz="4" w:space="0" w:color="auto"/>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Podíl</w:t>
            </w:r>
          </w:p>
        </w:tc>
      </w:tr>
      <w:tr w:rsidR="006D67F1" w:rsidRPr="002C224A"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Bezproblémová – zdroje získáváme poměrně rychle a jednoduše, jednání bývají efektivní a úspěšná</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155</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45,3%</w:t>
            </w:r>
          </w:p>
        </w:tc>
      </w:tr>
      <w:tr w:rsidR="006D67F1" w:rsidRPr="002C224A"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S menšími problémy – informací je dostatek a lze nalézt financující subjekt po vícekolovém vyjednávání</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81</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23,7%</w:t>
            </w:r>
          </w:p>
        </w:tc>
      </w:tr>
      <w:tr w:rsidR="006D67F1" w:rsidRPr="002C224A"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Dostupnost je pouze dobrá – finanční zdroje zde jsou, ale je obtížně možné je získat</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48</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14,0%</w:t>
            </w:r>
          </w:p>
        </w:tc>
      </w:tr>
      <w:tr w:rsidR="006D67F1" w:rsidRPr="002C224A"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lastRenderedPageBreak/>
              <w:t>Dostupnost je špatná – existuje informační bariéra, banky mají velké požadavky na hodnotu zástavy, apod.</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58</w:t>
            </w:r>
          </w:p>
        </w:tc>
        <w:tc>
          <w:tcPr>
            <w:tcW w:w="795"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17,0%</w:t>
            </w:r>
          </w:p>
        </w:tc>
      </w:tr>
      <w:tr w:rsidR="006D67F1" w:rsidRPr="002C224A" w:rsidTr="00813D55">
        <w:trPr>
          <w:trHeight w:val="255"/>
        </w:trPr>
        <w:tc>
          <w:tcPr>
            <w:tcW w:w="7826"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n=342</w:t>
            </w:r>
          </w:p>
        </w:tc>
        <w:tc>
          <w:tcPr>
            <w:tcW w:w="795"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p>
        </w:tc>
        <w:tc>
          <w:tcPr>
            <w:tcW w:w="795"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p>
        </w:tc>
      </w:tr>
    </w:tbl>
    <w:p w:rsidR="006D67F1" w:rsidRPr="002C224A" w:rsidRDefault="006D67F1" w:rsidP="00813D55"/>
    <w:p w:rsidR="006D67F1" w:rsidRPr="002C224A" w:rsidRDefault="006D67F1" w:rsidP="00813D55">
      <w:r w:rsidRPr="002C224A">
        <w:t>Celkově proto respondenti hodnotili svůj přístup k financování jako ztížený v 31 % případů.</w:t>
      </w:r>
    </w:p>
    <w:p w:rsidR="007834DB" w:rsidRPr="002C224A" w:rsidRDefault="007834DB" w:rsidP="00813D55"/>
    <w:p w:rsidR="006D67F1" w:rsidRPr="002C224A" w:rsidRDefault="007834DB" w:rsidP="007834DB">
      <w:pPr>
        <w:pStyle w:val="Titulek"/>
      </w:pPr>
      <w:r w:rsidRPr="002C224A">
        <w:t xml:space="preserve">Tabulka </w:t>
      </w:r>
      <w:r w:rsidR="00543325">
        <w:t>5</w:t>
      </w:r>
      <w:r w:rsidRPr="002C224A">
        <w:t>: důvody zhoršeného přístupu k financování</w:t>
      </w:r>
    </w:p>
    <w:tbl>
      <w:tblPr>
        <w:tblW w:w="3906" w:type="dxa"/>
        <w:tblInd w:w="65" w:type="dxa"/>
        <w:tblCellMar>
          <w:left w:w="70" w:type="dxa"/>
          <w:right w:w="70" w:type="dxa"/>
        </w:tblCellMar>
        <w:tblLook w:val="0000" w:firstRow="0" w:lastRow="0" w:firstColumn="0" w:lastColumn="0" w:noHBand="0" w:noVBand="0"/>
      </w:tblPr>
      <w:tblGrid>
        <w:gridCol w:w="2946"/>
        <w:gridCol w:w="960"/>
      </w:tblGrid>
      <w:tr w:rsidR="006D67F1" w:rsidRPr="002C224A" w:rsidTr="00813D55">
        <w:trPr>
          <w:trHeight w:val="255"/>
        </w:trPr>
        <w:tc>
          <w:tcPr>
            <w:tcW w:w="2946"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b/>
                <w:bCs/>
                <w:sz w:val="20"/>
              </w:rPr>
            </w:pPr>
            <w:r w:rsidRPr="002C224A">
              <w:rPr>
                <w:rFonts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Počet odpovědí</w:t>
            </w:r>
          </w:p>
        </w:tc>
      </w:tr>
      <w:tr w:rsidR="006D67F1" w:rsidRPr="002C224A"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31</w:t>
            </w:r>
          </w:p>
        </w:tc>
      </w:tr>
      <w:tr w:rsidR="006D67F1" w:rsidRPr="002C224A"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57</w:t>
            </w:r>
          </w:p>
        </w:tc>
      </w:tr>
      <w:tr w:rsidR="006D67F1" w:rsidRPr="002C224A"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54</w:t>
            </w:r>
          </w:p>
        </w:tc>
      </w:tr>
      <w:tr w:rsidR="006D67F1" w:rsidRPr="002C224A"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31</w:t>
            </w:r>
          </w:p>
        </w:tc>
      </w:tr>
      <w:tr w:rsidR="006D67F1" w:rsidRPr="002C224A"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25</w:t>
            </w:r>
          </w:p>
        </w:tc>
      </w:tr>
      <w:tr w:rsidR="006D67F1" w:rsidRPr="002C224A"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14</w:t>
            </w:r>
          </w:p>
        </w:tc>
      </w:tr>
      <w:tr w:rsidR="006D67F1" w:rsidRPr="002C224A" w:rsidTr="00813D55">
        <w:trPr>
          <w:trHeight w:val="255"/>
        </w:trPr>
        <w:tc>
          <w:tcPr>
            <w:tcW w:w="2946"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n=123</w:t>
            </w:r>
          </w:p>
        </w:tc>
        <w:tc>
          <w:tcPr>
            <w:tcW w:w="960"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p>
        </w:tc>
      </w:tr>
    </w:tbl>
    <w:p w:rsidR="006D67F1" w:rsidRPr="002C224A" w:rsidRDefault="006D67F1" w:rsidP="00813D55"/>
    <w:p w:rsidR="006D67F1" w:rsidRPr="002C224A" w:rsidRDefault="006D67F1" w:rsidP="00813D55">
      <w:r w:rsidRPr="002C224A">
        <w:t>Mezi hlavní důvody ztíženého přístupu k financování uvedli tito respondenti zejména krátkou podnikatelskou historii a možnosti zajištění. Tyto důvody spolu typicky při získávání financování MSP úzce souvisí. Začínající společnosti mají většinou mnohem nižší hodnotu investičního majetku než je jejich potřeba investic pro další rozvoj, zvláště v případě firem investujících do inovací a VaV.</w:t>
      </w:r>
    </w:p>
    <w:p w:rsidR="006D67F1" w:rsidRPr="002C224A" w:rsidRDefault="006D67F1" w:rsidP="00813D55"/>
    <w:p w:rsidR="006D67F1" w:rsidRPr="002C224A" w:rsidRDefault="006D67F1" w:rsidP="00813D55">
      <w:pPr>
        <w:pStyle w:val="Titulek"/>
        <w:keepNext/>
      </w:pPr>
      <w:r w:rsidRPr="002C224A">
        <w:t>Obrázek</w:t>
      </w:r>
      <w:r w:rsidR="00293517">
        <w:rPr>
          <w:noProof/>
        </w:rPr>
        <w:t xml:space="preserve"> </w:t>
      </w:r>
      <w:r w:rsidR="00261C3E">
        <w:rPr>
          <w:noProof/>
        </w:rPr>
        <w:t>7</w:t>
      </w:r>
      <w:r w:rsidRPr="002C224A">
        <w:t>: Hlavní důvody ztíženého přístupu k financování</w:t>
      </w:r>
    </w:p>
    <w:p w:rsidR="006D67F1" w:rsidRPr="00A50943" w:rsidRDefault="007A3F34" w:rsidP="00813D55">
      <w:r w:rsidRPr="00A50943">
        <w:rPr>
          <w:noProof/>
        </w:rPr>
        <w:drawing>
          <wp:inline distT="0" distB="0" distL="0" distR="0" wp14:anchorId="48408915" wp14:editId="6ED7C690">
            <wp:extent cx="4610100" cy="2143125"/>
            <wp:effectExtent l="0" t="0" r="0" b="9525"/>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143125"/>
                    </a:xfrm>
                    <a:prstGeom prst="rect">
                      <a:avLst/>
                    </a:prstGeom>
                    <a:noFill/>
                    <a:ln>
                      <a:noFill/>
                    </a:ln>
                  </pic:spPr>
                </pic:pic>
              </a:graphicData>
            </a:graphic>
          </wp:inline>
        </w:drawing>
      </w:r>
    </w:p>
    <w:p w:rsidR="006D67F1" w:rsidRPr="002C224A" w:rsidRDefault="006D67F1" w:rsidP="00813D55">
      <w:r w:rsidRPr="002C224A">
        <w:t xml:space="preserve"> </w:t>
      </w:r>
    </w:p>
    <w:p w:rsidR="006D67F1" w:rsidRPr="002C224A" w:rsidRDefault="006D67F1" w:rsidP="00813D55">
      <w:r w:rsidRPr="002C224A">
        <w:t>Aby mohly být společnosti se ztíženým přístupem k financování identifikovány pro možnou absorpční kapacitu finančního nástroje, měly by zároveň být dle metodiky EK životaschopné. Za neživotaschopné považujeme pro účely tohoto předběžného posouzení společnosti, které jako důvod ztíženého přístupu k financování uvedly vysokou zadluženost nebo nízký ekonomický potenciál projektu.</w:t>
      </w:r>
    </w:p>
    <w:p w:rsidR="007834DB" w:rsidRPr="002C224A" w:rsidRDefault="007834DB" w:rsidP="00813D55"/>
    <w:p w:rsidR="006D67F1" w:rsidRPr="002C224A" w:rsidRDefault="007834DB" w:rsidP="007834DB">
      <w:pPr>
        <w:pStyle w:val="Titulek"/>
      </w:pPr>
      <w:r w:rsidRPr="002C224A">
        <w:t xml:space="preserve">Tabulka </w:t>
      </w:r>
      <w:r w:rsidR="00543325">
        <w:t>6</w:t>
      </w:r>
      <w:r w:rsidRPr="002C224A">
        <w:t>: ekonomicky životaschopné projekty se zhoršeným přístupem k financování</w:t>
      </w:r>
    </w:p>
    <w:tbl>
      <w:tblPr>
        <w:tblW w:w="9416" w:type="dxa"/>
        <w:tblInd w:w="65" w:type="dxa"/>
        <w:tblCellMar>
          <w:left w:w="70" w:type="dxa"/>
          <w:right w:w="70" w:type="dxa"/>
        </w:tblCellMar>
        <w:tblLook w:val="0000" w:firstRow="0" w:lastRow="0" w:firstColumn="0" w:lastColumn="0" w:noHBand="0" w:noVBand="0"/>
      </w:tblPr>
      <w:tblGrid>
        <w:gridCol w:w="5824"/>
        <w:gridCol w:w="2709"/>
        <w:gridCol w:w="1130"/>
      </w:tblGrid>
      <w:tr w:rsidR="006D67F1" w:rsidRPr="002C224A" w:rsidTr="00813D55">
        <w:trPr>
          <w:trHeight w:val="255"/>
        </w:trPr>
        <w:tc>
          <w:tcPr>
            <w:tcW w:w="5824"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b/>
                <w:bCs/>
                <w:sz w:val="20"/>
              </w:rPr>
            </w:pPr>
            <w:r w:rsidRPr="002C224A">
              <w:rPr>
                <w:rFonts w:cs="Arial"/>
                <w:b/>
                <w:bCs/>
                <w:sz w:val="20"/>
              </w:rPr>
              <w:t>Potenciálně ekonomicky životaschopné projekty se zhoršeným přístupem k financování</w:t>
            </w:r>
          </w:p>
        </w:tc>
        <w:tc>
          <w:tcPr>
            <w:tcW w:w="2709" w:type="dxa"/>
            <w:tcBorders>
              <w:top w:val="single" w:sz="4" w:space="0" w:color="auto"/>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w:t>
            </w:r>
          </w:p>
        </w:tc>
        <w:tc>
          <w:tcPr>
            <w:tcW w:w="883" w:type="dxa"/>
            <w:tcBorders>
              <w:top w:val="single" w:sz="4" w:space="0" w:color="auto"/>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Podíl/počet odpovědí</w:t>
            </w:r>
          </w:p>
        </w:tc>
      </w:tr>
      <w:tr w:rsidR="006D67F1" w:rsidRPr="002C224A" w:rsidTr="00813D55">
        <w:trPr>
          <w:trHeight w:val="255"/>
        </w:trPr>
        <w:tc>
          <w:tcPr>
            <w:tcW w:w="5824"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Podíl na podnicích plánujících investice do VaVaI v příštích třech letech</w:t>
            </w:r>
          </w:p>
        </w:tc>
        <w:tc>
          <w:tcPr>
            <w:tcW w:w="2709"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w:t>
            </w:r>
          </w:p>
        </w:tc>
        <w:tc>
          <w:tcPr>
            <w:tcW w:w="883"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19,3%</w:t>
            </w:r>
          </w:p>
        </w:tc>
      </w:tr>
      <w:tr w:rsidR="006D67F1" w:rsidRPr="002C224A" w:rsidTr="00813D55">
        <w:trPr>
          <w:trHeight w:val="255"/>
        </w:trPr>
        <w:tc>
          <w:tcPr>
            <w:tcW w:w="5824" w:type="dxa"/>
            <w:tcBorders>
              <w:top w:val="nil"/>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Podíl na projektech se zhoršeným přístupem k financování</w:t>
            </w:r>
          </w:p>
        </w:tc>
        <w:tc>
          <w:tcPr>
            <w:tcW w:w="2709"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 </w:t>
            </w:r>
          </w:p>
        </w:tc>
        <w:tc>
          <w:tcPr>
            <w:tcW w:w="883"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60,2%</w:t>
            </w:r>
          </w:p>
        </w:tc>
      </w:tr>
      <w:tr w:rsidR="006D67F1" w:rsidRPr="002C224A" w:rsidTr="00813D55">
        <w:trPr>
          <w:trHeight w:val="255"/>
        </w:trPr>
        <w:tc>
          <w:tcPr>
            <w:tcW w:w="5824" w:type="dxa"/>
            <w:vMerge w:val="restart"/>
            <w:tcBorders>
              <w:top w:val="nil"/>
              <w:left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Hlavní identifikované bariéry</w:t>
            </w:r>
          </w:p>
          <w:p w:rsidR="006D67F1" w:rsidRPr="002C224A" w:rsidRDefault="006D67F1" w:rsidP="00813D55">
            <w:pPr>
              <w:overflowPunct/>
              <w:autoSpaceDE/>
              <w:autoSpaceDN/>
              <w:adjustRightInd/>
              <w:jc w:val="left"/>
              <w:textAlignment w:val="auto"/>
              <w:rPr>
                <w:rFonts w:cs="Arial"/>
                <w:sz w:val="20"/>
              </w:rPr>
            </w:pPr>
            <w:r w:rsidRPr="002C224A">
              <w:rPr>
                <w:rFonts w:cs="Arial"/>
                <w:sz w:val="20"/>
              </w:rPr>
              <w:t> </w:t>
            </w:r>
          </w:p>
          <w:p w:rsidR="006D67F1" w:rsidRPr="002C224A" w:rsidRDefault="006D67F1" w:rsidP="00813D55">
            <w:pPr>
              <w:overflowPunct/>
              <w:autoSpaceDE/>
              <w:autoSpaceDN/>
              <w:adjustRightInd/>
              <w:jc w:val="left"/>
              <w:textAlignment w:val="auto"/>
              <w:rPr>
                <w:rFonts w:cs="Arial"/>
                <w:sz w:val="20"/>
              </w:rPr>
            </w:pPr>
            <w:r w:rsidRPr="002C224A">
              <w:rPr>
                <w:rFonts w:cs="Arial"/>
                <w:sz w:val="20"/>
              </w:rPr>
              <w:t> </w:t>
            </w:r>
          </w:p>
          <w:p w:rsidR="006D67F1" w:rsidRPr="002C224A" w:rsidRDefault="006D67F1" w:rsidP="00813D55">
            <w:pPr>
              <w:jc w:val="left"/>
              <w:rPr>
                <w:rFonts w:cs="Arial"/>
                <w:sz w:val="20"/>
              </w:rPr>
            </w:pPr>
            <w:r w:rsidRPr="002C224A">
              <w:rPr>
                <w:rFonts w:cs="Arial"/>
                <w:sz w:val="20"/>
              </w:rPr>
              <w:t> </w:t>
            </w:r>
          </w:p>
        </w:tc>
        <w:tc>
          <w:tcPr>
            <w:tcW w:w="2709"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Dlouhá doba návratnosti projektu</w:t>
            </w:r>
          </w:p>
        </w:tc>
        <w:tc>
          <w:tcPr>
            <w:tcW w:w="883"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8</w:t>
            </w:r>
          </w:p>
        </w:tc>
      </w:tr>
      <w:tr w:rsidR="006D67F1" w:rsidRPr="002C224A" w:rsidTr="00813D55">
        <w:trPr>
          <w:trHeight w:val="255"/>
        </w:trPr>
        <w:tc>
          <w:tcPr>
            <w:tcW w:w="5824" w:type="dxa"/>
            <w:vMerge/>
            <w:tcBorders>
              <w:left w:val="single" w:sz="4" w:space="0" w:color="auto"/>
              <w:right w:val="single" w:sz="4" w:space="0" w:color="auto"/>
            </w:tcBorders>
            <w:noWrap/>
            <w:vAlign w:val="bottom"/>
          </w:tcPr>
          <w:p w:rsidR="006D67F1" w:rsidRPr="002C224A" w:rsidRDefault="006D67F1" w:rsidP="00813D55">
            <w:pPr>
              <w:jc w:val="left"/>
              <w:rPr>
                <w:rFonts w:cs="Arial"/>
                <w:sz w:val="20"/>
              </w:rPr>
            </w:pPr>
          </w:p>
        </w:tc>
        <w:tc>
          <w:tcPr>
            <w:tcW w:w="2709"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Krátká podnikatelská historie</w:t>
            </w:r>
          </w:p>
        </w:tc>
        <w:tc>
          <w:tcPr>
            <w:tcW w:w="883"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35</w:t>
            </w:r>
          </w:p>
        </w:tc>
      </w:tr>
      <w:tr w:rsidR="006D67F1" w:rsidRPr="002C224A" w:rsidTr="00813D55">
        <w:trPr>
          <w:trHeight w:val="255"/>
        </w:trPr>
        <w:tc>
          <w:tcPr>
            <w:tcW w:w="5824" w:type="dxa"/>
            <w:vMerge/>
            <w:tcBorders>
              <w:left w:val="single" w:sz="4" w:space="0" w:color="auto"/>
              <w:right w:val="single" w:sz="4" w:space="0" w:color="auto"/>
            </w:tcBorders>
            <w:noWrap/>
            <w:vAlign w:val="bottom"/>
          </w:tcPr>
          <w:p w:rsidR="006D67F1" w:rsidRPr="002C224A" w:rsidRDefault="006D67F1" w:rsidP="00813D55">
            <w:pPr>
              <w:jc w:val="left"/>
              <w:rPr>
                <w:rFonts w:cs="Arial"/>
                <w:sz w:val="20"/>
              </w:rPr>
            </w:pPr>
          </w:p>
        </w:tc>
        <w:tc>
          <w:tcPr>
            <w:tcW w:w="2709"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Možnosti zajištění</w:t>
            </w:r>
          </w:p>
        </w:tc>
        <w:tc>
          <w:tcPr>
            <w:tcW w:w="883"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41</w:t>
            </w:r>
          </w:p>
        </w:tc>
      </w:tr>
      <w:tr w:rsidR="006D67F1" w:rsidRPr="002C224A" w:rsidTr="00813D55">
        <w:trPr>
          <w:trHeight w:val="255"/>
        </w:trPr>
        <w:tc>
          <w:tcPr>
            <w:tcW w:w="5824" w:type="dxa"/>
            <w:vMerge/>
            <w:tcBorders>
              <w:left w:val="single" w:sz="4" w:space="0" w:color="auto"/>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p>
        </w:tc>
        <w:tc>
          <w:tcPr>
            <w:tcW w:w="2709"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t>Finanční náklady</w:t>
            </w:r>
          </w:p>
        </w:tc>
        <w:tc>
          <w:tcPr>
            <w:tcW w:w="883" w:type="dxa"/>
            <w:tcBorders>
              <w:top w:val="nil"/>
              <w:left w:val="nil"/>
              <w:bottom w:val="single" w:sz="4" w:space="0" w:color="auto"/>
              <w:right w:val="single" w:sz="4" w:space="0" w:color="auto"/>
            </w:tcBorders>
            <w:noWrap/>
            <w:vAlign w:val="bottom"/>
          </w:tcPr>
          <w:p w:rsidR="006D67F1" w:rsidRPr="002C224A" w:rsidRDefault="006D67F1" w:rsidP="00813D55">
            <w:pPr>
              <w:overflowPunct/>
              <w:autoSpaceDE/>
              <w:autoSpaceDN/>
              <w:adjustRightInd/>
              <w:jc w:val="right"/>
              <w:textAlignment w:val="auto"/>
              <w:rPr>
                <w:rFonts w:cs="Arial"/>
                <w:sz w:val="20"/>
              </w:rPr>
            </w:pPr>
            <w:r w:rsidRPr="002C224A">
              <w:rPr>
                <w:rFonts w:cs="Arial"/>
                <w:sz w:val="20"/>
              </w:rPr>
              <w:t>25</w:t>
            </w:r>
          </w:p>
        </w:tc>
      </w:tr>
      <w:tr w:rsidR="006D67F1" w:rsidRPr="002C224A" w:rsidTr="00813D55">
        <w:trPr>
          <w:trHeight w:val="255"/>
        </w:trPr>
        <w:tc>
          <w:tcPr>
            <w:tcW w:w="5824"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r w:rsidRPr="002C224A">
              <w:rPr>
                <w:rFonts w:cs="Arial"/>
                <w:sz w:val="20"/>
              </w:rPr>
              <w:lastRenderedPageBreak/>
              <w:t>n=74</w:t>
            </w:r>
          </w:p>
          <w:p w:rsidR="006D67F1" w:rsidRPr="002C224A" w:rsidRDefault="006D67F1" w:rsidP="00813D55">
            <w:pPr>
              <w:overflowPunct/>
              <w:autoSpaceDE/>
              <w:autoSpaceDN/>
              <w:adjustRightInd/>
              <w:jc w:val="left"/>
              <w:textAlignment w:val="auto"/>
              <w:rPr>
                <w:rFonts w:cs="Arial"/>
                <w:sz w:val="20"/>
              </w:rPr>
            </w:pPr>
          </w:p>
          <w:p w:rsidR="006D67F1" w:rsidRPr="002C224A" w:rsidRDefault="006D67F1" w:rsidP="00813D55">
            <w:pPr>
              <w:overflowPunct/>
              <w:autoSpaceDE/>
              <w:autoSpaceDN/>
              <w:adjustRightInd/>
              <w:jc w:val="left"/>
              <w:textAlignment w:val="auto"/>
              <w:rPr>
                <w:rFonts w:cs="Arial"/>
                <w:sz w:val="20"/>
              </w:rPr>
            </w:pPr>
          </w:p>
        </w:tc>
        <w:tc>
          <w:tcPr>
            <w:tcW w:w="2709"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p>
        </w:tc>
        <w:tc>
          <w:tcPr>
            <w:tcW w:w="883" w:type="dxa"/>
            <w:tcBorders>
              <w:top w:val="nil"/>
              <w:left w:val="nil"/>
              <w:bottom w:val="nil"/>
              <w:right w:val="nil"/>
            </w:tcBorders>
            <w:noWrap/>
            <w:vAlign w:val="bottom"/>
          </w:tcPr>
          <w:p w:rsidR="006D67F1" w:rsidRPr="002C224A" w:rsidRDefault="006D67F1" w:rsidP="00813D55">
            <w:pPr>
              <w:overflowPunct/>
              <w:autoSpaceDE/>
              <w:autoSpaceDN/>
              <w:adjustRightInd/>
              <w:jc w:val="left"/>
              <w:textAlignment w:val="auto"/>
              <w:rPr>
                <w:rFonts w:cs="Arial"/>
                <w:sz w:val="20"/>
              </w:rPr>
            </w:pPr>
          </w:p>
        </w:tc>
      </w:tr>
    </w:tbl>
    <w:p w:rsidR="006D67F1" w:rsidRPr="002C224A" w:rsidRDefault="006D67F1" w:rsidP="00813D55">
      <w:r w:rsidRPr="002C224A">
        <w:t>Celkový podíl potenciálně životaschopných firem se ztíženým přístupem financování na počtu respondentů tvořil 19,3 %. Více než 55 % z nich uvedlo, že jejich hlavním problémem jsou omezené možnosti zajištění. Řešením této suboptimální investiční situace proto může být finanční nástroj kapitálových vstupů (viz dále SC 2.1) nebo též záruční finanční nástroj</w:t>
      </w:r>
      <w:r w:rsidR="0079497D" w:rsidRPr="002C224A">
        <w:t xml:space="preserve"> kombinovaný např. s granty na technickou přípravu projektu, repayable assistance </w:t>
      </w:r>
      <w:r w:rsidR="00433FCD" w:rsidRPr="002C224A">
        <w:t xml:space="preserve">(návratné podpory konvertované do nenávratné v případě dosažení cílů projektu) v </w:t>
      </w:r>
      <w:r w:rsidR="0079497D" w:rsidRPr="002C224A">
        <w:t>či subvencí úrokové sazby</w:t>
      </w:r>
      <w:r w:rsidRPr="002C224A">
        <w:t>.</w:t>
      </w:r>
    </w:p>
    <w:p w:rsidR="006D67F1" w:rsidRPr="002C224A" w:rsidRDefault="006D67F1" w:rsidP="00813D55"/>
    <w:p w:rsidR="006D67F1" w:rsidRPr="002C224A" w:rsidRDefault="006D67F1" w:rsidP="00813D55">
      <w:pPr>
        <w:pStyle w:val="Titulek"/>
        <w:keepNext/>
      </w:pPr>
      <w:r w:rsidRPr="002C224A">
        <w:t>Obrázek</w:t>
      </w:r>
      <w:r w:rsidR="00293517">
        <w:rPr>
          <w:noProof/>
        </w:rPr>
        <w:t xml:space="preserve"> 8</w:t>
      </w:r>
      <w:r w:rsidRPr="002C224A">
        <w:t>: Ekonomicky životaschopné podniky se zhoršeným přístupem k financování a specifikace hlavních důvodů ztíženého přístupu (bylo možné uvést více odpovědí)</w:t>
      </w:r>
    </w:p>
    <w:p w:rsidR="006D67F1" w:rsidRPr="00A50943" w:rsidRDefault="007A3F34" w:rsidP="00813D55">
      <w:pPr>
        <w:rPr>
          <w:sz w:val="24"/>
        </w:rPr>
      </w:pPr>
      <w:r w:rsidRPr="00A50943">
        <w:rPr>
          <w:noProof/>
        </w:rPr>
        <w:drawing>
          <wp:inline distT="0" distB="0" distL="0" distR="0" wp14:anchorId="66E97DA4" wp14:editId="2685FC2F">
            <wp:extent cx="5667375" cy="2628900"/>
            <wp:effectExtent l="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628900"/>
                    </a:xfrm>
                    <a:prstGeom prst="rect">
                      <a:avLst/>
                    </a:prstGeom>
                    <a:noFill/>
                    <a:ln>
                      <a:noFill/>
                    </a:ln>
                  </pic:spPr>
                </pic:pic>
              </a:graphicData>
            </a:graphic>
          </wp:inline>
        </w:drawing>
      </w:r>
    </w:p>
    <w:p w:rsidR="006D67F1" w:rsidRPr="002C224A" w:rsidRDefault="006D67F1" w:rsidP="00813D55">
      <w:pPr>
        <w:rPr>
          <w:sz w:val="24"/>
        </w:rPr>
      </w:pPr>
    </w:p>
    <w:p w:rsidR="00CC255A" w:rsidRPr="002C224A" w:rsidRDefault="00CC255A" w:rsidP="00CC255A">
      <w:pPr>
        <w:pStyle w:val="Nadpis4"/>
        <w:rPr>
          <w:rFonts w:ascii="Calibri" w:hAnsi="Calibri"/>
        </w:rPr>
      </w:pPr>
      <w:r w:rsidRPr="002C224A">
        <w:rPr>
          <w:rFonts w:ascii="Calibri" w:hAnsi="Calibri"/>
        </w:rPr>
        <w:t>Odhad absorpční kapacity veřejné podpory a finančního nástroje</w:t>
      </w:r>
    </w:p>
    <w:p w:rsidR="00E90495" w:rsidRPr="002C224A" w:rsidRDefault="00E90495" w:rsidP="00E90495">
      <w:r w:rsidRPr="00A50943">
        <w:t>Absorpční kapacitu investic do průmyslového VaVaI v podnikatelském sektoru</w:t>
      </w:r>
      <w:r w:rsidR="009D3E82" w:rsidRPr="002C224A">
        <w:t xml:space="preserve"> pro příští období</w:t>
      </w:r>
      <w:r w:rsidRPr="002C224A">
        <w:t xml:space="preserve"> lze odhadnout pouze rámcově. V odhadu vycházíme především z výše uvedených informací o výdajích na VaV</w:t>
      </w:r>
      <w:r w:rsidR="009D3E82" w:rsidRPr="002C224A">
        <w:t xml:space="preserve"> a inovace</w:t>
      </w:r>
      <w:r w:rsidRPr="002C224A">
        <w:t xml:space="preserve"> dosavadní poptávky po podpoře v minulém období, která reprezentovala pravděpodobně významnou část celkové poptávky způsobilých aktivit</w:t>
      </w:r>
      <w:r w:rsidR="009D3E82" w:rsidRPr="002C224A">
        <w:t xml:space="preserve"> SC 1.1</w:t>
      </w:r>
      <w:r w:rsidRPr="002C224A">
        <w:t>. S ohledem na statistiky VaVaI ČSÚ je stanoven modelový předpoklad, že 80 % projektů aplikovaného průmyslového VaV podniků žádalo o podporu v programu TIP a 60 % projektů podnikových inovací způsobilých řádů žádalo v programu Inovace OP PI (vzhledem k rozdílné míře nákladnosti a komerční realizovatelnosti obou oblastí) a překryv mezi jednotlivými výzvami umenšil počet unikátních projektů o 20 %. Obecný trend růstu podnikových výdajů na VaVaI a současný mírný růst ekonomiky by měly přispět k dalšímu rozvoji VaVaI aktivit v novém programovém období, počítáno je však s rozptylem i pro negativní vývoj v případě poklesu ekonomiky (+-20%).</w:t>
      </w:r>
    </w:p>
    <w:p w:rsidR="00E90495" w:rsidRPr="002C224A" w:rsidRDefault="00E90495" w:rsidP="00E90495"/>
    <w:tbl>
      <w:tblPr>
        <w:tblW w:w="7503" w:type="dxa"/>
        <w:tblInd w:w="80" w:type="dxa"/>
        <w:tblBorders>
          <w:top w:val="single" w:sz="4" w:space="0" w:color="auto"/>
          <w:left w:val="single" w:sz="4" w:space="0" w:color="auto"/>
          <w:bottom w:val="single" w:sz="4" w:space="0" w:color="auto"/>
          <w:right w:val="single" w:sz="4" w:space="0" w:color="auto"/>
          <w:insideH w:val="single" w:sz="4" w:space="0" w:color="4F81BD"/>
        </w:tblBorders>
        <w:tblCellMar>
          <w:left w:w="70" w:type="dxa"/>
          <w:right w:w="70" w:type="dxa"/>
        </w:tblCellMar>
        <w:tblLook w:val="04A0" w:firstRow="1" w:lastRow="0" w:firstColumn="1" w:lastColumn="0" w:noHBand="0" w:noVBand="1"/>
      </w:tblPr>
      <w:tblGrid>
        <w:gridCol w:w="4840"/>
        <w:gridCol w:w="2663"/>
      </w:tblGrid>
      <w:tr w:rsidR="00E90495" w:rsidRPr="002C224A" w:rsidTr="001802B3">
        <w:trPr>
          <w:trHeight w:val="300"/>
        </w:trPr>
        <w:tc>
          <w:tcPr>
            <w:tcW w:w="4840" w:type="dxa"/>
            <w:shd w:val="clear" w:color="4F81BD" w:fill="4F81BD"/>
            <w:noWrap/>
            <w:vAlign w:val="bottom"/>
          </w:tcPr>
          <w:p w:rsidR="00E90495" w:rsidRPr="002C224A" w:rsidRDefault="00E90495" w:rsidP="001802B3">
            <w:pPr>
              <w:overflowPunct/>
              <w:autoSpaceDE/>
              <w:autoSpaceDN/>
              <w:adjustRightInd/>
              <w:jc w:val="left"/>
              <w:textAlignment w:val="auto"/>
              <w:rPr>
                <w:b/>
                <w:bCs/>
                <w:color w:val="FFFFFF"/>
                <w:szCs w:val="22"/>
              </w:rPr>
            </w:pPr>
            <w:r w:rsidRPr="002C224A">
              <w:rPr>
                <w:b/>
                <w:bCs/>
                <w:color w:val="FFFFFF"/>
                <w:szCs w:val="22"/>
              </w:rPr>
              <w:t>Průmyslové VaV podniků</w:t>
            </w:r>
          </w:p>
        </w:tc>
        <w:tc>
          <w:tcPr>
            <w:tcW w:w="2663" w:type="dxa"/>
            <w:shd w:val="clear" w:color="4F81BD" w:fill="4F81BD"/>
            <w:noWrap/>
            <w:vAlign w:val="bottom"/>
          </w:tcPr>
          <w:p w:rsidR="00E90495" w:rsidRPr="002C224A" w:rsidRDefault="00E90495" w:rsidP="001802B3">
            <w:pPr>
              <w:overflowPunct/>
              <w:autoSpaceDE/>
              <w:autoSpaceDN/>
              <w:adjustRightInd/>
              <w:jc w:val="right"/>
              <w:textAlignment w:val="auto"/>
              <w:rPr>
                <w:b/>
                <w:bCs/>
                <w:color w:val="FFFFFF"/>
                <w:szCs w:val="22"/>
              </w:rPr>
            </w:pPr>
            <w:r w:rsidRPr="002C224A">
              <w:rPr>
                <w:b/>
                <w:bCs/>
                <w:color w:val="FFFFFF"/>
                <w:szCs w:val="22"/>
              </w:rPr>
              <w:t>Mld. Kč</w:t>
            </w:r>
          </w:p>
        </w:tc>
      </w:tr>
      <w:tr w:rsidR="00E90495" w:rsidRPr="002C224A" w:rsidTr="001802B3">
        <w:trPr>
          <w:trHeight w:val="300"/>
        </w:trPr>
        <w:tc>
          <w:tcPr>
            <w:tcW w:w="4840" w:type="dxa"/>
            <w:shd w:val="clear" w:color="auto" w:fill="auto"/>
            <w:noWrap/>
            <w:vAlign w:val="bottom"/>
          </w:tcPr>
          <w:p w:rsidR="00E90495" w:rsidRPr="00A50943" w:rsidRDefault="00E90495" w:rsidP="001802B3">
            <w:pPr>
              <w:overflowPunct/>
              <w:autoSpaceDE/>
              <w:autoSpaceDN/>
              <w:adjustRightInd/>
              <w:jc w:val="left"/>
              <w:textAlignment w:val="auto"/>
              <w:rPr>
                <w:color w:val="000000"/>
                <w:szCs w:val="22"/>
              </w:rPr>
            </w:pPr>
            <w:r w:rsidRPr="00A50943">
              <w:rPr>
                <w:color w:val="000000"/>
                <w:szCs w:val="22"/>
              </w:rPr>
              <w:t>Odhad investic do způsobilých aktivit programu Aplikace</w:t>
            </w:r>
          </w:p>
        </w:tc>
        <w:tc>
          <w:tcPr>
            <w:tcW w:w="2663" w:type="dxa"/>
            <w:shd w:val="clear" w:color="auto" w:fill="auto"/>
            <w:noWrap/>
            <w:vAlign w:val="bottom"/>
          </w:tcPr>
          <w:p w:rsidR="00E90495" w:rsidRPr="002C224A" w:rsidRDefault="00E90495" w:rsidP="001802B3">
            <w:pPr>
              <w:overflowPunct/>
              <w:autoSpaceDE/>
              <w:autoSpaceDN/>
              <w:adjustRightInd/>
              <w:jc w:val="right"/>
              <w:textAlignment w:val="auto"/>
              <w:rPr>
                <w:color w:val="000000"/>
                <w:szCs w:val="22"/>
              </w:rPr>
            </w:pPr>
            <w:r w:rsidRPr="002C224A">
              <w:rPr>
                <w:color w:val="000000"/>
                <w:szCs w:val="22"/>
              </w:rPr>
              <w:t>80-120</w:t>
            </w:r>
          </w:p>
        </w:tc>
      </w:tr>
      <w:tr w:rsidR="00E90495" w:rsidRPr="002C224A" w:rsidTr="001802B3">
        <w:trPr>
          <w:trHeight w:val="300"/>
        </w:trPr>
        <w:tc>
          <w:tcPr>
            <w:tcW w:w="4840" w:type="dxa"/>
            <w:shd w:val="clear" w:color="auto" w:fill="auto"/>
            <w:noWrap/>
            <w:vAlign w:val="bottom"/>
          </w:tcPr>
          <w:p w:rsidR="00E90495" w:rsidRPr="002C224A" w:rsidRDefault="00E90495" w:rsidP="001802B3">
            <w:pPr>
              <w:overflowPunct/>
              <w:autoSpaceDE/>
              <w:autoSpaceDN/>
              <w:adjustRightInd/>
              <w:jc w:val="left"/>
              <w:textAlignment w:val="auto"/>
              <w:rPr>
                <w:color w:val="000000"/>
                <w:szCs w:val="22"/>
              </w:rPr>
            </w:pPr>
            <w:r w:rsidRPr="00A50943">
              <w:rPr>
                <w:color w:val="000000"/>
                <w:szCs w:val="22"/>
              </w:rPr>
              <w:t xml:space="preserve">U podniků se sníženým přístupem k </w:t>
            </w:r>
            <w:r w:rsidRPr="002C224A">
              <w:rPr>
                <w:color w:val="000000"/>
                <w:szCs w:val="22"/>
              </w:rPr>
              <w:t>financování</w:t>
            </w:r>
          </w:p>
        </w:tc>
        <w:tc>
          <w:tcPr>
            <w:tcW w:w="2663" w:type="dxa"/>
            <w:shd w:val="clear" w:color="auto" w:fill="auto"/>
            <w:noWrap/>
            <w:vAlign w:val="bottom"/>
          </w:tcPr>
          <w:p w:rsidR="00E90495" w:rsidRPr="002C224A" w:rsidRDefault="00E90495" w:rsidP="001802B3">
            <w:pPr>
              <w:keepNext/>
              <w:overflowPunct/>
              <w:autoSpaceDE/>
              <w:autoSpaceDN/>
              <w:adjustRightInd/>
              <w:jc w:val="right"/>
              <w:textAlignment w:val="auto"/>
              <w:rPr>
                <w:color w:val="000000"/>
                <w:szCs w:val="22"/>
              </w:rPr>
            </w:pPr>
            <w:r w:rsidRPr="002C224A">
              <w:rPr>
                <w:color w:val="000000"/>
                <w:szCs w:val="22"/>
              </w:rPr>
              <w:t>15-23</w:t>
            </w:r>
          </w:p>
        </w:tc>
      </w:tr>
    </w:tbl>
    <w:p w:rsidR="00E90495" w:rsidRPr="002C224A" w:rsidRDefault="00E90495" w:rsidP="00E90495">
      <w:pPr>
        <w:pStyle w:val="Titulek"/>
      </w:pPr>
      <w:r w:rsidRPr="002C224A">
        <w:t xml:space="preserve">Tabulka </w:t>
      </w:r>
      <w:r w:rsidR="00543325">
        <w:t>7</w:t>
      </w:r>
      <w:r w:rsidRPr="002C224A">
        <w:t>: Odhad absorpční kapacity SC 1.1 VaV</w:t>
      </w:r>
    </w:p>
    <w:p w:rsidR="00E90495" w:rsidRPr="00A50943" w:rsidRDefault="00E90495" w:rsidP="00E90495"/>
    <w:tbl>
      <w:tblPr>
        <w:tblW w:w="7508" w:type="dxa"/>
        <w:tblInd w:w="75" w:type="dxa"/>
        <w:tblBorders>
          <w:top w:val="single" w:sz="4" w:space="0" w:color="auto"/>
          <w:left w:val="single" w:sz="4" w:space="0" w:color="auto"/>
          <w:bottom w:val="single" w:sz="4" w:space="0" w:color="auto"/>
          <w:right w:val="single" w:sz="4" w:space="0" w:color="auto"/>
          <w:insideH w:val="single" w:sz="4" w:space="0" w:color="4F81BD"/>
        </w:tblBorders>
        <w:tblCellMar>
          <w:left w:w="70" w:type="dxa"/>
          <w:right w:w="70" w:type="dxa"/>
        </w:tblCellMar>
        <w:tblLook w:val="04A0" w:firstRow="1" w:lastRow="0" w:firstColumn="1" w:lastColumn="0" w:noHBand="0" w:noVBand="1"/>
      </w:tblPr>
      <w:tblGrid>
        <w:gridCol w:w="4842"/>
        <w:gridCol w:w="2666"/>
      </w:tblGrid>
      <w:tr w:rsidR="00E90495" w:rsidRPr="002C224A" w:rsidTr="001802B3">
        <w:trPr>
          <w:trHeight w:val="300"/>
        </w:trPr>
        <w:tc>
          <w:tcPr>
            <w:tcW w:w="4842" w:type="dxa"/>
            <w:shd w:val="clear" w:color="4F81BD" w:fill="4F81BD"/>
            <w:noWrap/>
            <w:vAlign w:val="bottom"/>
          </w:tcPr>
          <w:p w:rsidR="00E90495" w:rsidRPr="002C224A" w:rsidRDefault="00E90495" w:rsidP="001802B3">
            <w:pPr>
              <w:overflowPunct/>
              <w:autoSpaceDE/>
              <w:autoSpaceDN/>
              <w:adjustRightInd/>
              <w:jc w:val="left"/>
              <w:textAlignment w:val="auto"/>
              <w:rPr>
                <w:b/>
                <w:bCs/>
                <w:color w:val="FFFFFF"/>
                <w:szCs w:val="22"/>
              </w:rPr>
            </w:pPr>
            <w:r w:rsidRPr="002C224A">
              <w:rPr>
                <w:b/>
                <w:bCs/>
                <w:color w:val="FFFFFF"/>
                <w:szCs w:val="22"/>
              </w:rPr>
              <w:t>Průmyslové VaV podniků</w:t>
            </w:r>
          </w:p>
        </w:tc>
        <w:tc>
          <w:tcPr>
            <w:tcW w:w="2666" w:type="dxa"/>
            <w:shd w:val="clear" w:color="4F81BD" w:fill="4F81BD"/>
            <w:noWrap/>
            <w:vAlign w:val="bottom"/>
          </w:tcPr>
          <w:p w:rsidR="00E90495" w:rsidRPr="002C224A" w:rsidRDefault="00E90495" w:rsidP="001802B3">
            <w:pPr>
              <w:overflowPunct/>
              <w:autoSpaceDE/>
              <w:autoSpaceDN/>
              <w:adjustRightInd/>
              <w:jc w:val="right"/>
              <w:textAlignment w:val="auto"/>
              <w:rPr>
                <w:b/>
                <w:bCs/>
                <w:color w:val="FFFFFF"/>
                <w:szCs w:val="22"/>
              </w:rPr>
            </w:pPr>
            <w:r w:rsidRPr="002C224A">
              <w:rPr>
                <w:b/>
                <w:bCs/>
                <w:color w:val="FFFFFF"/>
                <w:szCs w:val="22"/>
              </w:rPr>
              <w:t>Mld. Kč</w:t>
            </w:r>
          </w:p>
        </w:tc>
      </w:tr>
      <w:tr w:rsidR="00E90495" w:rsidRPr="002C224A" w:rsidTr="001802B3">
        <w:trPr>
          <w:trHeight w:val="300"/>
        </w:trPr>
        <w:tc>
          <w:tcPr>
            <w:tcW w:w="4842" w:type="dxa"/>
            <w:shd w:val="clear" w:color="auto" w:fill="auto"/>
            <w:noWrap/>
            <w:vAlign w:val="bottom"/>
          </w:tcPr>
          <w:p w:rsidR="00E90495" w:rsidRPr="00A50943" w:rsidRDefault="00E90495" w:rsidP="001802B3">
            <w:pPr>
              <w:overflowPunct/>
              <w:autoSpaceDE/>
              <w:autoSpaceDN/>
              <w:adjustRightInd/>
              <w:jc w:val="left"/>
              <w:textAlignment w:val="auto"/>
              <w:rPr>
                <w:color w:val="000000"/>
                <w:szCs w:val="22"/>
              </w:rPr>
            </w:pPr>
            <w:r w:rsidRPr="00A50943">
              <w:rPr>
                <w:color w:val="000000"/>
                <w:szCs w:val="22"/>
              </w:rPr>
              <w:t>Odhad investic do způsobilých aktivit programu Inovace</w:t>
            </w:r>
          </w:p>
        </w:tc>
        <w:tc>
          <w:tcPr>
            <w:tcW w:w="2666" w:type="dxa"/>
            <w:shd w:val="clear" w:color="auto" w:fill="auto"/>
            <w:noWrap/>
            <w:vAlign w:val="bottom"/>
          </w:tcPr>
          <w:p w:rsidR="00E90495" w:rsidRPr="002C224A" w:rsidRDefault="00E90495" w:rsidP="001802B3">
            <w:pPr>
              <w:overflowPunct/>
              <w:autoSpaceDE/>
              <w:autoSpaceDN/>
              <w:adjustRightInd/>
              <w:jc w:val="right"/>
              <w:textAlignment w:val="auto"/>
              <w:rPr>
                <w:color w:val="000000"/>
                <w:szCs w:val="22"/>
              </w:rPr>
            </w:pPr>
            <w:r w:rsidRPr="002C224A">
              <w:rPr>
                <w:color w:val="000000"/>
                <w:szCs w:val="22"/>
              </w:rPr>
              <w:t>110-170</w:t>
            </w:r>
          </w:p>
        </w:tc>
      </w:tr>
      <w:tr w:rsidR="00E90495" w:rsidRPr="002C224A" w:rsidTr="001802B3">
        <w:trPr>
          <w:trHeight w:val="300"/>
        </w:trPr>
        <w:tc>
          <w:tcPr>
            <w:tcW w:w="4842" w:type="dxa"/>
            <w:shd w:val="clear" w:color="auto" w:fill="auto"/>
            <w:noWrap/>
            <w:vAlign w:val="bottom"/>
          </w:tcPr>
          <w:p w:rsidR="00E90495" w:rsidRPr="00A50943" w:rsidRDefault="00E90495" w:rsidP="001802B3">
            <w:pPr>
              <w:overflowPunct/>
              <w:autoSpaceDE/>
              <w:autoSpaceDN/>
              <w:adjustRightInd/>
              <w:jc w:val="left"/>
              <w:textAlignment w:val="auto"/>
              <w:rPr>
                <w:color w:val="000000"/>
                <w:szCs w:val="22"/>
              </w:rPr>
            </w:pPr>
            <w:r w:rsidRPr="00A50943">
              <w:rPr>
                <w:color w:val="000000"/>
                <w:szCs w:val="22"/>
              </w:rPr>
              <w:lastRenderedPageBreak/>
              <w:t>U podniků se sníženým přístupem k financování</w:t>
            </w:r>
          </w:p>
        </w:tc>
        <w:tc>
          <w:tcPr>
            <w:tcW w:w="2666" w:type="dxa"/>
            <w:shd w:val="clear" w:color="auto" w:fill="auto"/>
            <w:noWrap/>
            <w:vAlign w:val="bottom"/>
          </w:tcPr>
          <w:p w:rsidR="00E90495" w:rsidRPr="002C224A" w:rsidRDefault="00E90495" w:rsidP="001802B3">
            <w:pPr>
              <w:keepNext/>
              <w:overflowPunct/>
              <w:autoSpaceDE/>
              <w:autoSpaceDN/>
              <w:adjustRightInd/>
              <w:jc w:val="right"/>
              <w:textAlignment w:val="auto"/>
              <w:rPr>
                <w:color w:val="000000"/>
                <w:szCs w:val="22"/>
              </w:rPr>
            </w:pPr>
            <w:r w:rsidRPr="002C224A">
              <w:rPr>
                <w:color w:val="000000"/>
                <w:szCs w:val="22"/>
              </w:rPr>
              <w:t>22-32</w:t>
            </w:r>
          </w:p>
        </w:tc>
      </w:tr>
    </w:tbl>
    <w:p w:rsidR="00E90495" w:rsidRPr="002C224A" w:rsidRDefault="00E90495" w:rsidP="00E90495">
      <w:pPr>
        <w:pStyle w:val="Titulek"/>
      </w:pPr>
      <w:r w:rsidRPr="002C224A">
        <w:t xml:space="preserve">Tabulka </w:t>
      </w:r>
      <w:r w:rsidR="00543325">
        <w:t>8</w:t>
      </w:r>
      <w:r w:rsidR="006325BD" w:rsidRPr="002C224A">
        <w:t>:</w:t>
      </w:r>
      <w:r w:rsidRPr="002C224A">
        <w:t xml:space="preserve"> Odhad absorpční kapacity SC 1.1 Inovace</w:t>
      </w:r>
    </w:p>
    <w:p w:rsidR="00E90495" w:rsidRPr="00A50943" w:rsidRDefault="00E90495" w:rsidP="00E90495"/>
    <w:p w:rsidR="00E90495" w:rsidRPr="002C224A" w:rsidRDefault="00E90495" w:rsidP="00E90495">
      <w:r w:rsidRPr="002C224A">
        <w:t xml:space="preserve">V novém období lze dle těchto předpokladů odhadovat investiční aktivitu v rozpětí </w:t>
      </w:r>
      <w:r w:rsidRPr="002C224A">
        <w:rPr>
          <w:b/>
        </w:rPr>
        <w:t>80-120 mld. K</w:t>
      </w:r>
      <w:r w:rsidRPr="002C224A">
        <w:t xml:space="preserve">č aktivit podporovaných v programu Aplikace a </w:t>
      </w:r>
      <w:r w:rsidRPr="002C224A">
        <w:rPr>
          <w:b/>
        </w:rPr>
        <w:t>110-170 mld. Kč u aktivit programu Inovace</w:t>
      </w:r>
      <w:r w:rsidRPr="002C224A">
        <w:t>. Na základě dotazníkového vzorku</w:t>
      </w:r>
      <w:r w:rsidRPr="002C224A">
        <w:rPr>
          <w:b/>
        </w:rPr>
        <w:t xml:space="preserve"> odhadujeme cca pětinovou část těchto investic na straně podniků s obtížnějším přístupem k financování,</w:t>
      </w:r>
      <w:r w:rsidRPr="002C224A">
        <w:t xml:space="preserve"> kterým by mohl finanční nástroj primárně pomoci. V rámci těchto čísel je však nutné výrazně zohlednit, že se jedná o projekci investiční poptávky ovlivněnou dotační podporou. Pouze omezená část v rámci uvedené absorpce bude pozitivně reagovat na podporu finančním nástrojem.</w:t>
      </w:r>
    </w:p>
    <w:p w:rsidR="00E90495" w:rsidRPr="002C224A" w:rsidRDefault="00E90495" w:rsidP="00E90495"/>
    <w:p w:rsidR="006D67F1" w:rsidRPr="002C224A" w:rsidRDefault="00E90495" w:rsidP="008074B1">
      <w:r w:rsidRPr="002C224A">
        <w:t xml:space="preserve">Jak ukazují i zkušenosti z programu Inostart (ač specificky zaměřeného na podniky do 3 let existence), projektů výrazně inovačního charakteru, které se ucházejí o měkčí podporu formou finančních nástrojů, nemusí být mnoho. To samé platí ještě více u projektů průmyslového VaV, kde jsou riziko, </w:t>
      </w:r>
      <w:r w:rsidR="003F4059" w:rsidRPr="002C224A">
        <w:t xml:space="preserve">doba návratnosti </w:t>
      </w:r>
      <w:r w:rsidRPr="002C224A">
        <w:t>a náklady projektů umístěny zpravidla ještě o řád výše.</w:t>
      </w:r>
    </w:p>
    <w:p w:rsidR="00842F55" w:rsidRPr="002C224A" w:rsidRDefault="00842F55" w:rsidP="00842F55">
      <w:pPr>
        <w:pStyle w:val="Nadpis4"/>
        <w:rPr>
          <w:rFonts w:ascii="Calibri" w:hAnsi="Calibri"/>
        </w:rPr>
      </w:pPr>
      <w:r w:rsidRPr="002C224A">
        <w:rPr>
          <w:rFonts w:ascii="Calibri" w:hAnsi="Calibri"/>
        </w:rPr>
        <w:t>Identifikace selhání trhu a suboptimálních investičních situací</w:t>
      </w:r>
    </w:p>
    <w:p w:rsidR="00842F55" w:rsidRPr="00A50943" w:rsidRDefault="00842F55" w:rsidP="00842F55"/>
    <w:p w:rsidR="00842F55" w:rsidRPr="002C224A" w:rsidRDefault="00842F55" w:rsidP="00842F55">
      <w:r w:rsidRPr="002C224A">
        <w:t xml:space="preserve">Výše uvedené statistiky Innovation Union ukazují na poměrně vysoké inovační aktivity českých podniků z hlediska pořizování strojů a zařízení, živené i veřejnou podporou. Aktivity podniků v oblasti VaV jsou ve srovnání výrazně nižší, přestože i zde je dotační podpora poměrně masivní. Data mezinárodního srovnání Globální index konkurenceschopnosti Světového ekonomického fóra ukazují na </w:t>
      </w:r>
      <w:r w:rsidRPr="002C224A">
        <w:rPr>
          <w:b/>
        </w:rPr>
        <w:t>doposud nízké postavení českých MSP v mezinárodních hodnotových řetězcích</w:t>
      </w:r>
      <w:r w:rsidRPr="002C224A">
        <w:t>. S tím jsou spojené i nižší aktivity v oblasti inovací a VaV, které jde nad rámec zefektivňování stávající výroby. Skutečně výzkumně aktivní a průkopnické firmy zde jsou, nicméně je jich relativně málo.</w:t>
      </w:r>
    </w:p>
    <w:p w:rsidR="00842F55" w:rsidRPr="002C224A" w:rsidRDefault="00842F55" w:rsidP="00842F55"/>
    <w:p w:rsidR="00842F55" w:rsidRPr="002C224A" w:rsidRDefault="00842F55" w:rsidP="00842F55">
      <w:pPr>
        <w:rPr>
          <w:color w:val="FF0000"/>
        </w:rPr>
      </w:pPr>
      <w:r w:rsidRPr="002C224A">
        <w:rPr>
          <w:b/>
        </w:rPr>
        <w:t xml:space="preserve">Tyto závěry potvrzuje i poptávka podniků po službách VO, která je nadále velmi omezená </w:t>
      </w:r>
      <w:r w:rsidRPr="002C224A">
        <w:t>a i u aktivních firem je z velké části orientována na krátkodobé technické činnosti rutinnějšího charakteru (měření, testování), případně na projekty s podporou veřejných peněz – jak vyplývá i z provedeného dotazníku MPO mezi firmami a VO v roce 2014. Nejčastěji se nejedná o strategický výzkum, ale spíše o dílčí testování některých inovativních prvků a nápravu nedostatků současného technologického řešení.</w:t>
      </w:r>
    </w:p>
    <w:p w:rsidR="00842F55" w:rsidRPr="002C224A" w:rsidRDefault="00842F55" w:rsidP="00842F55"/>
    <w:p w:rsidR="00842F55" w:rsidRPr="002C224A" w:rsidRDefault="00842F55" w:rsidP="00842F55">
      <w:r w:rsidRPr="002C224A">
        <w:rPr>
          <w:b/>
        </w:rPr>
        <w:t>Přirozenou bariérou průmyslového výzkumu a vývoje i pokročilých inovací v podnikatelském sektoru je finanční náročnost, obtížná ocenitelnost a celkově rizika s ním spojená</w:t>
      </w:r>
      <w:r w:rsidRPr="002C224A">
        <w:t>. Nedostatečné rozpočty na VaVaI aktivity firmy v ČR neřeší poolingem, jako například v Německu, kde některé konkurenční podniky řeší výzkumné problémy společně a vytvářejí tak koncentrovanou poptávku po výzkumných službách.</w:t>
      </w:r>
    </w:p>
    <w:p w:rsidR="00842F55" w:rsidRPr="002C224A" w:rsidRDefault="00842F55" w:rsidP="00842F55"/>
    <w:p w:rsidR="00842F55" w:rsidRPr="002C224A" w:rsidRDefault="00842F55" w:rsidP="00842F55">
      <w:r w:rsidRPr="002C224A">
        <w:t>V šetření ČSŮ pro roky 2010-2012 uvádí oslovené podniky jako faktory omezující jejich inovace nejčastěji nedostatek finančních prostředků v podniku (55 %), příliš vysoké inovační náklady (52 %) a nejistou poptávku po inovovaných produktech (43 %)</w:t>
      </w:r>
      <w:r w:rsidR="00D97632" w:rsidRPr="002C224A">
        <w:t>. Nedostatek externích zdrojů uvádí 24 % podniků</w:t>
      </w:r>
      <w:r w:rsidR="005F5807" w:rsidRPr="002C224A">
        <w:rPr>
          <w:rStyle w:val="Znakapoznpodarou"/>
          <w:rFonts w:ascii="Calibri" w:hAnsi="Calibri"/>
        </w:rPr>
        <w:footnoteReference w:id="19"/>
      </w:r>
      <w:r w:rsidR="00D97632" w:rsidRPr="00A50943">
        <w:t>.</w:t>
      </w:r>
    </w:p>
    <w:p w:rsidR="00842F55" w:rsidRPr="002C224A" w:rsidRDefault="00842F55" w:rsidP="00842F55"/>
    <w:p w:rsidR="00842F55" w:rsidRPr="002C224A" w:rsidRDefault="00842F55" w:rsidP="00842F55">
      <w:r w:rsidRPr="002C224A">
        <w:t xml:space="preserve">Podniky, které podnikají v odvětvích vysoce citlivých na technologický náskok oproti konkurenci, musí nicméně od samého začátku s kontinuálními výdaji na další výzkum a vývoj počítat. Nehledě na dotační nabídku jsou tedy nuceny k těmto investicím, které činí s jednoznačně ziskovým záměrem, a tvoří odpovídající fondy a rezervy na jeho financování. Ostatní podniky se k vlastnímu výzkumu a inovacím uchylují zejména v případě, kdy inovativní konkurence vytváří tlak na jejich postavení na trhu, případně v momentě, kdy ucítí příležitost k zásadnímu posílení své pozice na trhu a k zaplnění mezery, která byla dosud vyplňovaná např. pouze zahraničními importy. Typické inovace míří k nákupu technologií, které </w:t>
      </w:r>
      <w:r w:rsidRPr="002C224A">
        <w:lastRenderedPageBreak/>
        <w:t>podniku umožní vhodné doplnění výrobního sortimentu, případně výrazné zefektivnění výrobního procesu. Takové aktivity mají výrazně předvídatelnější výhled, než projekty výzkumu a vývoje, byť i s nimi se pojí řada nejistot a podnikatelských rizik.</w:t>
      </w:r>
    </w:p>
    <w:p w:rsidR="00842F55" w:rsidRPr="002C224A" w:rsidRDefault="00842F55" w:rsidP="00842F55"/>
    <w:p w:rsidR="009A6994" w:rsidRPr="002C224A" w:rsidRDefault="00842F55" w:rsidP="00842F55">
      <w:pPr>
        <w:rPr>
          <w:b/>
        </w:rPr>
      </w:pPr>
      <w:r w:rsidRPr="002C224A">
        <w:t xml:space="preserve">V tomto případě každopádně hovoříme </w:t>
      </w:r>
      <w:r w:rsidR="00065117" w:rsidRPr="002C224A">
        <w:t>zpravidla</w:t>
      </w:r>
      <w:r w:rsidRPr="002C224A">
        <w:t xml:space="preserve"> o stabilizovaných podnicích</w:t>
      </w:r>
      <w:r w:rsidR="00065117" w:rsidRPr="002C224A">
        <w:t xml:space="preserve">, které jsou způsobilé čerpat bankovní úvěry. Problém nastává zejména u MSP, kde úspěch inovačního projektu a navrácení vynaložených nákladů může výrazně ovlivnit stabilitu firmy a její rizikovost pro banky. </w:t>
      </w:r>
      <w:r w:rsidR="00065117" w:rsidRPr="002C224A">
        <w:rPr>
          <w:b/>
        </w:rPr>
        <w:t xml:space="preserve">Riziko inovačních projektů MSP je </w:t>
      </w:r>
      <w:r w:rsidRPr="002C224A">
        <w:rPr>
          <w:b/>
        </w:rPr>
        <w:t>pro banky vysoké a omezuje úvěrovatelnost projektů</w:t>
      </w:r>
      <w:r w:rsidR="00065117" w:rsidRPr="002C224A">
        <w:rPr>
          <w:b/>
        </w:rPr>
        <w:t xml:space="preserve"> bez patřičného zajištění</w:t>
      </w:r>
      <w:r w:rsidR="009A6994" w:rsidRPr="002C224A">
        <w:rPr>
          <w:b/>
        </w:rPr>
        <w:t xml:space="preserve"> a stability subjektu</w:t>
      </w:r>
      <w:r w:rsidRPr="002C224A">
        <w:rPr>
          <w:b/>
        </w:rPr>
        <w:t xml:space="preserve">. </w:t>
      </w:r>
      <w:r w:rsidR="00262BCD" w:rsidRPr="002C224A">
        <w:t>Z toho důvodu je dostupnost a cena bankovních záruk za úvěry pro významnou část inovačních projektů zásadní otázkou.</w:t>
      </w:r>
      <w:r w:rsidR="00262BCD" w:rsidRPr="00A50943">
        <w:t xml:space="preserve"> </w:t>
      </w:r>
      <w:r w:rsidRPr="002C224A">
        <w:rPr>
          <w:b/>
        </w:rPr>
        <w:t xml:space="preserve">V případě průmyslového VaV je toto riziko a </w:t>
      </w:r>
      <w:r w:rsidR="009A6994" w:rsidRPr="002C224A">
        <w:rPr>
          <w:b/>
        </w:rPr>
        <w:t>ocenitelnost</w:t>
      </w:r>
      <w:r w:rsidR="00065117" w:rsidRPr="002C224A">
        <w:rPr>
          <w:b/>
        </w:rPr>
        <w:t xml:space="preserve"> projektů</w:t>
      </w:r>
      <w:r w:rsidRPr="002C224A">
        <w:rPr>
          <w:b/>
        </w:rPr>
        <w:t xml:space="preserve"> ještě složitější a projektové investiční financování </w:t>
      </w:r>
      <w:r w:rsidR="006A5261" w:rsidRPr="002C224A">
        <w:rPr>
          <w:b/>
        </w:rPr>
        <w:t>úvěrovými institucemi</w:t>
      </w:r>
      <w:r w:rsidR="009A6994" w:rsidRPr="002C224A">
        <w:rPr>
          <w:b/>
        </w:rPr>
        <w:t xml:space="preserve"> je těžko proveditelné</w:t>
      </w:r>
      <w:r w:rsidR="00262BCD" w:rsidRPr="002C224A">
        <w:rPr>
          <w:b/>
        </w:rPr>
        <w:t>.</w:t>
      </w:r>
    </w:p>
    <w:p w:rsidR="009A6994" w:rsidRPr="002C224A" w:rsidRDefault="009A6994" w:rsidP="00842F55">
      <w:pPr>
        <w:rPr>
          <w:b/>
        </w:rPr>
      </w:pPr>
    </w:p>
    <w:p w:rsidR="00842F55" w:rsidRPr="00A50943" w:rsidRDefault="00842F55" w:rsidP="00842F55">
      <w:pPr>
        <w:rPr>
          <w:b/>
        </w:rPr>
      </w:pPr>
      <w:r w:rsidRPr="002C224A">
        <w:t xml:space="preserve">Potíže s přístupem k financování inovačních projektů mají zejména malé a střední podniky, velké </w:t>
      </w:r>
      <w:r w:rsidR="009A6994" w:rsidRPr="00A50943">
        <w:t>firmy</w:t>
      </w:r>
      <w:r w:rsidRPr="002C224A">
        <w:t xml:space="preserve"> se mohou i v případě obecně rizikovějších VaVaI projektů spolehnout na relativně snazší přístup k financován</w:t>
      </w:r>
      <w:r w:rsidRPr="00A50943">
        <w:rPr>
          <w:b/>
        </w:rPr>
        <w:t>í.</w:t>
      </w:r>
    </w:p>
    <w:p w:rsidR="00842F55" w:rsidRPr="002C224A" w:rsidRDefault="00842F55" w:rsidP="00842F55"/>
    <w:p w:rsidR="00842F55" w:rsidRPr="002C224A" w:rsidRDefault="00842F55" w:rsidP="00842F55">
      <w:r w:rsidRPr="002C224A">
        <w:t xml:space="preserve">Hloubkové šetření realizované mezi 138 firmami provádějícími VaV v rámci projektu INKA TAČR svými dosavadními výsledky indikuje, že </w:t>
      </w:r>
      <w:r w:rsidRPr="002C224A">
        <w:rPr>
          <w:b/>
        </w:rPr>
        <w:t>samotná dostupnost financování není jedinou překážkou správně fungujícímu systému VaV aktivit</w:t>
      </w:r>
      <w:r w:rsidRPr="002C224A">
        <w:t xml:space="preserve">. Zdaleka největší bariéru vytváří </w:t>
      </w:r>
      <w:r w:rsidRPr="002C224A">
        <w:rPr>
          <w:b/>
        </w:rPr>
        <w:t>nedostatek kvalitních lidských zdrojů</w:t>
      </w:r>
      <w:r w:rsidRPr="002C224A">
        <w:t xml:space="preserve"> v technických či přírodovědeckých profesích, což je do značné míry problém i českého školství a jeho propojenosti s podnikovou praxí.</w:t>
      </w:r>
      <w:r w:rsidR="00D97632" w:rsidRPr="002C224A">
        <w:t xml:space="preserve"> Tento problém je patrný i v oblasti inovací, jako omezení ho uvádí 34 % podniků v šetření ČSÚ.</w:t>
      </w:r>
    </w:p>
    <w:p w:rsidR="00842F55" w:rsidRPr="002C224A" w:rsidRDefault="00842F55" w:rsidP="00842F55"/>
    <w:p w:rsidR="00842F55" w:rsidRPr="002C224A" w:rsidRDefault="00842F55" w:rsidP="00842F55">
      <w:r w:rsidRPr="002C224A">
        <w:t>Na druhou stranu lze důvodně předpokládat, že zvýšení kapitálové vybavenosti českého sektoru VaVaI a zvýšení mezinárodního povědomí o něm v důsledku medializace komerčně úspěšných projektů jej zatraktivní v očích výzkumných pracovníků, odborníků i nových studentů a přispěje alespoň částečně k řešení i tohoto problému.</w:t>
      </w:r>
    </w:p>
    <w:p w:rsidR="00842F55" w:rsidRPr="002C224A" w:rsidRDefault="00842F55" w:rsidP="00842F55"/>
    <w:p w:rsidR="00842F55" w:rsidRPr="00A50943" w:rsidRDefault="007A3F34" w:rsidP="00842F55">
      <w:pPr>
        <w:keepNext/>
      </w:pPr>
      <w:r w:rsidRPr="00A50943">
        <w:rPr>
          <w:noProof/>
        </w:rPr>
        <w:drawing>
          <wp:inline distT="0" distB="0" distL="0" distR="0" wp14:anchorId="7D28575C" wp14:editId="0FAC5EC8">
            <wp:extent cx="5591175" cy="2962275"/>
            <wp:effectExtent l="0" t="0" r="9525" b="9525"/>
            <wp:docPr id="12" name="Obráze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175" cy="2962275"/>
                    </a:xfrm>
                    <a:prstGeom prst="rect">
                      <a:avLst/>
                    </a:prstGeom>
                    <a:noFill/>
                    <a:ln>
                      <a:noFill/>
                    </a:ln>
                  </pic:spPr>
                </pic:pic>
              </a:graphicData>
            </a:graphic>
          </wp:inline>
        </w:drawing>
      </w:r>
    </w:p>
    <w:p w:rsidR="00842F55" w:rsidRPr="002C224A" w:rsidRDefault="00293517" w:rsidP="00842F55">
      <w:pPr>
        <w:pStyle w:val="Titulek"/>
      </w:pPr>
      <w:r>
        <w:t>Obrázek</w:t>
      </w:r>
      <w:r w:rsidRPr="002C224A">
        <w:t xml:space="preserve"> </w:t>
      </w:r>
      <w:r>
        <w:t>9</w:t>
      </w:r>
      <w:r w:rsidR="00842F55" w:rsidRPr="002C224A">
        <w:t xml:space="preserve"> - Bariéry VaV</w:t>
      </w:r>
    </w:p>
    <w:p w:rsidR="00842F55" w:rsidRPr="002C224A" w:rsidRDefault="00842F55" w:rsidP="00842F55">
      <w:pPr>
        <w:pStyle w:val="Titulek"/>
      </w:pPr>
      <w:r w:rsidRPr="002C224A">
        <w:t>Zdroj: Šetření INKA – předběžné výstupy</w:t>
      </w:r>
    </w:p>
    <w:p w:rsidR="00842F55" w:rsidRPr="00A50943" w:rsidRDefault="00842F55" w:rsidP="00842F55">
      <w:pPr>
        <w:rPr>
          <w:lang w:eastAsia="en-US"/>
        </w:rPr>
      </w:pPr>
    </w:p>
    <w:p w:rsidR="00842F55" w:rsidRPr="002C224A" w:rsidRDefault="00842F55" w:rsidP="00842F55">
      <w:pPr>
        <w:spacing w:line="300" w:lineRule="exact"/>
      </w:pPr>
      <w:r w:rsidRPr="002C224A">
        <w:t xml:space="preserve">Systémové potíže s prosazováním VaVaI aktivit vytváří i zmíněná nedostatečná spolupráce podniků s výzkumnými organizacemi (VO). Nedochází zde tak ve větší míře k potřebné synergii, která by </w:t>
      </w:r>
      <w:r w:rsidRPr="002C224A">
        <w:lastRenderedPageBreak/>
        <w:t>snižovala náklady podniků na výzkum částečným outsourcováním a využitím odborných kapacit VO. Je tedy třeba nadále kultivovat prostředí ke vzájemné spolupráci a v případě společných projektů VaV VO a podniků je na místě dotační podpora, která může k této spolupráci tvořit impuls. Bez efektivní spolupráce na obou stranách ale sama o sobě nemůže stačit.</w:t>
      </w:r>
    </w:p>
    <w:p w:rsidR="006D67F1" w:rsidRPr="002C224A" w:rsidRDefault="006D67F1" w:rsidP="008074B1">
      <w:pPr>
        <w:pStyle w:val="Nadpis4"/>
        <w:rPr>
          <w:rFonts w:ascii="Calibri" w:hAnsi="Calibri"/>
        </w:rPr>
      </w:pPr>
      <w:r w:rsidRPr="002C224A">
        <w:rPr>
          <w:rFonts w:ascii="Calibri" w:hAnsi="Calibri"/>
        </w:rPr>
        <w:t>Návrh řešení identifikovaných tržních selhání</w:t>
      </w:r>
    </w:p>
    <w:p w:rsidR="006D67F1" w:rsidRPr="00A50943" w:rsidRDefault="006D67F1" w:rsidP="008074B1"/>
    <w:p w:rsidR="006D67F1" w:rsidRPr="002C224A" w:rsidRDefault="006D67F1" w:rsidP="008074B1">
      <w:r w:rsidRPr="002C224A">
        <w:t>V případě průmyslového VaVaI v podnikatelském sektoru se jedná o investice, u kterých by měly být podniky schopny vyhodnotit jejich potenciální ekonomický přínos a činit je s jednoznačně ziskovým záměrem, k posílení vlastní konkurenceschopnosti. Z tohoto ohledu jsou tedy tyto aktivity potenciálně vhodné pro použití finančního nástroje.</w:t>
      </w:r>
    </w:p>
    <w:p w:rsidR="006D67F1" w:rsidRPr="002C224A" w:rsidRDefault="006D67F1" w:rsidP="008074B1"/>
    <w:p w:rsidR="006D67F1" w:rsidRPr="002C224A" w:rsidRDefault="006D67F1" w:rsidP="008074B1">
      <w:pPr>
        <w:rPr>
          <w:color w:val="FF0000"/>
        </w:rPr>
      </w:pPr>
      <w:r w:rsidRPr="002C224A">
        <w:t xml:space="preserve">Reálně se však ukazují výrazné bariéry, které se s užitím klasického zvýhodněného financování pojí. V oblasti průmyslového VaV jsou tyto aktivity příliš rizikové a bez jasné perspektivy výsledku a změřitelné hodnoty. Úvěrování bankou je samozřejmě možné, ale na bázi úvěrovatelnosti podniku samotného a poskytnutých zástav. Při obecně slabé aktivitě podniků v oblasti VaV </w:t>
      </w:r>
      <w:r w:rsidR="006325BD" w:rsidRPr="002C224A">
        <w:t xml:space="preserve">se </w:t>
      </w:r>
      <w:r w:rsidRPr="002C224A">
        <w:t>jeví jako účelnější spíše podpora dotační, která vytváří silnější impulsy a částečně vynahrazuje riziko. Dalším argumentem pro ni je žádaný výsledek vyšší spolupráce firem s veřejnými výzkumnými institucemi, které nejsou k využívání úvěrů způsobilé.</w:t>
      </w:r>
      <w:r w:rsidR="00034061" w:rsidRPr="002C224A">
        <w:t xml:space="preserve"> </w:t>
      </w:r>
      <w:r w:rsidRPr="002C224A">
        <w:t>Využívání finančních nástrojů v oblasti firemních aktivit není vyloučené, pro potenciální poptávku je zde alternativa evropských nástrojů HORIZONT 2020 INNOVFIN, které doplňují dotační podporu.</w:t>
      </w:r>
    </w:p>
    <w:p w:rsidR="006D67F1" w:rsidRPr="002C224A" w:rsidRDefault="006D67F1" w:rsidP="008074B1"/>
    <w:p w:rsidR="006D67F1" w:rsidRPr="002C224A" w:rsidRDefault="006D67F1" w:rsidP="008074B1">
      <w:r w:rsidRPr="002C224A">
        <w:t>Vhodnější oblastí pro aplikaci finančních nástrojů se jeví inovace, které jsou více spjaty s generováním předvídatelných příjmů, jsou obecně o něco méně rizikové a nástroj ve formě záruky může u některých projektů výrazně usnadnit přístup k tržnímu financování, což platí zejména pro MSP.</w:t>
      </w:r>
    </w:p>
    <w:p w:rsidR="006D67F1" w:rsidRPr="002C224A" w:rsidRDefault="006D67F1" w:rsidP="008074B1"/>
    <w:p w:rsidR="006D67F1" w:rsidRPr="002C224A" w:rsidRDefault="006D67F1" w:rsidP="008074B1">
      <w:r w:rsidRPr="002C224A">
        <w:rPr>
          <w:b/>
        </w:rPr>
        <w:t>Zpřístupnění financování formou záručního nástroje je tedy vhodné primárně pro inovační projekty, kde výrazně sníží bankám rizika z úvěrování a rozšíří portfolio úvěrovatelných projektů.</w:t>
      </w:r>
      <w:r w:rsidR="00034061" w:rsidRPr="002C224A">
        <w:rPr>
          <w:b/>
        </w:rPr>
        <w:t xml:space="preserve"> </w:t>
      </w:r>
      <w:r w:rsidRPr="002C224A">
        <w:t>Povědomí o dostupnosti financí by pak měla podniky motivovat k tomu, aby se inovacím věnovaly kontinuálně a nečekaly na bezprostřední ohrožení tržních pozic.</w:t>
      </w:r>
    </w:p>
    <w:p w:rsidR="006D67F1" w:rsidRPr="002C224A" w:rsidRDefault="006D67F1" w:rsidP="008074B1"/>
    <w:p w:rsidR="006D67F1" w:rsidRPr="002C224A" w:rsidRDefault="006D67F1" w:rsidP="008074B1">
      <w:r w:rsidRPr="002C224A">
        <w:t>Intervence OP PIK by měly být zaměřeny zejména na obory s vysokou přidanou hodnotou a potenciálem posunu v globálních hodnotových řetězcích v souladu se strategií RIS3. Zvýšený důraz doporučujeme klást na projekty zakládající spolupráci mezi firemními a vědeckovýzkumnou sférou.</w:t>
      </w:r>
    </w:p>
    <w:p w:rsidR="006D67F1" w:rsidRPr="002C224A" w:rsidRDefault="006D67F1" w:rsidP="008074B1">
      <w:pPr>
        <w:pStyle w:val="Nadpis3"/>
        <w:rPr>
          <w:rFonts w:ascii="Calibri" w:hAnsi="Calibri"/>
        </w:rPr>
      </w:pPr>
      <w:bookmarkStart w:id="21" w:name="_Toc421534278"/>
      <w:r w:rsidRPr="002C224A">
        <w:rPr>
          <w:rFonts w:ascii="Calibri" w:hAnsi="Calibri"/>
        </w:rPr>
        <w:t>Posouzení přidané hodnoty finančních nástrojů</w:t>
      </w:r>
      <w:bookmarkEnd w:id="21"/>
    </w:p>
    <w:p w:rsidR="006D67F1" w:rsidRPr="002C224A" w:rsidRDefault="006D67F1" w:rsidP="001B3BC6">
      <w:pPr>
        <w:pStyle w:val="Nadpis4"/>
        <w:rPr>
          <w:rFonts w:ascii="Calibri" w:hAnsi="Calibri"/>
        </w:rPr>
      </w:pPr>
      <w:r w:rsidRPr="002C224A">
        <w:rPr>
          <w:rFonts w:ascii="Calibri" w:hAnsi="Calibri"/>
        </w:rPr>
        <w:t>Představení typových projektů</w:t>
      </w:r>
    </w:p>
    <w:p w:rsidR="006D67F1" w:rsidRPr="002C224A" w:rsidRDefault="006D67F1" w:rsidP="001B3BC6">
      <w:r w:rsidRPr="00A50943">
        <w:t>Typovým projektem pro podporu</w:t>
      </w:r>
      <w:r w:rsidRPr="002C224A">
        <w:t xml:space="preserve"> inovací je společnost patřící mezi střední podniky se sídlem ve Zlínském kraji. Nové nebo </w:t>
      </w:r>
      <w:r w:rsidR="00055323">
        <w:t>inovované</w:t>
      </w:r>
      <w:r w:rsidR="00055323" w:rsidRPr="002C224A">
        <w:t xml:space="preserve"> </w:t>
      </w:r>
      <w:r w:rsidRPr="002C224A">
        <w:t xml:space="preserve">výrobky tvoří ve sledovaném roce přes polovinu z jejího celkového obratu. Předmětem investičního projektu je pořízení technologie pro hromadnou výrobu nových produktů, které jsou výsledkem vlastního výzkumu a jejich uvedení na trh ČR a EU. Celkové náklady projektu jsou </w:t>
      </w:r>
      <w:smartTag w:uri="urn:schemas-microsoft-com:office:smarttags" w:element="metricconverter">
        <w:smartTagPr>
          <w:attr w:name="ProductID" w:val="45 mil"/>
        </w:smartTagPr>
        <w:r w:rsidRPr="002C224A">
          <w:t>45 mil</w:t>
        </w:r>
      </w:smartTag>
      <w:r w:rsidRPr="002C224A">
        <w:t>. Kč. Ekonomickým cílem projektu je zvýšení obratu alespoň o 30 % a zvýšení marže alespoň o 20 %. V tabulce níže lze vidět vliv různých forem podpory na ekonomiku projektu.</w:t>
      </w:r>
    </w:p>
    <w:p w:rsidR="006D67F1" w:rsidRPr="002C224A" w:rsidRDefault="006D67F1" w:rsidP="001B3BC6">
      <w:pPr>
        <w:pStyle w:val="BodyText1"/>
        <w:jc w:val="both"/>
        <w:rPr>
          <w:rFonts w:ascii="Calibri" w:hAnsi="Calibri"/>
        </w:rPr>
      </w:pPr>
    </w:p>
    <w:tbl>
      <w:tblPr>
        <w:tblW w:w="8834" w:type="dxa"/>
        <w:tblInd w:w="55" w:type="dxa"/>
        <w:tblCellMar>
          <w:left w:w="0" w:type="dxa"/>
          <w:right w:w="0" w:type="dxa"/>
        </w:tblCellMar>
        <w:tblLook w:val="00A0" w:firstRow="1" w:lastRow="0" w:firstColumn="1" w:lastColumn="0" w:noHBand="0" w:noVBand="0"/>
      </w:tblPr>
      <w:tblGrid>
        <w:gridCol w:w="2372"/>
        <w:gridCol w:w="1554"/>
        <w:gridCol w:w="1546"/>
        <w:gridCol w:w="1716"/>
        <w:gridCol w:w="1694"/>
      </w:tblGrid>
      <w:tr w:rsidR="006D67F1" w:rsidRPr="002C224A" w:rsidTr="00D352F3">
        <w:trPr>
          <w:trHeight w:val="20"/>
        </w:trPr>
        <w:tc>
          <w:tcPr>
            <w:tcW w:w="2364" w:type="dxa"/>
            <w:tcBorders>
              <w:top w:val="single" w:sz="4" w:space="0" w:color="002776"/>
              <w:left w:val="single" w:sz="4" w:space="0" w:color="002776"/>
              <w:bottom w:val="nil"/>
              <w:right w:val="nil"/>
            </w:tcBorders>
            <w:shd w:val="clear" w:color="auto" w:fill="002776"/>
            <w:noWrap/>
            <w:vAlign w:val="center"/>
          </w:tcPr>
          <w:p w:rsidR="006D67F1" w:rsidRPr="002C224A" w:rsidRDefault="006D67F1" w:rsidP="00D352F3">
            <w:pPr>
              <w:jc w:val="center"/>
              <w:rPr>
                <w:rFonts w:cs="Arial"/>
                <w:b/>
                <w:bCs/>
                <w:color w:val="FFFFFF"/>
                <w:sz w:val="18"/>
                <w:szCs w:val="18"/>
              </w:rPr>
            </w:pPr>
          </w:p>
        </w:tc>
        <w:tc>
          <w:tcPr>
            <w:tcW w:w="1538" w:type="dxa"/>
            <w:tcBorders>
              <w:top w:val="single" w:sz="4" w:space="0" w:color="002776"/>
              <w:left w:val="nil"/>
              <w:bottom w:val="nil"/>
              <w:right w:val="nil"/>
            </w:tcBorders>
            <w:shd w:val="clear" w:color="auto" w:fill="002776"/>
            <w:noWrap/>
            <w:vAlign w:val="bottom"/>
          </w:tcPr>
          <w:p w:rsidR="006D67F1" w:rsidRPr="002C224A" w:rsidRDefault="006D67F1" w:rsidP="00D352F3">
            <w:pPr>
              <w:jc w:val="left"/>
              <w:rPr>
                <w:rFonts w:cs="Arial"/>
                <w:b/>
                <w:bCs/>
                <w:color w:val="FFFFFF"/>
                <w:sz w:val="18"/>
                <w:szCs w:val="18"/>
              </w:rPr>
            </w:pPr>
            <w:r w:rsidRPr="00A50943">
              <w:rPr>
                <w:b/>
                <w:bCs/>
                <w:color w:val="FFFFFF"/>
                <w:sz w:val="18"/>
                <w:szCs w:val="18"/>
              </w:rPr>
              <w:t> </w:t>
            </w:r>
          </w:p>
        </w:tc>
        <w:tc>
          <w:tcPr>
            <w:tcW w:w="4932" w:type="dxa"/>
            <w:gridSpan w:val="3"/>
            <w:tcBorders>
              <w:top w:val="single" w:sz="4" w:space="0" w:color="002776"/>
              <w:left w:val="nil"/>
              <w:bottom w:val="nil"/>
              <w:right w:val="single" w:sz="4" w:space="0" w:color="002776"/>
            </w:tcBorders>
            <w:shd w:val="clear" w:color="auto" w:fill="002776"/>
            <w:noWrap/>
            <w:vAlign w:val="bottom"/>
          </w:tcPr>
          <w:p w:rsidR="006D67F1" w:rsidRPr="002C224A" w:rsidRDefault="006D67F1" w:rsidP="00D352F3">
            <w:pPr>
              <w:jc w:val="left"/>
              <w:rPr>
                <w:rFonts w:cs="Arial"/>
                <w:b/>
                <w:bCs/>
                <w:color w:val="FFFFFF"/>
                <w:sz w:val="18"/>
                <w:szCs w:val="18"/>
              </w:rPr>
            </w:pPr>
            <w:r w:rsidRPr="00A50943">
              <w:rPr>
                <w:b/>
                <w:bCs/>
                <w:color w:val="FFFFFF"/>
                <w:sz w:val="18"/>
                <w:szCs w:val="18"/>
              </w:rPr>
              <w:t> </w:t>
            </w:r>
          </w:p>
          <w:p w:rsidR="006D67F1" w:rsidRPr="00A50943" w:rsidRDefault="006D67F1" w:rsidP="00D352F3">
            <w:pPr>
              <w:jc w:val="right"/>
              <w:rPr>
                <w:b/>
                <w:bCs/>
                <w:i/>
                <w:iCs/>
                <w:color w:val="FFFFFF"/>
                <w:sz w:val="18"/>
                <w:szCs w:val="18"/>
              </w:rPr>
            </w:pPr>
            <w:r w:rsidRPr="00A50943">
              <w:rPr>
                <w:b/>
                <w:bCs/>
                <w:i/>
                <w:iCs/>
                <w:color w:val="FFFFFF"/>
                <w:sz w:val="18"/>
                <w:szCs w:val="18"/>
              </w:rPr>
              <w:t xml:space="preserve">Investice: 45 000 000 Kč </w:t>
            </w:r>
            <w:r w:rsidRPr="00A50943">
              <w:rPr>
                <w:b/>
                <w:bCs/>
                <w:i/>
                <w:iCs/>
                <w:color w:val="FFFFFF"/>
                <w:sz w:val="18"/>
                <w:szCs w:val="18"/>
              </w:rPr>
              <w:br/>
              <w:t>Roční provozní výnos/úspora: 5 281 900 Kč</w:t>
            </w:r>
            <w:r w:rsidRPr="00A50943">
              <w:rPr>
                <w:b/>
                <w:bCs/>
                <w:i/>
                <w:iCs/>
                <w:color w:val="FFFFFF"/>
                <w:sz w:val="18"/>
                <w:szCs w:val="18"/>
              </w:rPr>
              <w:br/>
              <w:t>Komerční úvěr - úroková sazba: 4,0%</w:t>
            </w:r>
          </w:p>
          <w:p w:rsidR="006D67F1" w:rsidRPr="002C224A" w:rsidRDefault="006D67F1" w:rsidP="00D352F3">
            <w:pPr>
              <w:jc w:val="right"/>
              <w:rPr>
                <w:rFonts w:cs="Arial"/>
                <w:b/>
                <w:bCs/>
                <w:i/>
                <w:iCs/>
                <w:color w:val="FFFFFF"/>
                <w:sz w:val="18"/>
                <w:szCs w:val="18"/>
              </w:rPr>
            </w:pPr>
            <w:r w:rsidRPr="002C224A">
              <w:rPr>
                <w:b/>
                <w:bCs/>
                <w:i/>
                <w:iCs/>
                <w:color w:val="FFFFFF"/>
                <w:sz w:val="18"/>
                <w:szCs w:val="18"/>
              </w:rPr>
              <w:t xml:space="preserve">Zvýhodněný úvěr: úroková sazba: 1,0%  </w:t>
            </w:r>
          </w:p>
        </w:tc>
      </w:tr>
      <w:tr w:rsidR="006D67F1" w:rsidRPr="002C224A" w:rsidTr="00D352F3">
        <w:trPr>
          <w:trHeight w:val="20"/>
        </w:trPr>
        <w:tc>
          <w:tcPr>
            <w:tcW w:w="2364" w:type="dxa"/>
            <w:tcBorders>
              <w:top w:val="nil"/>
              <w:left w:val="single" w:sz="4" w:space="0" w:color="002776"/>
              <w:bottom w:val="single" w:sz="4" w:space="0" w:color="002776"/>
              <w:right w:val="nil"/>
            </w:tcBorders>
            <w:shd w:val="clear" w:color="auto" w:fill="002776"/>
            <w:noWrap/>
            <w:vAlign w:val="center"/>
          </w:tcPr>
          <w:p w:rsidR="006D67F1" w:rsidRPr="002C224A" w:rsidRDefault="006D67F1" w:rsidP="00D352F3">
            <w:pPr>
              <w:jc w:val="left"/>
              <w:rPr>
                <w:rFonts w:cs="Arial"/>
                <w:b/>
                <w:bCs/>
                <w:color w:val="FFFFFF"/>
                <w:sz w:val="18"/>
                <w:szCs w:val="18"/>
              </w:rPr>
            </w:pPr>
            <w:r w:rsidRPr="002C224A">
              <w:rPr>
                <w:b/>
                <w:bCs/>
                <w:color w:val="FFFFFF"/>
                <w:sz w:val="18"/>
                <w:szCs w:val="18"/>
              </w:rPr>
              <w:t> </w:t>
            </w:r>
          </w:p>
        </w:tc>
        <w:tc>
          <w:tcPr>
            <w:tcW w:w="1538" w:type="dxa"/>
            <w:tcBorders>
              <w:top w:val="single" w:sz="4" w:space="0" w:color="FFFFFF"/>
              <w:left w:val="nil"/>
              <w:bottom w:val="single" w:sz="4" w:space="0" w:color="002776"/>
              <w:right w:val="nil"/>
            </w:tcBorders>
            <w:shd w:val="clear" w:color="auto" w:fill="002776"/>
            <w:noWrap/>
            <w:vAlign w:val="center"/>
          </w:tcPr>
          <w:p w:rsidR="006D67F1" w:rsidRPr="002C224A" w:rsidRDefault="006D67F1" w:rsidP="00D352F3">
            <w:pPr>
              <w:jc w:val="center"/>
              <w:rPr>
                <w:rFonts w:cs="Arial"/>
                <w:b/>
                <w:bCs/>
                <w:color w:val="FFFFFF"/>
                <w:sz w:val="18"/>
                <w:szCs w:val="18"/>
              </w:rPr>
            </w:pPr>
            <w:r w:rsidRPr="00A50943">
              <w:rPr>
                <w:b/>
                <w:bCs/>
                <w:color w:val="FFFFFF"/>
                <w:sz w:val="18"/>
                <w:szCs w:val="18"/>
              </w:rPr>
              <w:t>100 % tržní úvěr</w:t>
            </w:r>
          </w:p>
        </w:tc>
        <w:tc>
          <w:tcPr>
            <w:tcW w:w="1538" w:type="dxa"/>
            <w:tcBorders>
              <w:top w:val="single" w:sz="4" w:space="0" w:color="FFFFFF"/>
              <w:left w:val="nil"/>
              <w:bottom w:val="single" w:sz="4" w:space="0" w:color="002776"/>
              <w:right w:val="nil"/>
            </w:tcBorders>
            <w:shd w:val="clear" w:color="auto" w:fill="002776"/>
            <w:vAlign w:val="center"/>
          </w:tcPr>
          <w:p w:rsidR="006D67F1" w:rsidRPr="002C224A" w:rsidRDefault="006D67F1" w:rsidP="00D352F3">
            <w:pPr>
              <w:jc w:val="center"/>
              <w:rPr>
                <w:rFonts w:cs="Arial"/>
                <w:b/>
                <w:bCs/>
                <w:color w:val="FFFFFF"/>
                <w:sz w:val="18"/>
                <w:szCs w:val="18"/>
              </w:rPr>
            </w:pPr>
            <w:r w:rsidRPr="00A50943">
              <w:rPr>
                <w:b/>
                <w:bCs/>
                <w:color w:val="FFFFFF"/>
                <w:sz w:val="18"/>
                <w:szCs w:val="18"/>
              </w:rPr>
              <w:t>50 % tržní úvěr, 50 % dotace</w:t>
            </w:r>
          </w:p>
        </w:tc>
        <w:tc>
          <w:tcPr>
            <w:tcW w:w="1708" w:type="dxa"/>
            <w:tcBorders>
              <w:top w:val="single" w:sz="4" w:space="0" w:color="FFFFFF"/>
              <w:left w:val="nil"/>
              <w:bottom w:val="single" w:sz="4" w:space="0" w:color="002776"/>
              <w:right w:val="nil"/>
            </w:tcBorders>
            <w:shd w:val="clear" w:color="auto" w:fill="002776"/>
            <w:vAlign w:val="center"/>
          </w:tcPr>
          <w:p w:rsidR="006D67F1" w:rsidRPr="002C224A" w:rsidRDefault="006D67F1" w:rsidP="00D352F3">
            <w:pPr>
              <w:jc w:val="center"/>
              <w:rPr>
                <w:rFonts w:cs="Arial"/>
                <w:b/>
                <w:bCs/>
                <w:color w:val="FFFFFF"/>
                <w:sz w:val="18"/>
                <w:szCs w:val="18"/>
              </w:rPr>
            </w:pPr>
            <w:r w:rsidRPr="00A50943">
              <w:rPr>
                <w:b/>
                <w:bCs/>
                <w:color w:val="FFFFFF"/>
                <w:sz w:val="18"/>
                <w:szCs w:val="18"/>
              </w:rPr>
              <w:t xml:space="preserve">20 </w:t>
            </w:r>
            <w:r w:rsidRPr="002C224A">
              <w:rPr>
                <w:b/>
                <w:bCs/>
                <w:color w:val="FFFFFF"/>
                <w:sz w:val="18"/>
                <w:szCs w:val="18"/>
              </w:rPr>
              <w:t>% dotace, 80 % zvýhodněný úvěr</w:t>
            </w:r>
          </w:p>
        </w:tc>
        <w:tc>
          <w:tcPr>
            <w:tcW w:w="1686" w:type="dxa"/>
            <w:tcBorders>
              <w:top w:val="single" w:sz="4" w:space="0" w:color="FFFFFF"/>
              <w:left w:val="nil"/>
              <w:bottom w:val="single" w:sz="4" w:space="0" w:color="002776"/>
              <w:right w:val="single" w:sz="4" w:space="0" w:color="002776"/>
            </w:tcBorders>
            <w:shd w:val="clear" w:color="auto" w:fill="002776"/>
            <w:vAlign w:val="center"/>
          </w:tcPr>
          <w:p w:rsidR="006D67F1" w:rsidRPr="002C224A" w:rsidRDefault="006D67F1" w:rsidP="00D352F3">
            <w:pPr>
              <w:jc w:val="center"/>
              <w:rPr>
                <w:rFonts w:cs="Arial"/>
                <w:b/>
                <w:bCs/>
                <w:color w:val="FFFFFF"/>
                <w:sz w:val="18"/>
                <w:szCs w:val="18"/>
              </w:rPr>
            </w:pPr>
            <w:r w:rsidRPr="00A50943">
              <w:rPr>
                <w:b/>
                <w:bCs/>
                <w:color w:val="FFFFFF"/>
                <w:sz w:val="18"/>
                <w:szCs w:val="18"/>
              </w:rPr>
              <w:t>100 % zvýhodněný úvěr</w:t>
            </w:r>
          </w:p>
        </w:tc>
      </w:tr>
      <w:tr w:rsidR="006D67F1" w:rsidRPr="002C224A" w:rsidTr="00D352F3">
        <w:trPr>
          <w:trHeight w:val="20"/>
        </w:trPr>
        <w:tc>
          <w:tcPr>
            <w:tcW w:w="2364" w:type="dxa"/>
            <w:tcBorders>
              <w:top w:val="nil"/>
              <w:left w:val="single" w:sz="4" w:space="0" w:color="002776"/>
              <w:bottom w:val="single" w:sz="4" w:space="0" w:color="002776"/>
              <w:right w:val="nil"/>
            </w:tcBorders>
            <w:noWrap/>
            <w:vAlign w:val="center"/>
          </w:tcPr>
          <w:p w:rsidR="006D67F1" w:rsidRPr="002C224A" w:rsidRDefault="006D67F1" w:rsidP="00D352F3">
            <w:pPr>
              <w:jc w:val="left"/>
              <w:rPr>
                <w:rFonts w:cs="Arial"/>
                <w:color w:val="000000"/>
                <w:sz w:val="18"/>
                <w:szCs w:val="18"/>
              </w:rPr>
            </w:pPr>
            <w:r w:rsidRPr="002C224A">
              <w:rPr>
                <w:color w:val="000000"/>
                <w:sz w:val="18"/>
                <w:szCs w:val="18"/>
              </w:rPr>
              <w:lastRenderedPageBreak/>
              <w:t>Vnitřní výnosové procento (IRR)</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9,72%</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23,02%</w:t>
            </w:r>
          </w:p>
        </w:tc>
        <w:tc>
          <w:tcPr>
            <w:tcW w:w="170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13,30%</w:t>
            </w:r>
          </w:p>
        </w:tc>
        <w:tc>
          <w:tcPr>
            <w:tcW w:w="1686" w:type="dxa"/>
            <w:tcBorders>
              <w:top w:val="nil"/>
              <w:left w:val="nil"/>
              <w:bottom w:val="single" w:sz="4" w:space="0" w:color="002776"/>
              <w:right w:val="single" w:sz="4" w:space="0" w:color="002776"/>
            </w:tcBorders>
            <w:noWrap/>
            <w:vAlign w:val="center"/>
          </w:tcPr>
          <w:p w:rsidR="006D67F1" w:rsidRPr="002C224A" w:rsidRDefault="006D67F1" w:rsidP="00D352F3">
            <w:pPr>
              <w:jc w:val="right"/>
              <w:rPr>
                <w:rFonts w:cs="Arial"/>
                <w:color w:val="000000"/>
                <w:sz w:val="18"/>
                <w:szCs w:val="18"/>
              </w:rPr>
            </w:pPr>
            <w:r w:rsidRPr="00A50943">
              <w:rPr>
                <w:sz w:val="18"/>
                <w:szCs w:val="18"/>
              </w:rPr>
              <w:t>9,72%</w:t>
            </w:r>
          </w:p>
        </w:tc>
      </w:tr>
      <w:tr w:rsidR="006D67F1" w:rsidRPr="002C224A" w:rsidTr="00D352F3">
        <w:trPr>
          <w:trHeight w:val="20"/>
        </w:trPr>
        <w:tc>
          <w:tcPr>
            <w:tcW w:w="2364" w:type="dxa"/>
            <w:tcBorders>
              <w:top w:val="nil"/>
              <w:left w:val="single" w:sz="4" w:space="0" w:color="002776"/>
              <w:bottom w:val="single" w:sz="4" w:space="0" w:color="002776"/>
              <w:right w:val="nil"/>
            </w:tcBorders>
            <w:noWrap/>
            <w:vAlign w:val="center"/>
          </w:tcPr>
          <w:p w:rsidR="006D67F1" w:rsidRPr="002C224A" w:rsidRDefault="006D67F1" w:rsidP="00D352F3">
            <w:pPr>
              <w:jc w:val="left"/>
              <w:rPr>
                <w:rFonts w:cs="Arial"/>
                <w:color w:val="000000"/>
                <w:sz w:val="18"/>
                <w:szCs w:val="18"/>
              </w:rPr>
            </w:pPr>
            <w:r w:rsidRPr="002C224A">
              <w:rPr>
                <w:color w:val="000000"/>
                <w:sz w:val="18"/>
                <w:szCs w:val="18"/>
              </w:rPr>
              <w:t>Čistá současná hodnota (NPV v Kč)</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23 434 764</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45 069 379</w:t>
            </w:r>
          </w:p>
        </w:tc>
        <w:tc>
          <w:tcPr>
            <w:tcW w:w="170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54 441 638</w:t>
            </w:r>
          </w:p>
        </w:tc>
        <w:tc>
          <w:tcPr>
            <w:tcW w:w="1686" w:type="dxa"/>
            <w:tcBorders>
              <w:top w:val="nil"/>
              <w:left w:val="nil"/>
              <w:bottom w:val="single" w:sz="4" w:space="0" w:color="002776"/>
              <w:right w:val="single" w:sz="4" w:space="0" w:color="002776"/>
            </w:tcBorders>
            <w:noWrap/>
            <w:vAlign w:val="center"/>
          </w:tcPr>
          <w:p w:rsidR="006D67F1" w:rsidRPr="002C224A" w:rsidRDefault="006D67F1" w:rsidP="00D352F3">
            <w:pPr>
              <w:jc w:val="right"/>
              <w:rPr>
                <w:rFonts w:cs="Arial"/>
                <w:color w:val="000000"/>
                <w:sz w:val="18"/>
                <w:szCs w:val="18"/>
              </w:rPr>
            </w:pPr>
            <w:r w:rsidRPr="00A50943">
              <w:rPr>
                <w:sz w:val="18"/>
                <w:szCs w:val="18"/>
              </w:rPr>
              <w:t>45 530 747</w:t>
            </w:r>
          </w:p>
        </w:tc>
      </w:tr>
      <w:tr w:rsidR="006D67F1" w:rsidRPr="002C224A" w:rsidTr="00D352F3">
        <w:trPr>
          <w:trHeight w:val="20"/>
        </w:trPr>
        <w:tc>
          <w:tcPr>
            <w:tcW w:w="2364" w:type="dxa"/>
            <w:tcBorders>
              <w:top w:val="nil"/>
              <w:left w:val="single" w:sz="4" w:space="0" w:color="002776"/>
              <w:bottom w:val="single" w:sz="4" w:space="0" w:color="002776"/>
              <w:right w:val="nil"/>
            </w:tcBorders>
            <w:noWrap/>
            <w:vAlign w:val="center"/>
          </w:tcPr>
          <w:p w:rsidR="006D67F1" w:rsidRPr="002C224A" w:rsidRDefault="006D67F1" w:rsidP="00D352F3">
            <w:pPr>
              <w:jc w:val="left"/>
              <w:rPr>
                <w:rFonts w:cs="Arial"/>
                <w:color w:val="000000"/>
                <w:sz w:val="18"/>
                <w:szCs w:val="18"/>
              </w:rPr>
            </w:pPr>
            <w:r w:rsidRPr="002C224A">
              <w:rPr>
                <w:color w:val="000000"/>
                <w:sz w:val="18"/>
                <w:szCs w:val="18"/>
              </w:rPr>
              <w:t>Prostá doba návratnosti (roky)</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8,52</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4,26</w:t>
            </w:r>
          </w:p>
        </w:tc>
        <w:tc>
          <w:tcPr>
            <w:tcW w:w="170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6,82</w:t>
            </w:r>
          </w:p>
        </w:tc>
        <w:tc>
          <w:tcPr>
            <w:tcW w:w="1686" w:type="dxa"/>
            <w:tcBorders>
              <w:top w:val="nil"/>
              <w:left w:val="nil"/>
              <w:bottom w:val="single" w:sz="4" w:space="0" w:color="002776"/>
              <w:right w:val="single" w:sz="4" w:space="0" w:color="002776"/>
            </w:tcBorders>
            <w:noWrap/>
            <w:vAlign w:val="center"/>
          </w:tcPr>
          <w:p w:rsidR="006D67F1" w:rsidRPr="002C224A" w:rsidRDefault="006D67F1" w:rsidP="00D352F3">
            <w:pPr>
              <w:jc w:val="right"/>
              <w:rPr>
                <w:rFonts w:cs="Arial"/>
                <w:color w:val="000000"/>
                <w:sz w:val="18"/>
                <w:szCs w:val="18"/>
              </w:rPr>
            </w:pPr>
            <w:r w:rsidRPr="00A50943">
              <w:rPr>
                <w:sz w:val="18"/>
                <w:szCs w:val="18"/>
              </w:rPr>
              <w:t>8,52</w:t>
            </w:r>
          </w:p>
        </w:tc>
      </w:tr>
      <w:tr w:rsidR="006D67F1" w:rsidRPr="002C224A" w:rsidTr="00D352F3">
        <w:trPr>
          <w:trHeight w:val="20"/>
        </w:trPr>
        <w:tc>
          <w:tcPr>
            <w:tcW w:w="2364" w:type="dxa"/>
            <w:tcBorders>
              <w:top w:val="nil"/>
              <w:left w:val="single" w:sz="4" w:space="0" w:color="002776"/>
              <w:bottom w:val="single" w:sz="4" w:space="0" w:color="002776"/>
              <w:right w:val="nil"/>
            </w:tcBorders>
            <w:noWrap/>
            <w:vAlign w:val="center"/>
          </w:tcPr>
          <w:p w:rsidR="006D67F1" w:rsidRPr="002C224A" w:rsidRDefault="006D67F1" w:rsidP="00D352F3">
            <w:pPr>
              <w:jc w:val="left"/>
              <w:rPr>
                <w:rFonts w:cs="Arial"/>
                <w:color w:val="000000"/>
                <w:sz w:val="18"/>
                <w:szCs w:val="18"/>
              </w:rPr>
            </w:pPr>
            <w:r w:rsidRPr="002C224A">
              <w:rPr>
                <w:color w:val="000000"/>
                <w:sz w:val="18"/>
                <w:szCs w:val="18"/>
              </w:rPr>
              <w:t>Diskontovaná doba návratnosti (roky)</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11,6</w:t>
            </w:r>
          </w:p>
        </w:tc>
        <w:tc>
          <w:tcPr>
            <w:tcW w:w="153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5,8</w:t>
            </w:r>
          </w:p>
        </w:tc>
        <w:tc>
          <w:tcPr>
            <w:tcW w:w="1708" w:type="dxa"/>
            <w:tcBorders>
              <w:top w:val="nil"/>
              <w:left w:val="nil"/>
              <w:bottom w:val="single" w:sz="4" w:space="0" w:color="002776"/>
              <w:right w:val="nil"/>
            </w:tcBorders>
            <w:noWrap/>
            <w:vAlign w:val="center"/>
          </w:tcPr>
          <w:p w:rsidR="006D67F1" w:rsidRPr="002C224A" w:rsidRDefault="006D67F1" w:rsidP="00D352F3">
            <w:pPr>
              <w:jc w:val="right"/>
              <w:rPr>
                <w:rFonts w:cs="Arial"/>
                <w:color w:val="000000"/>
                <w:sz w:val="18"/>
                <w:szCs w:val="18"/>
              </w:rPr>
            </w:pPr>
            <w:r w:rsidRPr="00A50943">
              <w:rPr>
                <w:sz w:val="18"/>
                <w:szCs w:val="18"/>
              </w:rPr>
              <w:t>8,1</w:t>
            </w:r>
          </w:p>
        </w:tc>
        <w:tc>
          <w:tcPr>
            <w:tcW w:w="1686" w:type="dxa"/>
            <w:tcBorders>
              <w:top w:val="nil"/>
              <w:left w:val="nil"/>
              <w:bottom w:val="single" w:sz="4" w:space="0" w:color="002776"/>
              <w:right w:val="single" w:sz="4" w:space="0" w:color="002776"/>
            </w:tcBorders>
            <w:noWrap/>
            <w:vAlign w:val="center"/>
          </w:tcPr>
          <w:p w:rsidR="006D67F1" w:rsidRPr="002C224A" w:rsidRDefault="006D67F1" w:rsidP="00D352F3">
            <w:pPr>
              <w:keepNext/>
              <w:jc w:val="right"/>
              <w:rPr>
                <w:rFonts w:cs="Arial"/>
                <w:color w:val="000000"/>
                <w:sz w:val="18"/>
                <w:szCs w:val="18"/>
              </w:rPr>
            </w:pPr>
            <w:r w:rsidRPr="00A50943">
              <w:rPr>
                <w:sz w:val="18"/>
                <w:szCs w:val="18"/>
              </w:rPr>
              <w:t>9,9</w:t>
            </w:r>
          </w:p>
        </w:tc>
      </w:tr>
    </w:tbl>
    <w:p w:rsidR="006D67F1" w:rsidRPr="002C224A" w:rsidRDefault="006D67F1" w:rsidP="001B3BC6">
      <w:pPr>
        <w:pStyle w:val="Titulek"/>
        <w:jc w:val="center"/>
      </w:pPr>
      <w:r w:rsidRPr="002C224A">
        <w:t xml:space="preserve">Tabulka </w:t>
      </w:r>
      <w:r w:rsidR="00543325">
        <w:t>9</w:t>
      </w:r>
      <w:r w:rsidRPr="002C224A">
        <w:t>: vliv podpory na ekonomiku projektu</w:t>
      </w:r>
    </w:p>
    <w:p w:rsidR="006D67F1" w:rsidRPr="002C224A" w:rsidRDefault="006D67F1" w:rsidP="001B3BC6">
      <w:pPr>
        <w:pStyle w:val="BodyText1"/>
        <w:rPr>
          <w:rFonts w:ascii="Calibri" w:hAnsi="Calibri"/>
        </w:rPr>
      </w:pPr>
    </w:p>
    <w:p w:rsidR="006D67F1" w:rsidRPr="002C224A" w:rsidRDefault="006D67F1" w:rsidP="001B3BC6">
      <w:pPr>
        <w:jc w:val="left"/>
      </w:pPr>
      <w:r w:rsidRPr="00A50943">
        <w:t>Poskytnutí dotace ve výši 50 % ze způsobilých výdajů by vedlo k významnému zvýšení výnosnosti, které je při použití zvýhodněného úvěru pouze mírné. Obdobně bude působ</w:t>
      </w:r>
      <w:r w:rsidRPr="002C224A">
        <w:t>it na ekonomiku i záruka s částečnou podmíněnou úhradou úrokových poplatků.</w:t>
      </w:r>
    </w:p>
    <w:p w:rsidR="006D67F1" w:rsidRPr="002C224A" w:rsidRDefault="006D67F1" w:rsidP="001B3BC6"/>
    <w:p w:rsidR="00AA1508" w:rsidRPr="00A50943" w:rsidRDefault="00AA1508" w:rsidP="00AA1508">
      <w:r w:rsidRPr="002C224A">
        <w:t xml:space="preserve">Podpora ve formě záruky s příspěvkem na úhradu úroků je poskytována v režimu de minimis, proto její celková výše tvořená cenou poskytnuté záruky a příspěvkem na úhradu úroků nesmí přesáhnout 200 tis. €, neboli </w:t>
      </w:r>
      <w:smartTag w:uri="urn:schemas-microsoft-com:office:smarttags" w:element="metricconverter">
        <w:smartTagPr>
          <w:attr w:name="ProductID" w:val="5,6 mil"/>
        </w:smartTagPr>
        <w:r w:rsidRPr="002C224A">
          <w:t>5,6 mil</w:t>
        </w:r>
      </w:smartTag>
      <w:r w:rsidRPr="002C224A">
        <w:t>. Kč</w:t>
      </w:r>
      <w:r w:rsidRPr="002C224A">
        <w:rPr>
          <w:rStyle w:val="Znakapoznpodarou"/>
          <w:rFonts w:ascii="Calibri" w:hAnsi="Calibri"/>
        </w:rPr>
        <w:footnoteReference w:id="20"/>
      </w:r>
      <w:r w:rsidRPr="00A50943">
        <w:t xml:space="preserve">. </w:t>
      </w:r>
    </w:p>
    <w:p w:rsidR="00AA1508" w:rsidRPr="002C224A" w:rsidRDefault="00AA1508" w:rsidP="00AA1508"/>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69"/>
        <w:gridCol w:w="2114"/>
        <w:gridCol w:w="2291"/>
        <w:gridCol w:w="2288"/>
      </w:tblGrid>
      <w:tr w:rsidR="00AA1508" w:rsidRPr="002C224A" w:rsidTr="00543325">
        <w:tc>
          <w:tcPr>
            <w:tcW w:w="2369" w:type="dxa"/>
            <w:shd w:val="clear" w:color="auto" w:fill="auto"/>
            <w:vAlign w:val="center"/>
          </w:tcPr>
          <w:p w:rsidR="00AA1508" w:rsidRPr="002C224A" w:rsidRDefault="00AA1508" w:rsidP="007C3BB7">
            <w:pPr>
              <w:jc w:val="left"/>
              <w:rPr>
                <w:szCs w:val="19"/>
              </w:rPr>
            </w:pPr>
            <w:r w:rsidRPr="002C224A">
              <w:rPr>
                <w:szCs w:val="19"/>
              </w:rPr>
              <w:t>Výše investice/úvěru</w:t>
            </w:r>
          </w:p>
        </w:tc>
        <w:tc>
          <w:tcPr>
            <w:tcW w:w="2114" w:type="dxa"/>
            <w:shd w:val="clear" w:color="auto" w:fill="auto"/>
            <w:vAlign w:val="center"/>
          </w:tcPr>
          <w:p w:rsidR="00AA1508" w:rsidRPr="002C224A" w:rsidRDefault="00AA1508" w:rsidP="007C3BB7">
            <w:pPr>
              <w:jc w:val="center"/>
              <w:rPr>
                <w:szCs w:val="19"/>
              </w:rPr>
            </w:pPr>
            <w:r w:rsidRPr="002C224A">
              <w:rPr>
                <w:szCs w:val="19"/>
              </w:rPr>
              <w:t>45 000 tis. Kč</w:t>
            </w:r>
          </w:p>
        </w:tc>
        <w:tc>
          <w:tcPr>
            <w:tcW w:w="2291" w:type="dxa"/>
            <w:shd w:val="clear" w:color="auto" w:fill="auto"/>
            <w:vAlign w:val="center"/>
          </w:tcPr>
          <w:p w:rsidR="00AA1508" w:rsidRPr="002C224A" w:rsidRDefault="00AA1508" w:rsidP="007C3BB7">
            <w:pPr>
              <w:jc w:val="left"/>
              <w:rPr>
                <w:szCs w:val="19"/>
              </w:rPr>
            </w:pPr>
            <w:r w:rsidRPr="002C224A">
              <w:rPr>
                <w:szCs w:val="19"/>
              </w:rPr>
              <w:t>Zbývající podpora</w:t>
            </w:r>
          </w:p>
        </w:tc>
        <w:tc>
          <w:tcPr>
            <w:tcW w:w="2288" w:type="dxa"/>
            <w:shd w:val="clear" w:color="auto" w:fill="auto"/>
            <w:vAlign w:val="center"/>
          </w:tcPr>
          <w:p w:rsidR="00AA1508" w:rsidRPr="002C224A" w:rsidRDefault="00AA1508" w:rsidP="007C3BB7">
            <w:pPr>
              <w:jc w:val="center"/>
              <w:rPr>
                <w:szCs w:val="19"/>
              </w:rPr>
            </w:pPr>
            <w:r w:rsidRPr="002C224A">
              <w:rPr>
                <w:szCs w:val="19"/>
              </w:rPr>
              <w:t>5 312 tis. Kč</w:t>
            </w:r>
          </w:p>
        </w:tc>
      </w:tr>
      <w:tr w:rsidR="00AA1508" w:rsidRPr="002C224A" w:rsidTr="00543325">
        <w:tc>
          <w:tcPr>
            <w:tcW w:w="2369" w:type="dxa"/>
            <w:shd w:val="clear" w:color="auto" w:fill="auto"/>
            <w:vAlign w:val="center"/>
          </w:tcPr>
          <w:p w:rsidR="00AA1508" w:rsidRPr="002C224A" w:rsidRDefault="00AA1508" w:rsidP="007C3BB7">
            <w:pPr>
              <w:jc w:val="left"/>
              <w:rPr>
                <w:szCs w:val="19"/>
              </w:rPr>
            </w:pPr>
            <w:r w:rsidRPr="002C224A">
              <w:rPr>
                <w:szCs w:val="19"/>
              </w:rPr>
              <w:t>Zaručovaná jistina (80%)</w:t>
            </w:r>
          </w:p>
        </w:tc>
        <w:tc>
          <w:tcPr>
            <w:tcW w:w="2114" w:type="dxa"/>
            <w:shd w:val="clear" w:color="auto" w:fill="auto"/>
            <w:vAlign w:val="center"/>
          </w:tcPr>
          <w:p w:rsidR="00AA1508" w:rsidRPr="002C224A" w:rsidRDefault="00AA1508" w:rsidP="007C3BB7">
            <w:pPr>
              <w:jc w:val="center"/>
              <w:rPr>
                <w:szCs w:val="19"/>
              </w:rPr>
            </w:pPr>
            <w:r w:rsidRPr="002C224A">
              <w:rPr>
                <w:szCs w:val="19"/>
              </w:rPr>
              <w:t>36 000 tis. Kč</w:t>
            </w:r>
          </w:p>
        </w:tc>
        <w:tc>
          <w:tcPr>
            <w:tcW w:w="2291" w:type="dxa"/>
            <w:shd w:val="clear" w:color="auto" w:fill="auto"/>
            <w:vAlign w:val="center"/>
          </w:tcPr>
          <w:p w:rsidR="00AA1508" w:rsidRPr="002C224A" w:rsidRDefault="00AA1508" w:rsidP="007C3BB7">
            <w:pPr>
              <w:jc w:val="left"/>
              <w:rPr>
                <w:szCs w:val="19"/>
              </w:rPr>
            </w:pPr>
            <w:r w:rsidRPr="002C224A">
              <w:rPr>
                <w:szCs w:val="19"/>
              </w:rPr>
              <w:t>Příspěvek na úhradu úroků</w:t>
            </w:r>
          </w:p>
        </w:tc>
        <w:tc>
          <w:tcPr>
            <w:tcW w:w="2288" w:type="dxa"/>
            <w:shd w:val="clear" w:color="auto" w:fill="auto"/>
            <w:vAlign w:val="center"/>
          </w:tcPr>
          <w:p w:rsidR="00AA1508" w:rsidRPr="002C224A" w:rsidRDefault="00AA1508" w:rsidP="007C3BB7">
            <w:pPr>
              <w:jc w:val="center"/>
              <w:rPr>
                <w:szCs w:val="19"/>
              </w:rPr>
            </w:pPr>
            <w:r w:rsidRPr="002C224A">
              <w:rPr>
                <w:szCs w:val="19"/>
              </w:rPr>
              <w:t>4 182 tis. Kč</w:t>
            </w:r>
          </w:p>
        </w:tc>
      </w:tr>
      <w:tr w:rsidR="00AA1508" w:rsidRPr="002C224A" w:rsidTr="00543325">
        <w:tc>
          <w:tcPr>
            <w:tcW w:w="2369" w:type="dxa"/>
            <w:shd w:val="clear" w:color="auto" w:fill="auto"/>
            <w:vAlign w:val="center"/>
          </w:tcPr>
          <w:p w:rsidR="00AA1508" w:rsidRPr="002C224A" w:rsidRDefault="00AA1508" w:rsidP="007C3BB7">
            <w:pPr>
              <w:jc w:val="left"/>
              <w:rPr>
                <w:szCs w:val="19"/>
              </w:rPr>
            </w:pPr>
            <w:r w:rsidRPr="002C224A">
              <w:rPr>
                <w:szCs w:val="19"/>
              </w:rPr>
              <w:t>Cena záruky</w:t>
            </w:r>
          </w:p>
        </w:tc>
        <w:tc>
          <w:tcPr>
            <w:tcW w:w="2114" w:type="dxa"/>
            <w:shd w:val="clear" w:color="auto" w:fill="auto"/>
            <w:vAlign w:val="center"/>
          </w:tcPr>
          <w:p w:rsidR="00AA1508" w:rsidRPr="002C224A" w:rsidRDefault="00AA1508" w:rsidP="007C3BB7">
            <w:pPr>
              <w:jc w:val="center"/>
              <w:rPr>
                <w:szCs w:val="19"/>
              </w:rPr>
            </w:pPr>
            <w:r w:rsidRPr="002C224A">
              <w:rPr>
                <w:szCs w:val="19"/>
              </w:rPr>
              <w:t>0,8 %</w:t>
            </w:r>
          </w:p>
        </w:tc>
        <w:tc>
          <w:tcPr>
            <w:tcW w:w="4579" w:type="dxa"/>
            <w:gridSpan w:val="2"/>
            <w:vMerge w:val="restart"/>
            <w:shd w:val="clear" w:color="auto" w:fill="auto"/>
            <w:vAlign w:val="center"/>
          </w:tcPr>
          <w:p w:rsidR="00AA1508" w:rsidRPr="002C224A" w:rsidRDefault="00AA1508" w:rsidP="007C3BB7">
            <w:pPr>
              <w:jc w:val="center"/>
              <w:rPr>
                <w:szCs w:val="19"/>
              </w:rPr>
            </w:pPr>
            <w:r w:rsidRPr="002C224A">
              <w:rPr>
                <w:szCs w:val="19"/>
              </w:rPr>
              <w:t>Projekt z hlediska pravidla de minimis vyhovuje</w:t>
            </w:r>
          </w:p>
        </w:tc>
      </w:tr>
      <w:tr w:rsidR="00AA1508" w:rsidRPr="002C224A" w:rsidTr="00543325">
        <w:tc>
          <w:tcPr>
            <w:tcW w:w="2369" w:type="dxa"/>
            <w:shd w:val="clear" w:color="auto" w:fill="auto"/>
            <w:vAlign w:val="center"/>
          </w:tcPr>
          <w:p w:rsidR="00AA1508" w:rsidRPr="002C224A" w:rsidRDefault="00AA1508" w:rsidP="007C3BB7">
            <w:pPr>
              <w:jc w:val="left"/>
              <w:rPr>
                <w:szCs w:val="19"/>
              </w:rPr>
            </w:pPr>
            <w:r w:rsidRPr="002C224A">
              <w:rPr>
                <w:szCs w:val="19"/>
              </w:rPr>
              <w:t>Celková výše podpory</w:t>
            </w:r>
          </w:p>
        </w:tc>
        <w:tc>
          <w:tcPr>
            <w:tcW w:w="2114" w:type="dxa"/>
            <w:shd w:val="clear" w:color="auto" w:fill="auto"/>
            <w:vAlign w:val="center"/>
          </w:tcPr>
          <w:p w:rsidR="00AA1508" w:rsidRPr="002C224A" w:rsidRDefault="00AA1508" w:rsidP="007C3BB7">
            <w:pPr>
              <w:jc w:val="center"/>
              <w:rPr>
                <w:szCs w:val="19"/>
              </w:rPr>
            </w:pPr>
            <w:r w:rsidRPr="002C224A">
              <w:rPr>
                <w:szCs w:val="19"/>
              </w:rPr>
              <w:t>288 tis. Kč</w:t>
            </w:r>
          </w:p>
        </w:tc>
        <w:tc>
          <w:tcPr>
            <w:tcW w:w="4579" w:type="dxa"/>
            <w:gridSpan w:val="2"/>
            <w:vMerge/>
            <w:shd w:val="clear" w:color="auto" w:fill="auto"/>
          </w:tcPr>
          <w:p w:rsidR="00AA1508" w:rsidRPr="002C224A" w:rsidRDefault="00AA1508" w:rsidP="007C3BB7">
            <w:pPr>
              <w:rPr>
                <w:szCs w:val="19"/>
              </w:rPr>
            </w:pPr>
          </w:p>
        </w:tc>
      </w:tr>
    </w:tbl>
    <w:p w:rsidR="00543325" w:rsidRPr="002C224A" w:rsidRDefault="00543325" w:rsidP="00543325">
      <w:pPr>
        <w:pStyle w:val="Titulek"/>
        <w:jc w:val="center"/>
      </w:pPr>
      <w:r w:rsidRPr="002C224A">
        <w:t xml:space="preserve">Tabulka </w:t>
      </w:r>
      <w:r>
        <w:t>10</w:t>
      </w:r>
      <w:r w:rsidRPr="002C224A">
        <w:t xml:space="preserve">: vliv </w:t>
      </w:r>
      <w:r>
        <w:t>záruk</w:t>
      </w:r>
    </w:p>
    <w:p w:rsidR="00AA1508" w:rsidRPr="002C224A" w:rsidRDefault="00AA1508" w:rsidP="00AA1508"/>
    <w:p w:rsidR="00AA1508" w:rsidRPr="002C224A" w:rsidRDefault="00AA1508" w:rsidP="00AA1508">
      <w:pPr>
        <w:rPr>
          <w:vertAlign w:val="subscript"/>
        </w:rPr>
      </w:pPr>
      <w:r w:rsidRPr="002C224A">
        <w:t>V případě, že by byla podpora přečerpána, by mohl být příspěvek na úhradu úroků poskytnut pouze ve výši, která by odpovídala poskytnutí maximální možné podpory v režimu de minimis. Dále prezentované typické příklady pravidlu de minimis vyhovují, není-li uvedno jinak.</w:t>
      </w:r>
    </w:p>
    <w:p w:rsidR="00AA1508" w:rsidRPr="002C224A" w:rsidRDefault="00AA1508" w:rsidP="001B3BC6"/>
    <w:p w:rsidR="00AA1508" w:rsidRPr="002C224A" w:rsidRDefault="00AA1508" w:rsidP="001B3BC6"/>
    <w:p w:rsidR="006D67F1" w:rsidRPr="002C224A" w:rsidRDefault="006D67F1" w:rsidP="001B3BC6">
      <w:r w:rsidRPr="002C224A">
        <w:t>Pro ilustraci je uveden též příklad projektu z </w:t>
      </w:r>
      <w:r w:rsidR="00055323">
        <w:t>p</w:t>
      </w:r>
      <w:r w:rsidRPr="002C224A">
        <w:t>rogramu I</w:t>
      </w:r>
      <w:r w:rsidR="00B00758" w:rsidRPr="002C224A">
        <w:t>nostart</w:t>
      </w:r>
      <w:r w:rsidRPr="002C224A">
        <w:t>, který je v rámci podpory inovací v SC 1.1 atypický vzhledem ke stáří podniku do 3 let od založení. Jedná se o malý podnik z odvětví potravinářského průmyslu.</w:t>
      </w:r>
      <w:r w:rsidR="00034061" w:rsidRPr="002C224A">
        <w:t xml:space="preserve"> </w:t>
      </w:r>
      <w:r w:rsidRPr="002C224A">
        <w:t>Investice zahrnovala provedení stavebních úprav a instalaci odpovídající inovativní technologie. Část úvěru byla použita na zajištění materiálových zásob nutných ke spuštění zkušebního a následně běžného provozu</w:t>
      </w:r>
    </w:p>
    <w:p w:rsidR="006D67F1" w:rsidRPr="002C224A" w:rsidRDefault="006D67F1" w:rsidP="001B3BC6"/>
    <w:tbl>
      <w:tblPr>
        <w:tblpPr w:leftFromText="141" w:rightFromText="141" w:vertAnchor="text" w:horzAnchor="margin" w:tblpY="-50"/>
        <w:tblW w:w="8888" w:type="dxa"/>
        <w:tblCellMar>
          <w:left w:w="0" w:type="dxa"/>
          <w:right w:w="0" w:type="dxa"/>
        </w:tblCellMar>
        <w:tblLook w:val="00A0" w:firstRow="1" w:lastRow="0" w:firstColumn="1" w:lastColumn="0" w:noHBand="0" w:noVBand="0"/>
      </w:tblPr>
      <w:tblGrid>
        <w:gridCol w:w="2374"/>
        <w:gridCol w:w="1566"/>
        <w:gridCol w:w="1574"/>
        <w:gridCol w:w="1726"/>
        <w:gridCol w:w="1704"/>
      </w:tblGrid>
      <w:tr w:rsidR="006D67F1" w:rsidRPr="002C224A" w:rsidTr="00331BB7">
        <w:trPr>
          <w:trHeight w:val="20"/>
        </w:trPr>
        <w:tc>
          <w:tcPr>
            <w:tcW w:w="2366" w:type="dxa"/>
            <w:tcBorders>
              <w:top w:val="single" w:sz="4" w:space="0" w:color="002776"/>
              <w:left w:val="single" w:sz="4" w:space="0" w:color="002776"/>
              <w:bottom w:val="nil"/>
              <w:right w:val="nil"/>
            </w:tcBorders>
            <w:shd w:val="clear" w:color="000000" w:fill="002776"/>
            <w:noWrap/>
            <w:vAlign w:val="center"/>
          </w:tcPr>
          <w:p w:rsidR="006D67F1" w:rsidRPr="002C224A" w:rsidRDefault="006D67F1" w:rsidP="00D352F3">
            <w:pPr>
              <w:jc w:val="center"/>
              <w:rPr>
                <w:b/>
                <w:bCs/>
                <w:color w:val="FFFFFF"/>
                <w:sz w:val="18"/>
                <w:szCs w:val="18"/>
              </w:rPr>
            </w:pPr>
          </w:p>
        </w:tc>
        <w:tc>
          <w:tcPr>
            <w:tcW w:w="1550" w:type="dxa"/>
            <w:tcBorders>
              <w:top w:val="single" w:sz="4" w:space="0" w:color="002776"/>
              <w:left w:val="nil"/>
              <w:bottom w:val="nil"/>
              <w:right w:val="nil"/>
            </w:tcBorders>
            <w:shd w:val="clear" w:color="000000" w:fill="002776"/>
            <w:noWrap/>
            <w:vAlign w:val="bottom"/>
          </w:tcPr>
          <w:p w:rsidR="006D67F1" w:rsidRPr="002C224A" w:rsidRDefault="006D67F1" w:rsidP="00D352F3">
            <w:pPr>
              <w:jc w:val="left"/>
              <w:rPr>
                <w:b/>
                <w:bCs/>
                <w:color w:val="FFFFFF"/>
                <w:sz w:val="18"/>
                <w:szCs w:val="18"/>
              </w:rPr>
            </w:pPr>
            <w:r w:rsidRPr="002C224A">
              <w:rPr>
                <w:b/>
                <w:bCs/>
                <w:color w:val="FFFFFF"/>
                <w:sz w:val="18"/>
                <w:szCs w:val="18"/>
              </w:rPr>
              <w:t> </w:t>
            </w:r>
          </w:p>
        </w:tc>
        <w:tc>
          <w:tcPr>
            <w:tcW w:w="1558" w:type="dxa"/>
            <w:tcBorders>
              <w:top w:val="single" w:sz="4" w:space="0" w:color="002776"/>
              <w:left w:val="nil"/>
              <w:bottom w:val="nil"/>
              <w:right w:val="nil"/>
            </w:tcBorders>
            <w:shd w:val="clear" w:color="000000" w:fill="002776"/>
            <w:noWrap/>
            <w:vAlign w:val="bottom"/>
          </w:tcPr>
          <w:p w:rsidR="006D67F1" w:rsidRPr="002C224A" w:rsidRDefault="006D67F1" w:rsidP="00D352F3">
            <w:pPr>
              <w:jc w:val="left"/>
              <w:rPr>
                <w:b/>
                <w:bCs/>
                <w:color w:val="FFFFFF"/>
                <w:sz w:val="18"/>
                <w:szCs w:val="18"/>
              </w:rPr>
            </w:pPr>
            <w:r w:rsidRPr="002C224A">
              <w:rPr>
                <w:b/>
                <w:bCs/>
                <w:color w:val="FFFFFF"/>
                <w:sz w:val="18"/>
                <w:szCs w:val="18"/>
              </w:rPr>
              <w:t> </w:t>
            </w:r>
          </w:p>
        </w:tc>
        <w:tc>
          <w:tcPr>
            <w:tcW w:w="3414" w:type="dxa"/>
            <w:gridSpan w:val="2"/>
            <w:tcBorders>
              <w:top w:val="single" w:sz="4" w:space="0" w:color="002776"/>
              <w:left w:val="nil"/>
              <w:bottom w:val="single" w:sz="4" w:space="0" w:color="FFFFFF"/>
              <w:right w:val="single" w:sz="4" w:space="0" w:color="002776"/>
            </w:tcBorders>
            <w:shd w:val="clear" w:color="000000" w:fill="002776"/>
            <w:vAlign w:val="bottom"/>
          </w:tcPr>
          <w:p w:rsidR="006D67F1" w:rsidRPr="002C224A" w:rsidRDefault="006D67F1" w:rsidP="00D352F3">
            <w:pPr>
              <w:ind w:left="-678"/>
              <w:jc w:val="right"/>
              <w:rPr>
                <w:b/>
                <w:bCs/>
                <w:i/>
                <w:iCs/>
                <w:color w:val="FFFFFF"/>
                <w:sz w:val="18"/>
                <w:szCs w:val="18"/>
              </w:rPr>
            </w:pPr>
            <w:r w:rsidRPr="002C224A">
              <w:rPr>
                <w:b/>
                <w:bCs/>
                <w:i/>
                <w:iCs/>
                <w:color w:val="FFFFFF"/>
                <w:sz w:val="18"/>
                <w:szCs w:val="18"/>
              </w:rPr>
              <w:t xml:space="preserve">Investice: 12 500 000 Kč </w:t>
            </w:r>
            <w:r w:rsidRPr="002C224A">
              <w:rPr>
                <w:b/>
                <w:bCs/>
                <w:i/>
                <w:iCs/>
                <w:color w:val="FFFFFF"/>
                <w:sz w:val="18"/>
                <w:szCs w:val="18"/>
              </w:rPr>
              <w:br/>
              <w:t>Roční výnos/úspora: 2 733 031 Kč</w:t>
            </w:r>
            <w:r w:rsidRPr="002C224A">
              <w:rPr>
                <w:b/>
                <w:bCs/>
                <w:i/>
                <w:iCs/>
                <w:color w:val="FFFFFF"/>
                <w:sz w:val="18"/>
                <w:szCs w:val="18"/>
              </w:rPr>
              <w:br/>
              <w:t xml:space="preserve">Komerční úvěr - úroková sazba: 4,0 % Zvýhodněný úvěr- úroková sazba: 2,0 % </w:t>
            </w:r>
          </w:p>
        </w:tc>
      </w:tr>
      <w:tr w:rsidR="006D67F1" w:rsidRPr="002C224A" w:rsidTr="00331BB7">
        <w:trPr>
          <w:trHeight w:val="20"/>
        </w:trPr>
        <w:tc>
          <w:tcPr>
            <w:tcW w:w="2366" w:type="dxa"/>
            <w:tcBorders>
              <w:top w:val="nil"/>
              <w:left w:val="single" w:sz="4" w:space="0" w:color="002776"/>
              <w:bottom w:val="single" w:sz="4" w:space="0" w:color="002776"/>
              <w:right w:val="nil"/>
            </w:tcBorders>
            <w:shd w:val="clear" w:color="000000" w:fill="002776"/>
            <w:noWrap/>
            <w:vAlign w:val="center"/>
          </w:tcPr>
          <w:p w:rsidR="006D67F1" w:rsidRPr="002C224A" w:rsidRDefault="006D67F1" w:rsidP="00D352F3">
            <w:pPr>
              <w:jc w:val="left"/>
              <w:rPr>
                <w:b/>
                <w:bCs/>
                <w:color w:val="FFFFFF"/>
                <w:sz w:val="18"/>
                <w:szCs w:val="18"/>
              </w:rPr>
            </w:pPr>
            <w:r w:rsidRPr="002C224A">
              <w:rPr>
                <w:b/>
                <w:bCs/>
                <w:color w:val="FFFFFF"/>
                <w:sz w:val="18"/>
                <w:szCs w:val="18"/>
              </w:rPr>
              <w:t> </w:t>
            </w:r>
          </w:p>
        </w:tc>
        <w:tc>
          <w:tcPr>
            <w:tcW w:w="1550" w:type="dxa"/>
            <w:tcBorders>
              <w:top w:val="single" w:sz="4" w:space="0" w:color="FFFFFF"/>
              <w:left w:val="nil"/>
              <w:bottom w:val="single" w:sz="4" w:space="0" w:color="002776"/>
              <w:right w:val="nil"/>
            </w:tcBorders>
            <w:shd w:val="clear" w:color="000000" w:fill="002776"/>
            <w:noWrap/>
            <w:vAlign w:val="center"/>
          </w:tcPr>
          <w:p w:rsidR="006D67F1" w:rsidRPr="002C224A" w:rsidRDefault="006D67F1" w:rsidP="00D352F3">
            <w:pPr>
              <w:jc w:val="center"/>
              <w:rPr>
                <w:b/>
                <w:bCs/>
                <w:color w:val="FFFFFF"/>
                <w:sz w:val="18"/>
                <w:szCs w:val="18"/>
              </w:rPr>
            </w:pPr>
            <w:r w:rsidRPr="002C224A">
              <w:rPr>
                <w:b/>
                <w:bCs/>
                <w:color w:val="FFFFFF"/>
                <w:sz w:val="18"/>
                <w:szCs w:val="18"/>
              </w:rPr>
              <w:t>100 % tržní úvěr</w:t>
            </w:r>
          </w:p>
        </w:tc>
        <w:tc>
          <w:tcPr>
            <w:tcW w:w="1558" w:type="dxa"/>
            <w:tcBorders>
              <w:top w:val="single" w:sz="4" w:space="0" w:color="FFFFFF"/>
              <w:left w:val="nil"/>
              <w:bottom w:val="single" w:sz="4" w:space="0" w:color="002776"/>
              <w:right w:val="nil"/>
            </w:tcBorders>
            <w:shd w:val="clear" w:color="000000" w:fill="002776"/>
            <w:vAlign w:val="center"/>
          </w:tcPr>
          <w:p w:rsidR="006D67F1" w:rsidRPr="002C224A" w:rsidRDefault="006D67F1" w:rsidP="00D352F3">
            <w:pPr>
              <w:jc w:val="center"/>
              <w:rPr>
                <w:b/>
                <w:bCs/>
                <w:color w:val="FFFFFF"/>
                <w:sz w:val="18"/>
                <w:szCs w:val="18"/>
              </w:rPr>
            </w:pPr>
            <w:r w:rsidRPr="002C224A">
              <w:rPr>
                <w:b/>
                <w:bCs/>
                <w:color w:val="FFFFFF"/>
                <w:sz w:val="18"/>
                <w:szCs w:val="18"/>
              </w:rPr>
              <w:t>50 % tržní úvěr, 50 % dotace</w:t>
            </w:r>
          </w:p>
        </w:tc>
        <w:tc>
          <w:tcPr>
            <w:tcW w:w="1718" w:type="dxa"/>
            <w:tcBorders>
              <w:top w:val="nil"/>
              <w:left w:val="nil"/>
              <w:bottom w:val="single" w:sz="4" w:space="0" w:color="002776"/>
              <w:right w:val="nil"/>
            </w:tcBorders>
            <w:shd w:val="clear" w:color="000000" w:fill="002776"/>
            <w:vAlign w:val="center"/>
          </w:tcPr>
          <w:p w:rsidR="006D67F1" w:rsidRPr="002C224A" w:rsidRDefault="006D67F1" w:rsidP="00D352F3">
            <w:pPr>
              <w:jc w:val="center"/>
              <w:rPr>
                <w:b/>
                <w:bCs/>
                <w:color w:val="FFFFFF"/>
                <w:sz w:val="18"/>
                <w:szCs w:val="18"/>
              </w:rPr>
            </w:pPr>
            <w:r w:rsidRPr="002C224A">
              <w:rPr>
                <w:b/>
                <w:bCs/>
                <w:color w:val="FFFFFF"/>
                <w:sz w:val="18"/>
                <w:szCs w:val="18"/>
              </w:rPr>
              <w:t>20 % dotace, 80 % zvýhodněný úvěr</w:t>
            </w:r>
          </w:p>
        </w:tc>
        <w:tc>
          <w:tcPr>
            <w:tcW w:w="1696" w:type="dxa"/>
            <w:tcBorders>
              <w:top w:val="nil"/>
              <w:left w:val="nil"/>
              <w:bottom w:val="single" w:sz="4" w:space="0" w:color="002776"/>
              <w:right w:val="single" w:sz="4" w:space="0" w:color="002776"/>
            </w:tcBorders>
            <w:shd w:val="clear" w:color="000000" w:fill="002776"/>
            <w:vAlign w:val="center"/>
          </w:tcPr>
          <w:p w:rsidR="006D67F1" w:rsidRPr="002C224A" w:rsidRDefault="006D67F1" w:rsidP="00D352F3">
            <w:pPr>
              <w:jc w:val="center"/>
              <w:rPr>
                <w:b/>
                <w:bCs/>
                <w:color w:val="FFFFFF"/>
                <w:sz w:val="18"/>
                <w:szCs w:val="18"/>
              </w:rPr>
            </w:pPr>
            <w:r w:rsidRPr="002C224A">
              <w:rPr>
                <w:b/>
                <w:bCs/>
                <w:color w:val="FFFFFF"/>
                <w:sz w:val="18"/>
                <w:szCs w:val="18"/>
              </w:rPr>
              <w:t>100 % zvýhodněný úvěr</w:t>
            </w:r>
          </w:p>
        </w:tc>
      </w:tr>
      <w:tr w:rsidR="006D67F1" w:rsidRPr="002C224A" w:rsidTr="00331BB7">
        <w:trPr>
          <w:trHeight w:val="20"/>
        </w:trPr>
        <w:tc>
          <w:tcPr>
            <w:tcW w:w="2366" w:type="dxa"/>
            <w:tcBorders>
              <w:top w:val="nil"/>
              <w:left w:val="single" w:sz="4" w:space="0" w:color="002776"/>
              <w:bottom w:val="single" w:sz="4" w:space="0" w:color="002776"/>
              <w:right w:val="nil"/>
            </w:tcBorders>
            <w:noWrap/>
            <w:vAlign w:val="center"/>
          </w:tcPr>
          <w:p w:rsidR="006D67F1" w:rsidRPr="002C224A" w:rsidRDefault="006D67F1" w:rsidP="00D352F3">
            <w:pPr>
              <w:jc w:val="left"/>
              <w:rPr>
                <w:color w:val="000000"/>
                <w:sz w:val="18"/>
                <w:szCs w:val="18"/>
              </w:rPr>
            </w:pPr>
            <w:r w:rsidRPr="002C224A">
              <w:rPr>
                <w:color w:val="000000"/>
                <w:sz w:val="18"/>
                <w:szCs w:val="18"/>
              </w:rPr>
              <w:t>Vnitřní výnosové procento (IRR)</w:t>
            </w:r>
          </w:p>
        </w:tc>
        <w:tc>
          <w:tcPr>
            <w:tcW w:w="1550"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11,93%</w:t>
            </w:r>
          </w:p>
        </w:tc>
        <w:tc>
          <w:tcPr>
            <w:tcW w:w="155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39,47%</w:t>
            </w:r>
          </w:p>
        </w:tc>
        <w:tc>
          <w:tcPr>
            <w:tcW w:w="171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19,46%</w:t>
            </w:r>
          </w:p>
        </w:tc>
        <w:tc>
          <w:tcPr>
            <w:tcW w:w="1696" w:type="dxa"/>
            <w:tcBorders>
              <w:top w:val="nil"/>
              <w:left w:val="nil"/>
              <w:bottom w:val="single" w:sz="4" w:space="0" w:color="002776"/>
              <w:right w:val="single" w:sz="4" w:space="0" w:color="002776"/>
            </w:tcBorders>
            <w:noWrap/>
            <w:vAlign w:val="center"/>
          </w:tcPr>
          <w:p w:rsidR="006D67F1" w:rsidRPr="002C224A" w:rsidRDefault="006D67F1" w:rsidP="00D352F3">
            <w:pPr>
              <w:jc w:val="center"/>
              <w:rPr>
                <w:color w:val="000000"/>
                <w:sz w:val="18"/>
                <w:szCs w:val="18"/>
              </w:rPr>
            </w:pPr>
            <w:r w:rsidRPr="002C224A">
              <w:t>11,93%</w:t>
            </w:r>
          </w:p>
        </w:tc>
      </w:tr>
      <w:tr w:rsidR="006D67F1" w:rsidRPr="002C224A" w:rsidTr="00331BB7">
        <w:trPr>
          <w:trHeight w:val="20"/>
        </w:trPr>
        <w:tc>
          <w:tcPr>
            <w:tcW w:w="2366" w:type="dxa"/>
            <w:tcBorders>
              <w:top w:val="nil"/>
              <w:left w:val="single" w:sz="4" w:space="0" w:color="002776"/>
              <w:bottom w:val="single" w:sz="4" w:space="0" w:color="002776"/>
              <w:right w:val="nil"/>
            </w:tcBorders>
            <w:noWrap/>
            <w:vAlign w:val="center"/>
          </w:tcPr>
          <w:p w:rsidR="006D67F1" w:rsidRPr="002C224A" w:rsidRDefault="006D67F1" w:rsidP="00D352F3">
            <w:pPr>
              <w:jc w:val="left"/>
              <w:rPr>
                <w:color w:val="000000"/>
                <w:sz w:val="18"/>
                <w:szCs w:val="18"/>
              </w:rPr>
            </w:pPr>
            <w:r w:rsidRPr="002C224A">
              <w:rPr>
                <w:color w:val="000000"/>
                <w:sz w:val="18"/>
                <w:szCs w:val="18"/>
              </w:rPr>
              <w:t>Čistá současná hodnota (NPV v Kč)</w:t>
            </w:r>
          </w:p>
        </w:tc>
        <w:tc>
          <w:tcPr>
            <w:tcW w:w="1550"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3 753 655</w:t>
            </w:r>
          </w:p>
        </w:tc>
        <w:tc>
          <w:tcPr>
            <w:tcW w:w="155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9 763 271</w:t>
            </w:r>
          </w:p>
        </w:tc>
        <w:tc>
          <w:tcPr>
            <w:tcW w:w="171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7 537 404</w:t>
            </w:r>
          </w:p>
        </w:tc>
        <w:tc>
          <w:tcPr>
            <w:tcW w:w="1696" w:type="dxa"/>
            <w:tcBorders>
              <w:top w:val="nil"/>
              <w:left w:val="nil"/>
              <w:bottom w:val="single" w:sz="4" w:space="0" w:color="002776"/>
              <w:right w:val="single" w:sz="4" w:space="0" w:color="002776"/>
            </w:tcBorders>
            <w:noWrap/>
            <w:vAlign w:val="center"/>
          </w:tcPr>
          <w:p w:rsidR="006D67F1" w:rsidRPr="002C224A" w:rsidRDefault="006D67F1" w:rsidP="00D352F3">
            <w:pPr>
              <w:jc w:val="center"/>
              <w:rPr>
                <w:color w:val="000000"/>
                <w:sz w:val="18"/>
                <w:szCs w:val="18"/>
              </w:rPr>
            </w:pPr>
            <w:r w:rsidRPr="002C224A">
              <w:t>5 086 424</w:t>
            </w:r>
          </w:p>
        </w:tc>
      </w:tr>
      <w:tr w:rsidR="006D67F1" w:rsidRPr="002C224A" w:rsidTr="00331BB7">
        <w:trPr>
          <w:trHeight w:val="20"/>
        </w:trPr>
        <w:tc>
          <w:tcPr>
            <w:tcW w:w="2366" w:type="dxa"/>
            <w:tcBorders>
              <w:top w:val="nil"/>
              <w:left w:val="single" w:sz="4" w:space="0" w:color="002776"/>
              <w:bottom w:val="single" w:sz="4" w:space="0" w:color="002776"/>
              <w:right w:val="nil"/>
            </w:tcBorders>
            <w:noWrap/>
            <w:vAlign w:val="center"/>
          </w:tcPr>
          <w:p w:rsidR="006D67F1" w:rsidRPr="002C224A" w:rsidRDefault="006D67F1" w:rsidP="00D352F3">
            <w:pPr>
              <w:jc w:val="left"/>
              <w:rPr>
                <w:color w:val="000000"/>
                <w:sz w:val="18"/>
                <w:szCs w:val="18"/>
              </w:rPr>
            </w:pPr>
            <w:r w:rsidRPr="002C224A">
              <w:rPr>
                <w:color w:val="000000"/>
                <w:sz w:val="18"/>
                <w:szCs w:val="18"/>
              </w:rPr>
              <w:t>Prostá doba návratnosti (roky)</w:t>
            </w:r>
          </w:p>
        </w:tc>
        <w:tc>
          <w:tcPr>
            <w:tcW w:w="1550"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4,57</w:t>
            </w:r>
          </w:p>
        </w:tc>
        <w:tc>
          <w:tcPr>
            <w:tcW w:w="155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2,29</w:t>
            </w:r>
          </w:p>
        </w:tc>
        <w:tc>
          <w:tcPr>
            <w:tcW w:w="171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3,66</w:t>
            </w:r>
          </w:p>
        </w:tc>
        <w:tc>
          <w:tcPr>
            <w:tcW w:w="1696" w:type="dxa"/>
            <w:tcBorders>
              <w:top w:val="nil"/>
              <w:left w:val="nil"/>
              <w:bottom w:val="single" w:sz="4" w:space="0" w:color="002776"/>
              <w:right w:val="single" w:sz="4" w:space="0" w:color="002776"/>
            </w:tcBorders>
            <w:noWrap/>
            <w:vAlign w:val="center"/>
          </w:tcPr>
          <w:p w:rsidR="006D67F1" w:rsidRPr="002C224A" w:rsidRDefault="006D67F1" w:rsidP="00D352F3">
            <w:pPr>
              <w:jc w:val="center"/>
              <w:rPr>
                <w:color w:val="000000"/>
                <w:sz w:val="18"/>
                <w:szCs w:val="18"/>
              </w:rPr>
            </w:pPr>
            <w:r w:rsidRPr="002C224A">
              <w:t>4,57</w:t>
            </w:r>
          </w:p>
        </w:tc>
      </w:tr>
      <w:tr w:rsidR="006D67F1" w:rsidRPr="002C224A" w:rsidTr="00331BB7">
        <w:trPr>
          <w:trHeight w:val="20"/>
        </w:trPr>
        <w:tc>
          <w:tcPr>
            <w:tcW w:w="2366" w:type="dxa"/>
            <w:tcBorders>
              <w:top w:val="nil"/>
              <w:left w:val="single" w:sz="4" w:space="0" w:color="002776"/>
              <w:bottom w:val="single" w:sz="4" w:space="0" w:color="002776"/>
              <w:right w:val="nil"/>
            </w:tcBorders>
            <w:noWrap/>
            <w:vAlign w:val="center"/>
          </w:tcPr>
          <w:p w:rsidR="006D67F1" w:rsidRPr="002C224A" w:rsidRDefault="006D67F1" w:rsidP="00D352F3">
            <w:pPr>
              <w:jc w:val="left"/>
              <w:rPr>
                <w:color w:val="000000"/>
                <w:sz w:val="18"/>
                <w:szCs w:val="18"/>
              </w:rPr>
            </w:pPr>
            <w:r w:rsidRPr="002C224A">
              <w:rPr>
                <w:color w:val="000000"/>
                <w:sz w:val="18"/>
                <w:szCs w:val="18"/>
              </w:rPr>
              <w:t>Diskontovaná doba návratnosti (roky)</w:t>
            </w:r>
          </w:p>
        </w:tc>
        <w:tc>
          <w:tcPr>
            <w:tcW w:w="1550"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5,2</w:t>
            </w:r>
          </w:p>
        </w:tc>
        <w:tc>
          <w:tcPr>
            <w:tcW w:w="155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2,5</w:t>
            </w:r>
          </w:p>
        </w:tc>
        <w:tc>
          <w:tcPr>
            <w:tcW w:w="1718" w:type="dxa"/>
            <w:tcBorders>
              <w:top w:val="nil"/>
              <w:left w:val="nil"/>
              <w:bottom w:val="single" w:sz="4" w:space="0" w:color="002776"/>
              <w:right w:val="nil"/>
            </w:tcBorders>
            <w:noWrap/>
            <w:vAlign w:val="center"/>
          </w:tcPr>
          <w:p w:rsidR="006D67F1" w:rsidRPr="002C224A" w:rsidRDefault="006D67F1" w:rsidP="00D352F3">
            <w:pPr>
              <w:jc w:val="center"/>
              <w:rPr>
                <w:color w:val="000000"/>
                <w:sz w:val="18"/>
                <w:szCs w:val="18"/>
              </w:rPr>
            </w:pPr>
            <w:r w:rsidRPr="002C224A">
              <w:t>3,8</w:t>
            </w:r>
          </w:p>
        </w:tc>
        <w:tc>
          <w:tcPr>
            <w:tcW w:w="1696" w:type="dxa"/>
            <w:tcBorders>
              <w:top w:val="nil"/>
              <w:left w:val="nil"/>
              <w:bottom w:val="single" w:sz="4" w:space="0" w:color="002776"/>
              <w:right w:val="single" w:sz="4" w:space="0" w:color="002776"/>
            </w:tcBorders>
            <w:noWrap/>
            <w:vAlign w:val="center"/>
          </w:tcPr>
          <w:p w:rsidR="006D67F1" w:rsidRPr="002C224A" w:rsidRDefault="006D67F1" w:rsidP="00D352F3">
            <w:pPr>
              <w:keepNext/>
              <w:jc w:val="center"/>
              <w:rPr>
                <w:color w:val="000000"/>
                <w:sz w:val="18"/>
                <w:szCs w:val="18"/>
              </w:rPr>
            </w:pPr>
            <w:r w:rsidRPr="002C224A">
              <w:t>4,85</w:t>
            </w:r>
          </w:p>
        </w:tc>
      </w:tr>
    </w:tbl>
    <w:p w:rsidR="006D67F1" w:rsidRPr="002C224A" w:rsidRDefault="006D67F1" w:rsidP="00331BB7">
      <w:pPr>
        <w:pStyle w:val="Titulek"/>
      </w:pPr>
      <w:r w:rsidRPr="002C224A">
        <w:t xml:space="preserve">Tabulka </w:t>
      </w:r>
      <w:r w:rsidR="00C4105E">
        <w:t>11</w:t>
      </w:r>
      <w:r w:rsidR="007834DB" w:rsidRPr="002C224A">
        <w:t xml:space="preserve"> </w:t>
      </w:r>
      <w:r w:rsidRPr="002C224A">
        <w:t>- Vliv podpory na ekonomiku projektu</w:t>
      </w:r>
    </w:p>
    <w:p w:rsidR="006D67F1" w:rsidRPr="00A50943" w:rsidRDefault="006D67F1" w:rsidP="001B3BC6"/>
    <w:p w:rsidR="00055323" w:rsidRPr="00AC4D59" w:rsidRDefault="00055323" w:rsidP="00055323">
      <w:r w:rsidRPr="00AC4D59">
        <w:t xml:space="preserve">Projekt vykazuje </w:t>
      </w:r>
      <w:r>
        <w:t>relativně krátkou předpokládanou dobu návratnosti a</w:t>
      </w:r>
      <w:r w:rsidRPr="00AC4D59">
        <w:t xml:space="preserve"> vysokou výnosnost, dotační podpora se tedy nejeví adekvátní. Záruční podpora s částečnou podmíněnou úhradou úrokových poplatků je zde z hlediska rizika projektu a zpřístupnění financování</w:t>
      </w:r>
      <w:r>
        <w:t xml:space="preserve"> odpovídajícím řešením</w:t>
      </w:r>
      <w:r w:rsidRPr="00AC4D59">
        <w:t>. Úspěch je však závisl</w:t>
      </w:r>
      <w:r>
        <w:t>ý</w:t>
      </w:r>
      <w:r w:rsidRPr="00AC4D59">
        <w:t xml:space="preserve"> na generovaných výnosech v několika příštích letech a splácení úvěru. Pro mladý podnik </w:t>
      </w:r>
      <w:r>
        <w:lastRenderedPageBreak/>
        <w:t>vzhledem k nejistotě výnosů</w:t>
      </w:r>
      <w:r w:rsidRPr="00AC4D59">
        <w:t xml:space="preserve"> může znamenat </w:t>
      </w:r>
      <w:r>
        <w:t xml:space="preserve">splácení </w:t>
      </w:r>
      <w:r w:rsidRPr="00AC4D59">
        <w:t>značnou zátěž. Na zvážení je zde alternativa kapitálových vstupů</w:t>
      </w:r>
      <w:r>
        <w:t>, zde však může být bariérou výnosnost, která je pod úrovní obvyklých požadavků investorů</w:t>
      </w:r>
      <w:r w:rsidRPr="00AC4D59">
        <w:t>.</w:t>
      </w:r>
    </w:p>
    <w:p w:rsidR="006D67F1" w:rsidRPr="002C224A" w:rsidRDefault="006D67F1" w:rsidP="001B3BC6"/>
    <w:p w:rsidR="006D67F1" w:rsidRPr="002C224A" w:rsidRDefault="006D67F1" w:rsidP="008074B1">
      <w:pPr>
        <w:pStyle w:val="Nadpis4"/>
        <w:rPr>
          <w:rFonts w:ascii="Calibri" w:hAnsi="Calibri"/>
        </w:rPr>
      </w:pPr>
      <w:r w:rsidRPr="002C224A">
        <w:rPr>
          <w:rFonts w:ascii="Calibri" w:hAnsi="Calibri"/>
        </w:rPr>
        <w:t>Přidaná hodnota finančního nástroje, problémy, rizika a srovnání s jinými formami podpory</w:t>
      </w:r>
    </w:p>
    <w:p w:rsidR="006D67F1" w:rsidRPr="002C224A" w:rsidRDefault="006D67F1" w:rsidP="008074B1">
      <w:r w:rsidRPr="00A50943">
        <w:t>V rámci tabulek níže je uveden přehled přidané hodnoty, problémů a rizik z pohledu konečného příjemce a ŘO (tabulka č. 2) a z pohledu celkového dopadu na absorpční kapacitu a dosažení cílů SC 1.1, se z</w:t>
      </w:r>
      <w:r w:rsidRPr="002C224A">
        <w:t>ohledněním dopadů na tržní prostředí. Porovnány jsou zvažované nástroje formou záruk, zvýhodněných úvěrů a dotace.</w:t>
      </w:r>
    </w:p>
    <w:p w:rsidR="006D67F1" w:rsidRPr="002C224A" w:rsidRDefault="006D67F1" w:rsidP="008074B1"/>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960"/>
        <w:gridCol w:w="2414"/>
        <w:gridCol w:w="2330"/>
        <w:gridCol w:w="2330"/>
      </w:tblGrid>
      <w:tr w:rsidR="006D67F1" w:rsidRPr="002C224A" w:rsidTr="00EF4DC5">
        <w:trPr>
          <w:trHeight w:val="315"/>
        </w:trPr>
        <w:tc>
          <w:tcPr>
            <w:tcW w:w="960" w:type="dxa"/>
            <w:shd w:val="clear" w:color="auto" w:fill="365F91"/>
            <w:noWrap/>
          </w:tcPr>
          <w:p w:rsidR="006D67F1" w:rsidRPr="002C224A" w:rsidRDefault="006D67F1" w:rsidP="00EF4DC5">
            <w:pPr>
              <w:jc w:val="left"/>
              <w:rPr>
                <w:sz w:val="24"/>
                <w:szCs w:val="24"/>
              </w:rPr>
            </w:pPr>
          </w:p>
        </w:tc>
        <w:tc>
          <w:tcPr>
            <w:tcW w:w="960" w:type="dxa"/>
            <w:shd w:val="clear" w:color="auto" w:fill="365F91"/>
            <w:noWrap/>
          </w:tcPr>
          <w:p w:rsidR="006D67F1" w:rsidRPr="002C224A" w:rsidRDefault="006D67F1" w:rsidP="00EF4DC5">
            <w:pPr>
              <w:jc w:val="left"/>
              <w:rPr>
                <w:color w:val="000000"/>
                <w:sz w:val="24"/>
                <w:szCs w:val="24"/>
              </w:rPr>
            </w:pPr>
            <w:r w:rsidRPr="002C224A">
              <w:rPr>
                <w:color w:val="000000"/>
                <w:sz w:val="24"/>
                <w:szCs w:val="24"/>
              </w:rPr>
              <w:t> </w:t>
            </w:r>
          </w:p>
        </w:tc>
        <w:tc>
          <w:tcPr>
            <w:tcW w:w="4744" w:type="dxa"/>
            <w:gridSpan w:val="2"/>
            <w:shd w:val="clear" w:color="auto" w:fill="365F91"/>
            <w:noWrap/>
          </w:tcPr>
          <w:p w:rsidR="006D67F1" w:rsidRPr="00A50943" w:rsidRDefault="006D67F1" w:rsidP="00EF4DC5">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EF4DC5">
            <w:pPr>
              <w:jc w:val="center"/>
              <w:rPr>
                <w:b/>
                <w:bCs/>
                <w:color w:val="FFFFFF"/>
                <w:sz w:val="24"/>
                <w:szCs w:val="24"/>
              </w:rPr>
            </w:pPr>
            <w:r w:rsidRPr="002C224A">
              <w:rPr>
                <w:b/>
                <w:bCs/>
                <w:color w:val="FFFFFF"/>
                <w:sz w:val="24"/>
                <w:szCs w:val="24"/>
              </w:rPr>
              <w:t>Dotace</w:t>
            </w:r>
          </w:p>
        </w:tc>
      </w:tr>
      <w:tr w:rsidR="006D67F1" w:rsidRPr="002C224A" w:rsidTr="00EF4DC5">
        <w:trPr>
          <w:trHeight w:val="315"/>
        </w:trPr>
        <w:tc>
          <w:tcPr>
            <w:tcW w:w="960" w:type="dxa"/>
            <w:shd w:val="clear" w:color="auto" w:fill="365F91"/>
            <w:noWrap/>
          </w:tcPr>
          <w:p w:rsidR="006D67F1" w:rsidRPr="002C224A" w:rsidRDefault="006D67F1" w:rsidP="00EF4DC5">
            <w:pPr>
              <w:jc w:val="center"/>
              <w:rPr>
                <w:b/>
                <w:bCs/>
                <w:color w:val="000000"/>
                <w:sz w:val="24"/>
                <w:szCs w:val="24"/>
              </w:rPr>
            </w:pPr>
          </w:p>
        </w:tc>
        <w:tc>
          <w:tcPr>
            <w:tcW w:w="960" w:type="dxa"/>
            <w:shd w:val="clear" w:color="auto" w:fill="365F91"/>
            <w:noWrap/>
          </w:tcPr>
          <w:p w:rsidR="006D67F1" w:rsidRPr="002C224A" w:rsidRDefault="006D67F1" w:rsidP="00EF4DC5">
            <w:pPr>
              <w:jc w:val="left"/>
              <w:rPr>
                <w:color w:val="000000"/>
                <w:sz w:val="24"/>
                <w:szCs w:val="24"/>
              </w:rPr>
            </w:pPr>
            <w:r w:rsidRPr="002C224A">
              <w:rPr>
                <w:color w:val="000000"/>
                <w:sz w:val="24"/>
                <w:szCs w:val="24"/>
              </w:rPr>
              <w:t> </w:t>
            </w:r>
          </w:p>
        </w:tc>
        <w:tc>
          <w:tcPr>
            <w:tcW w:w="2414" w:type="dxa"/>
            <w:shd w:val="clear" w:color="auto" w:fill="365F91"/>
          </w:tcPr>
          <w:p w:rsidR="006D67F1" w:rsidRPr="002C224A" w:rsidRDefault="006D67F1" w:rsidP="00EF4DC5">
            <w:pPr>
              <w:jc w:val="center"/>
              <w:rPr>
                <w:b/>
                <w:bCs/>
                <w:color w:val="FFFFFF"/>
                <w:sz w:val="24"/>
                <w:szCs w:val="24"/>
              </w:rPr>
            </w:pPr>
            <w:r w:rsidRPr="002C224A">
              <w:rPr>
                <w:b/>
                <w:bCs/>
                <w:color w:val="FFFFFF"/>
                <w:sz w:val="24"/>
                <w:szCs w:val="24"/>
              </w:rPr>
              <w:t>Záruční nástroj</w:t>
            </w:r>
          </w:p>
        </w:tc>
        <w:tc>
          <w:tcPr>
            <w:tcW w:w="2330" w:type="dxa"/>
            <w:shd w:val="clear" w:color="auto" w:fill="365F91"/>
          </w:tcPr>
          <w:p w:rsidR="006D67F1" w:rsidRPr="002C224A" w:rsidRDefault="006D67F1" w:rsidP="00EF4DC5">
            <w:pPr>
              <w:jc w:val="center"/>
              <w:rPr>
                <w:b/>
                <w:bCs/>
                <w:color w:val="FFFFFF"/>
                <w:sz w:val="24"/>
                <w:szCs w:val="24"/>
              </w:rPr>
            </w:pPr>
            <w:r w:rsidRPr="002C224A">
              <w:rPr>
                <w:b/>
                <w:bCs/>
                <w:color w:val="FFFFFF"/>
                <w:sz w:val="24"/>
                <w:szCs w:val="24"/>
              </w:rPr>
              <w:t>Zvýhodněný úvěr</w:t>
            </w:r>
          </w:p>
        </w:tc>
        <w:tc>
          <w:tcPr>
            <w:tcW w:w="2330" w:type="dxa"/>
            <w:shd w:val="clear" w:color="auto" w:fill="365F91"/>
          </w:tcPr>
          <w:p w:rsidR="006D67F1" w:rsidRPr="002C224A" w:rsidRDefault="006D67F1" w:rsidP="00EF4DC5">
            <w:pPr>
              <w:jc w:val="center"/>
              <w:rPr>
                <w:b/>
                <w:bCs/>
                <w:color w:val="FFFFFF"/>
                <w:sz w:val="24"/>
                <w:szCs w:val="24"/>
              </w:rPr>
            </w:pPr>
          </w:p>
        </w:tc>
      </w:tr>
      <w:tr w:rsidR="006D67F1" w:rsidRPr="002C224A" w:rsidTr="00EF4DC5">
        <w:trPr>
          <w:trHeight w:val="720"/>
        </w:trPr>
        <w:tc>
          <w:tcPr>
            <w:tcW w:w="960" w:type="dxa"/>
            <w:vMerge w:val="restart"/>
            <w:shd w:val="clear" w:color="auto" w:fill="8DB3E2"/>
            <w:noWrap/>
            <w:textDirection w:val="btLr"/>
          </w:tcPr>
          <w:p w:rsidR="006D67F1" w:rsidRPr="002C224A" w:rsidRDefault="003D7EB1" w:rsidP="00EF4DC5">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tcPr>
          <w:p w:rsidR="006D67F1" w:rsidRPr="002C224A" w:rsidRDefault="006D67F1" w:rsidP="00EF4DC5">
            <w:pPr>
              <w:jc w:val="center"/>
              <w:rPr>
                <w:b/>
                <w:bCs/>
                <w:color w:val="FFFFFF"/>
                <w:sz w:val="24"/>
                <w:szCs w:val="24"/>
              </w:rPr>
            </w:pPr>
            <w:r w:rsidRPr="002C224A">
              <w:rPr>
                <w:b/>
                <w:bCs/>
                <w:color w:val="FFFFFF"/>
                <w:sz w:val="24"/>
                <w:szCs w:val="24"/>
              </w:rPr>
              <w:t>Konečný příjemce</w:t>
            </w: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Zpřístupnění jinak nedosažitelného financování</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Zpřístupnění vyšší míry externího financování</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Nevratný příspěvek na projekt</w:t>
            </w:r>
          </w:p>
        </w:tc>
      </w:tr>
      <w:tr w:rsidR="006D67F1" w:rsidRPr="002C224A" w:rsidTr="00EF4DC5">
        <w:trPr>
          <w:trHeight w:val="480"/>
        </w:trPr>
        <w:tc>
          <w:tcPr>
            <w:tcW w:w="960" w:type="dxa"/>
            <w:vMerge/>
            <w:shd w:val="clear" w:color="auto" w:fill="8DB3E2"/>
          </w:tcPr>
          <w:p w:rsidR="006D67F1" w:rsidRPr="002C224A" w:rsidRDefault="006D67F1" w:rsidP="00EF4DC5">
            <w:pPr>
              <w:jc w:val="left"/>
              <w:rPr>
                <w:b/>
                <w:bCs/>
                <w:color w:val="FFFFFF"/>
                <w:sz w:val="24"/>
                <w:szCs w:val="24"/>
              </w:rPr>
            </w:pPr>
          </w:p>
        </w:tc>
        <w:tc>
          <w:tcPr>
            <w:tcW w:w="960" w:type="dxa"/>
            <w:vMerge/>
            <w:shd w:val="clear" w:color="auto" w:fill="8DB3E2"/>
          </w:tcPr>
          <w:p w:rsidR="006D67F1" w:rsidRPr="002C224A" w:rsidRDefault="006D67F1" w:rsidP="00EF4DC5">
            <w:pPr>
              <w:jc w:val="left"/>
              <w:rPr>
                <w:b/>
                <w:bCs/>
                <w:color w:val="FFFFFF"/>
                <w:sz w:val="24"/>
                <w:szCs w:val="24"/>
              </w:rPr>
            </w:pP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Částečné snížení úrokové sazby snížením rizikové přirážky</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Snížení úrokové sazby</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Vysoce snížená doba návratnosti</w:t>
            </w:r>
          </w:p>
        </w:tc>
      </w:tr>
      <w:tr w:rsidR="006D67F1" w:rsidRPr="002C224A" w:rsidTr="00EF4DC5">
        <w:trPr>
          <w:trHeight w:val="720"/>
        </w:trPr>
        <w:tc>
          <w:tcPr>
            <w:tcW w:w="960" w:type="dxa"/>
            <w:vMerge/>
            <w:shd w:val="clear" w:color="auto" w:fill="8DB3E2"/>
          </w:tcPr>
          <w:p w:rsidR="006D67F1" w:rsidRPr="002C224A" w:rsidRDefault="006D67F1" w:rsidP="00EF4DC5">
            <w:pPr>
              <w:jc w:val="left"/>
              <w:rPr>
                <w:b/>
                <w:bCs/>
                <w:color w:val="FFFFFF"/>
                <w:sz w:val="24"/>
                <w:szCs w:val="24"/>
              </w:rPr>
            </w:pPr>
          </w:p>
        </w:tc>
        <w:tc>
          <w:tcPr>
            <w:tcW w:w="960" w:type="dxa"/>
            <w:vMerge/>
            <w:shd w:val="clear" w:color="auto" w:fill="8DB3E2"/>
          </w:tcPr>
          <w:p w:rsidR="006D67F1" w:rsidRPr="002C224A" w:rsidRDefault="006D67F1" w:rsidP="00EF4DC5">
            <w:pPr>
              <w:jc w:val="left"/>
              <w:rPr>
                <w:b/>
                <w:bCs/>
                <w:color w:val="FFFFFF"/>
                <w:sz w:val="24"/>
                <w:szCs w:val="24"/>
              </w:rPr>
            </w:pP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Snížení nároků na zástavu podniku</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Snazší opatření úvěru na zbytek nákladů projektu</w:t>
            </w:r>
          </w:p>
        </w:tc>
      </w:tr>
      <w:tr w:rsidR="006D67F1" w:rsidRPr="002C224A" w:rsidTr="00EF4DC5">
        <w:trPr>
          <w:trHeight w:val="478"/>
        </w:trPr>
        <w:tc>
          <w:tcPr>
            <w:tcW w:w="960" w:type="dxa"/>
            <w:vMerge/>
            <w:shd w:val="clear" w:color="auto" w:fill="8DB3E2"/>
          </w:tcPr>
          <w:p w:rsidR="006D67F1" w:rsidRPr="002C224A" w:rsidRDefault="006D67F1" w:rsidP="00EF4DC5">
            <w:pPr>
              <w:jc w:val="left"/>
              <w:rPr>
                <w:b/>
                <w:bCs/>
                <w:color w:val="FFFFFF"/>
                <w:sz w:val="24"/>
                <w:szCs w:val="24"/>
              </w:rPr>
            </w:pPr>
          </w:p>
        </w:tc>
        <w:tc>
          <w:tcPr>
            <w:tcW w:w="960" w:type="dxa"/>
            <w:vMerge/>
            <w:shd w:val="clear" w:color="auto" w:fill="8DB3E2"/>
          </w:tcPr>
          <w:p w:rsidR="006D67F1" w:rsidRPr="002C224A" w:rsidRDefault="006D67F1" w:rsidP="00EF4DC5">
            <w:pPr>
              <w:jc w:val="left"/>
              <w:rPr>
                <w:b/>
                <w:bCs/>
                <w:color w:val="FFFFFF"/>
                <w:sz w:val="24"/>
                <w:szCs w:val="24"/>
              </w:rPr>
            </w:pPr>
          </w:p>
        </w:tc>
        <w:tc>
          <w:tcPr>
            <w:tcW w:w="2414" w:type="dxa"/>
            <w:shd w:val="clear" w:color="auto" w:fill="8DB3E2"/>
            <w:noWrap/>
          </w:tcPr>
          <w:p w:rsidR="006D67F1" w:rsidRPr="002C224A" w:rsidRDefault="006D67F1" w:rsidP="00EF4DC5">
            <w:pPr>
              <w:jc w:val="center"/>
              <w:rPr>
                <w:b/>
                <w:color w:val="FFFFFF"/>
                <w:sz w:val="20"/>
              </w:rPr>
            </w:pP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Snížená doba návratnosti</w:t>
            </w:r>
          </w:p>
        </w:tc>
        <w:tc>
          <w:tcPr>
            <w:tcW w:w="2330" w:type="dxa"/>
            <w:shd w:val="clear" w:color="auto" w:fill="8DB3E2"/>
          </w:tcPr>
          <w:p w:rsidR="006D67F1" w:rsidRPr="002C224A" w:rsidRDefault="006D67F1" w:rsidP="00EF4DC5">
            <w:pPr>
              <w:jc w:val="center"/>
              <w:rPr>
                <w:b/>
                <w:color w:val="FFFFFF"/>
                <w:sz w:val="20"/>
              </w:rPr>
            </w:pPr>
          </w:p>
        </w:tc>
      </w:tr>
      <w:tr w:rsidR="006D67F1" w:rsidRPr="002C224A" w:rsidTr="00EF4DC5">
        <w:trPr>
          <w:trHeight w:val="680"/>
        </w:trPr>
        <w:tc>
          <w:tcPr>
            <w:tcW w:w="960" w:type="dxa"/>
            <w:vMerge/>
            <w:shd w:val="clear" w:color="auto" w:fill="8DB3E2"/>
          </w:tcPr>
          <w:p w:rsidR="006D67F1" w:rsidRPr="002C224A" w:rsidRDefault="006D67F1" w:rsidP="00EF4DC5">
            <w:pPr>
              <w:jc w:val="left"/>
              <w:rPr>
                <w:b/>
                <w:bCs/>
                <w:color w:val="FFFFFF"/>
                <w:sz w:val="24"/>
                <w:szCs w:val="24"/>
              </w:rPr>
            </w:pPr>
          </w:p>
        </w:tc>
        <w:tc>
          <w:tcPr>
            <w:tcW w:w="960" w:type="dxa"/>
            <w:vMerge/>
            <w:shd w:val="clear" w:color="auto" w:fill="8DB3E2"/>
          </w:tcPr>
          <w:p w:rsidR="006D67F1" w:rsidRPr="002C224A" w:rsidRDefault="006D67F1" w:rsidP="00EF4DC5">
            <w:pPr>
              <w:jc w:val="left"/>
              <w:rPr>
                <w:b/>
                <w:bCs/>
                <w:color w:val="FFFFFF"/>
                <w:sz w:val="24"/>
                <w:szCs w:val="24"/>
              </w:rPr>
            </w:pP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EF4DC5">
            <w:pPr>
              <w:jc w:val="center"/>
              <w:rPr>
                <w:b/>
                <w:color w:val="FFFFFF"/>
                <w:sz w:val="20"/>
              </w:rPr>
            </w:pPr>
          </w:p>
        </w:tc>
      </w:tr>
      <w:tr w:rsidR="006D67F1" w:rsidRPr="002C224A" w:rsidTr="00EF4DC5">
        <w:trPr>
          <w:trHeight w:val="690"/>
        </w:trPr>
        <w:tc>
          <w:tcPr>
            <w:tcW w:w="960" w:type="dxa"/>
            <w:vMerge/>
            <w:shd w:val="clear" w:color="auto" w:fill="8DB3E2"/>
          </w:tcPr>
          <w:p w:rsidR="006D67F1" w:rsidRPr="002C224A" w:rsidRDefault="006D67F1" w:rsidP="00EF4DC5">
            <w:pPr>
              <w:jc w:val="left"/>
              <w:rPr>
                <w:b/>
                <w:bCs/>
                <w:color w:val="FFFFFF"/>
                <w:sz w:val="24"/>
                <w:szCs w:val="24"/>
              </w:rPr>
            </w:pPr>
          </w:p>
        </w:tc>
        <w:tc>
          <w:tcPr>
            <w:tcW w:w="960" w:type="dxa"/>
            <w:vMerge/>
            <w:shd w:val="clear" w:color="auto" w:fill="8DB3E2"/>
          </w:tcPr>
          <w:p w:rsidR="006D67F1" w:rsidRPr="002C224A" w:rsidRDefault="006D67F1" w:rsidP="00EF4DC5">
            <w:pPr>
              <w:jc w:val="left"/>
              <w:rPr>
                <w:b/>
                <w:bCs/>
                <w:color w:val="FFFFFF"/>
                <w:sz w:val="24"/>
                <w:szCs w:val="24"/>
              </w:rPr>
            </w:pP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EF4DC5">
            <w:pPr>
              <w:jc w:val="left"/>
              <w:rPr>
                <w:b/>
                <w:color w:val="FFFFFF"/>
                <w:sz w:val="20"/>
              </w:rPr>
            </w:pPr>
          </w:p>
        </w:tc>
      </w:tr>
      <w:tr w:rsidR="006D67F1" w:rsidRPr="002C224A" w:rsidTr="00EF4DC5">
        <w:trPr>
          <w:trHeight w:val="735"/>
        </w:trPr>
        <w:tc>
          <w:tcPr>
            <w:tcW w:w="960" w:type="dxa"/>
            <w:vMerge/>
            <w:shd w:val="clear" w:color="auto" w:fill="8DB3E2"/>
          </w:tcPr>
          <w:p w:rsidR="006D67F1" w:rsidRPr="002C224A" w:rsidRDefault="006D67F1" w:rsidP="00EF4DC5">
            <w:pPr>
              <w:jc w:val="left"/>
              <w:rPr>
                <w:b/>
                <w:bCs/>
                <w:color w:val="FFFFFF"/>
                <w:sz w:val="24"/>
                <w:szCs w:val="24"/>
              </w:rPr>
            </w:pPr>
          </w:p>
        </w:tc>
        <w:tc>
          <w:tcPr>
            <w:tcW w:w="960" w:type="dxa"/>
            <w:vMerge w:val="restart"/>
            <w:shd w:val="clear" w:color="auto" w:fill="8DB3E2"/>
            <w:noWrap/>
            <w:textDirection w:val="btLr"/>
          </w:tcPr>
          <w:p w:rsidR="006D67F1" w:rsidRPr="002C224A" w:rsidRDefault="006D67F1" w:rsidP="00EF4DC5">
            <w:pPr>
              <w:jc w:val="center"/>
              <w:rPr>
                <w:b/>
                <w:bCs/>
                <w:color w:val="FFFFFF"/>
                <w:sz w:val="24"/>
                <w:szCs w:val="24"/>
              </w:rPr>
            </w:pPr>
            <w:r w:rsidRPr="002C224A">
              <w:rPr>
                <w:b/>
                <w:bCs/>
                <w:color w:val="FFFFFF"/>
                <w:sz w:val="24"/>
                <w:szCs w:val="24"/>
              </w:rPr>
              <w:t>ŘO</w:t>
            </w: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Vysoký pákový efekt a širší objem podpořených projektů a investic</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Vysoký revolvingový efekt a podpoření projektů v dalších cyklech</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Motivační efekt aktivizující investice v soukromém sektoru</w:t>
            </w:r>
          </w:p>
        </w:tc>
      </w:tr>
      <w:tr w:rsidR="006D67F1" w:rsidRPr="002C224A" w:rsidTr="00EF4DC5">
        <w:trPr>
          <w:trHeight w:val="735"/>
        </w:trPr>
        <w:tc>
          <w:tcPr>
            <w:tcW w:w="960" w:type="dxa"/>
            <w:vMerge/>
            <w:shd w:val="clear" w:color="auto" w:fill="8DB3E2"/>
          </w:tcPr>
          <w:p w:rsidR="006D67F1" w:rsidRPr="002C224A" w:rsidRDefault="006D67F1" w:rsidP="00EF4DC5">
            <w:pPr>
              <w:jc w:val="left"/>
              <w:rPr>
                <w:b/>
                <w:bCs/>
                <w:color w:val="FFFFFF"/>
                <w:sz w:val="18"/>
                <w:szCs w:val="18"/>
              </w:rPr>
            </w:pPr>
          </w:p>
        </w:tc>
        <w:tc>
          <w:tcPr>
            <w:tcW w:w="960" w:type="dxa"/>
            <w:vMerge/>
            <w:shd w:val="clear" w:color="auto" w:fill="8DB3E2"/>
            <w:noWrap/>
            <w:textDirection w:val="btLr"/>
          </w:tcPr>
          <w:p w:rsidR="006D67F1" w:rsidRPr="002C224A" w:rsidRDefault="006D67F1" w:rsidP="00EF4DC5">
            <w:pPr>
              <w:jc w:val="center"/>
              <w:rPr>
                <w:b/>
                <w:bCs/>
                <w:color w:val="FFFFFF"/>
                <w:sz w:val="18"/>
                <w:szCs w:val="18"/>
              </w:rPr>
            </w:pP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Možnost revolvingu v závislosti na rizikové strategii</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Vysoká absorpční kapacita</w:t>
            </w:r>
          </w:p>
        </w:tc>
      </w:tr>
      <w:tr w:rsidR="006D67F1" w:rsidRPr="002C224A" w:rsidTr="00EF4DC5">
        <w:trPr>
          <w:trHeight w:val="311"/>
        </w:trPr>
        <w:tc>
          <w:tcPr>
            <w:tcW w:w="960" w:type="dxa"/>
            <w:vMerge/>
            <w:shd w:val="clear" w:color="auto" w:fill="8DB3E2"/>
          </w:tcPr>
          <w:p w:rsidR="006D67F1" w:rsidRPr="002C224A" w:rsidRDefault="006D67F1" w:rsidP="00EF4DC5">
            <w:pPr>
              <w:jc w:val="left"/>
              <w:rPr>
                <w:b/>
                <w:bCs/>
                <w:color w:val="FFFFFF"/>
                <w:sz w:val="18"/>
                <w:szCs w:val="18"/>
              </w:rPr>
            </w:pPr>
          </w:p>
        </w:tc>
        <w:tc>
          <w:tcPr>
            <w:tcW w:w="960" w:type="dxa"/>
            <w:vMerge/>
            <w:shd w:val="clear" w:color="auto" w:fill="8DB3E2"/>
            <w:noWrap/>
            <w:textDirection w:val="btLr"/>
          </w:tcPr>
          <w:p w:rsidR="006D67F1" w:rsidRPr="002C224A" w:rsidRDefault="006D67F1" w:rsidP="00EF4DC5">
            <w:pPr>
              <w:jc w:val="center"/>
              <w:rPr>
                <w:b/>
                <w:bCs/>
                <w:color w:val="FFFFFF"/>
                <w:sz w:val="18"/>
                <w:szCs w:val="18"/>
              </w:rPr>
            </w:pPr>
          </w:p>
        </w:tc>
        <w:tc>
          <w:tcPr>
            <w:tcW w:w="2414" w:type="dxa"/>
            <w:shd w:val="clear" w:color="auto" w:fill="8DB3E2"/>
          </w:tcPr>
          <w:p w:rsidR="006D67F1" w:rsidRPr="002C224A" w:rsidRDefault="006D67F1" w:rsidP="00EF4DC5">
            <w:pPr>
              <w:jc w:val="center"/>
              <w:rPr>
                <w:b/>
                <w:color w:val="FFFFFF"/>
                <w:sz w:val="20"/>
              </w:rPr>
            </w:pPr>
            <w:r w:rsidRPr="002C224A">
              <w:rPr>
                <w:b/>
                <w:color w:val="FFFFFF"/>
                <w:sz w:val="20"/>
              </w:rPr>
              <w:t>Rychlé čerpání a nižší administrativní náročnost</w:t>
            </w:r>
          </w:p>
        </w:tc>
        <w:tc>
          <w:tcPr>
            <w:tcW w:w="2330" w:type="dxa"/>
            <w:shd w:val="clear" w:color="auto" w:fill="8DB3E2"/>
          </w:tcPr>
          <w:p w:rsidR="006D67F1" w:rsidRPr="002C224A" w:rsidRDefault="006D67F1" w:rsidP="00EF4DC5">
            <w:pPr>
              <w:jc w:val="center"/>
              <w:rPr>
                <w:b/>
                <w:color w:val="FFFFFF"/>
                <w:sz w:val="20"/>
              </w:rPr>
            </w:pPr>
            <w:r w:rsidRPr="002C224A">
              <w:rPr>
                <w:b/>
                <w:color w:val="FFFFFF"/>
                <w:sz w:val="20"/>
              </w:rPr>
              <w:t>Rychlé čerpání a nižší administrativní náročnost</w:t>
            </w:r>
          </w:p>
        </w:tc>
        <w:tc>
          <w:tcPr>
            <w:tcW w:w="2330" w:type="dxa"/>
            <w:shd w:val="clear" w:color="auto" w:fill="8DB3E2"/>
          </w:tcPr>
          <w:p w:rsidR="006D67F1" w:rsidRPr="002C224A" w:rsidRDefault="006D67F1" w:rsidP="00EF4DC5">
            <w:pPr>
              <w:jc w:val="center"/>
              <w:rPr>
                <w:b/>
                <w:color w:val="FFFFFF"/>
                <w:sz w:val="20"/>
              </w:rPr>
            </w:pPr>
          </w:p>
        </w:tc>
      </w:tr>
      <w:tr w:rsidR="006D67F1" w:rsidRPr="002C224A" w:rsidTr="00EF4DC5">
        <w:trPr>
          <w:trHeight w:val="735"/>
        </w:trPr>
        <w:tc>
          <w:tcPr>
            <w:tcW w:w="960" w:type="dxa"/>
            <w:vMerge w:val="restart"/>
            <w:shd w:val="clear" w:color="auto" w:fill="FF0000"/>
            <w:textDirection w:val="btLr"/>
          </w:tcPr>
          <w:p w:rsidR="006D67F1" w:rsidRPr="002C224A" w:rsidRDefault="006D67F1" w:rsidP="00EF4DC5">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tcPr>
          <w:p w:rsidR="006D67F1" w:rsidRPr="002C224A" w:rsidRDefault="006D67F1" w:rsidP="00EF4DC5">
            <w:pPr>
              <w:jc w:val="center"/>
              <w:rPr>
                <w:b/>
                <w:bCs/>
                <w:color w:val="FFFFFF"/>
                <w:sz w:val="24"/>
                <w:szCs w:val="24"/>
              </w:rPr>
            </w:pPr>
            <w:r w:rsidRPr="002C224A">
              <w:rPr>
                <w:b/>
                <w:bCs/>
                <w:color w:val="FFFFFF"/>
                <w:sz w:val="24"/>
                <w:szCs w:val="24"/>
              </w:rPr>
              <w:t>Konečný příjemce</w:t>
            </w:r>
          </w:p>
        </w:tc>
        <w:tc>
          <w:tcPr>
            <w:tcW w:w="2414" w:type="dxa"/>
            <w:shd w:val="clear" w:color="auto" w:fill="FF0000"/>
          </w:tcPr>
          <w:p w:rsidR="006D67F1" w:rsidRPr="002C224A" w:rsidRDefault="006D67F1" w:rsidP="00EF4DC5">
            <w:pPr>
              <w:jc w:val="center"/>
              <w:rPr>
                <w:b/>
                <w:color w:val="FFFFFF"/>
                <w:sz w:val="20"/>
              </w:rPr>
            </w:pPr>
            <w:r w:rsidRPr="002C224A">
              <w:rPr>
                <w:b/>
                <w:color w:val="FFFFFF"/>
                <w:sz w:val="20"/>
              </w:rPr>
              <w:t>Malý efekt na návratnost projektu</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Nižší efekt na návratnost projektu v porovnání s dotací</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Vysoká administrativní náročnost</w:t>
            </w:r>
          </w:p>
        </w:tc>
      </w:tr>
      <w:tr w:rsidR="006D67F1" w:rsidRPr="002C224A" w:rsidTr="00EF4DC5">
        <w:trPr>
          <w:trHeight w:val="735"/>
        </w:trPr>
        <w:tc>
          <w:tcPr>
            <w:tcW w:w="960" w:type="dxa"/>
            <w:vMerge/>
            <w:shd w:val="clear" w:color="auto" w:fill="FF0000"/>
          </w:tcPr>
          <w:p w:rsidR="006D67F1" w:rsidRPr="002C224A" w:rsidRDefault="006D67F1" w:rsidP="00EF4DC5">
            <w:pPr>
              <w:jc w:val="left"/>
              <w:rPr>
                <w:b/>
                <w:bCs/>
                <w:color w:val="000000"/>
                <w:sz w:val="24"/>
                <w:szCs w:val="24"/>
              </w:rPr>
            </w:pPr>
          </w:p>
        </w:tc>
        <w:tc>
          <w:tcPr>
            <w:tcW w:w="960" w:type="dxa"/>
            <w:vMerge/>
            <w:shd w:val="clear" w:color="auto" w:fill="FF0000"/>
            <w:noWrap/>
            <w:textDirection w:val="btLr"/>
          </w:tcPr>
          <w:p w:rsidR="006D67F1" w:rsidRPr="002C224A" w:rsidRDefault="006D67F1" w:rsidP="00EF4DC5">
            <w:pPr>
              <w:jc w:val="center"/>
              <w:rPr>
                <w:b/>
                <w:bCs/>
                <w:color w:val="000000"/>
                <w:sz w:val="24"/>
                <w:szCs w:val="24"/>
              </w:rPr>
            </w:pPr>
          </w:p>
        </w:tc>
        <w:tc>
          <w:tcPr>
            <w:tcW w:w="2414" w:type="dxa"/>
            <w:shd w:val="clear" w:color="auto" w:fill="FF0000"/>
          </w:tcPr>
          <w:p w:rsidR="006D67F1" w:rsidRPr="002C224A" w:rsidRDefault="006D67F1" w:rsidP="00EF4DC5">
            <w:pPr>
              <w:jc w:val="center"/>
              <w:rPr>
                <w:b/>
                <w:color w:val="FFFFFF"/>
                <w:sz w:val="20"/>
              </w:rPr>
            </w:pP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Nižší efekt zpřístupnění financování pro velmi rizikové projekty</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Regulovaná výběrová řízení na dodavatele – vyšší náklady</w:t>
            </w:r>
          </w:p>
        </w:tc>
      </w:tr>
      <w:tr w:rsidR="006D67F1" w:rsidRPr="002C224A" w:rsidTr="00EF4DC5">
        <w:trPr>
          <w:trHeight w:val="456"/>
        </w:trPr>
        <w:tc>
          <w:tcPr>
            <w:tcW w:w="960" w:type="dxa"/>
            <w:vMerge/>
            <w:shd w:val="clear" w:color="auto" w:fill="FF0000"/>
          </w:tcPr>
          <w:p w:rsidR="006D67F1" w:rsidRPr="002C224A" w:rsidRDefault="006D67F1" w:rsidP="00EF4DC5">
            <w:pPr>
              <w:jc w:val="left"/>
              <w:rPr>
                <w:b/>
                <w:bCs/>
                <w:color w:val="000000"/>
                <w:sz w:val="24"/>
                <w:szCs w:val="24"/>
              </w:rPr>
            </w:pPr>
          </w:p>
        </w:tc>
        <w:tc>
          <w:tcPr>
            <w:tcW w:w="960" w:type="dxa"/>
            <w:vMerge/>
            <w:shd w:val="clear" w:color="auto" w:fill="FF0000"/>
            <w:noWrap/>
            <w:textDirection w:val="btLr"/>
          </w:tcPr>
          <w:p w:rsidR="006D67F1" w:rsidRPr="002C224A" w:rsidRDefault="006D67F1" w:rsidP="00EF4DC5">
            <w:pPr>
              <w:jc w:val="center"/>
              <w:rPr>
                <w:b/>
                <w:bCs/>
                <w:color w:val="000000"/>
                <w:sz w:val="24"/>
                <w:szCs w:val="24"/>
              </w:rPr>
            </w:pPr>
          </w:p>
        </w:tc>
        <w:tc>
          <w:tcPr>
            <w:tcW w:w="2414" w:type="dxa"/>
            <w:shd w:val="clear" w:color="auto" w:fill="FF0000"/>
          </w:tcPr>
          <w:p w:rsidR="006D67F1" w:rsidRPr="002C224A" w:rsidRDefault="006D67F1" w:rsidP="00EF4DC5">
            <w:pPr>
              <w:jc w:val="center"/>
              <w:rPr>
                <w:b/>
                <w:color w:val="FFFFFF"/>
                <w:sz w:val="20"/>
              </w:rPr>
            </w:pPr>
          </w:p>
        </w:tc>
        <w:tc>
          <w:tcPr>
            <w:tcW w:w="2330" w:type="dxa"/>
            <w:shd w:val="clear" w:color="auto" w:fill="FF0000"/>
          </w:tcPr>
          <w:p w:rsidR="006D67F1" w:rsidRPr="002C224A" w:rsidRDefault="006D67F1" w:rsidP="00EF4DC5">
            <w:pPr>
              <w:jc w:val="center"/>
              <w:rPr>
                <w:b/>
                <w:color w:val="FFFFFF"/>
                <w:sz w:val="20"/>
              </w:rPr>
            </w:pP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Nutnost předfinancování – platba ex post  po dokončení realizace projektu nebo etapy</w:t>
            </w:r>
          </w:p>
        </w:tc>
      </w:tr>
      <w:tr w:rsidR="006D67F1" w:rsidRPr="002C224A" w:rsidTr="00EF4DC5">
        <w:trPr>
          <w:trHeight w:val="735"/>
        </w:trPr>
        <w:tc>
          <w:tcPr>
            <w:tcW w:w="960" w:type="dxa"/>
            <w:vMerge/>
            <w:shd w:val="clear" w:color="auto" w:fill="FF0000"/>
          </w:tcPr>
          <w:p w:rsidR="006D67F1" w:rsidRPr="002C224A" w:rsidRDefault="006D67F1" w:rsidP="00EF4DC5">
            <w:pPr>
              <w:jc w:val="left"/>
              <w:rPr>
                <w:b/>
                <w:bCs/>
                <w:color w:val="000000"/>
                <w:sz w:val="24"/>
                <w:szCs w:val="24"/>
              </w:rPr>
            </w:pPr>
          </w:p>
        </w:tc>
        <w:tc>
          <w:tcPr>
            <w:tcW w:w="960" w:type="dxa"/>
            <w:vMerge/>
            <w:shd w:val="clear" w:color="auto" w:fill="FF0000"/>
            <w:noWrap/>
            <w:textDirection w:val="btLr"/>
          </w:tcPr>
          <w:p w:rsidR="006D67F1" w:rsidRPr="002C224A" w:rsidRDefault="006D67F1" w:rsidP="00EF4DC5">
            <w:pPr>
              <w:jc w:val="center"/>
              <w:rPr>
                <w:b/>
                <w:bCs/>
                <w:color w:val="000000"/>
                <w:sz w:val="24"/>
                <w:szCs w:val="24"/>
              </w:rPr>
            </w:pPr>
          </w:p>
        </w:tc>
        <w:tc>
          <w:tcPr>
            <w:tcW w:w="2414" w:type="dxa"/>
            <w:shd w:val="clear" w:color="auto" w:fill="FF0000"/>
          </w:tcPr>
          <w:p w:rsidR="006D67F1" w:rsidRPr="002C224A" w:rsidRDefault="006D67F1" w:rsidP="00EF4DC5">
            <w:pPr>
              <w:jc w:val="center"/>
              <w:rPr>
                <w:b/>
                <w:color w:val="FFFFFF"/>
                <w:sz w:val="20"/>
              </w:rPr>
            </w:pPr>
          </w:p>
        </w:tc>
        <w:tc>
          <w:tcPr>
            <w:tcW w:w="2330" w:type="dxa"/>
            <w:shd w:val="clear" w:color="auto" w:fill="FF0000"/>
          </w:tcPr>
          <w:p w:rsidR="006D67F1" w:rsidRPr="002C224A" w:rsidRDefault="006D67F1" w:rsidP="00EF4DC5">
            <w:pPr>
              <w:jc w:val="center"/>
              <w:rPr>
                <w:b/>
                <w:color w:val="FFFFFF"/>
                <w:sz w:val="20"/>
              </w:rPr>
            </w:pP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Riziko dodatečného odebrání dotace z důvodu chyb v projektu</w:t>
            </w:r>
          </w:p>
        </w:tc>
      </w:tr>
      <w:tr w:rsidR="006D67F1" w:rsidRPr="002C224A" w:rsidTr="00EF4DC5">
        <w:trPr>
          <w:trHeight w:val="735"/>
        </w:trPr>
        <w:tc>
          <w:tcPr>
            <w:tcW w:w="960" w:type="dxa"/>
            <w:vMerge/>
            <w:shd w:val="clear" w:color="auto" w:fill="FF0000"/>
          </w:tcPr>
          <w:p w:rsidR="006D67F1" w:rsidRPr="002C224A" w:rsidRDefault="006D67F1" w:rsidP="00EF4DC5">
            <w:pPr>
              <w:jc w:val="left"/>
              <w:rPr>
                <w:b/>
                <w:bCs/>
                <w:color w:val="000000"/>
                <w:sz w:val="24"/>
                <w:szCs w:val="24"/>
              </w:rPr>
            </w:pPr>
          </w:p>
        </w:tc>
        <w:tc>
          <w:tcPr>
            <w:tcW w:w="960" w:type="dxa"/>
            <w:vMerge w:val="restart"/>
            <w:shd w:val="clear" w:color="auto" w:fill="FF0000"/>
            <w:noWrap/>
            <w:textDirection w:val="btLr"/>
          </w:tcPr>
          <w:p w:rsidR="006D67F1" w:rsidRPr="002C224A" w:rsidRDefault="006D67F1" w:rsidP="00EF4DC5">
            <w:pPr>
              <w:jc w:val="center"/>
              <w:rPr>
                <w:b/>
                <w:bCs/>
                <w:color w:val="FFFFFF"/>
                <w:sz w:val="24"/>
                <w:szCs w:val="24"/>
              </w:rPr>
            </w:pPr>
            <w:r w:rsidRPr="002C224A">
              <w:rPr>
                <w:b/>
                <w:bCs/>
                <w:color w:val="FFFFFF"/>
                <w:sz w:val="24"/>
                <w:szCs w:val="24"/>
              </w:rPr>
              <w:t>ŘO</w:t>
            </w:r>
          </w:p>
        </w:tc>
        <w:tc>
          <w:tcPr>
            <w:tcW w:w="2414" w:type="dxa"/>
            <w:shd w:val="clear" w:color="auto" w:fill="FF0000"/>
          </w:tcPr>
          <w:p w:rsidR="006D67F1" w:rsidRPr="002C224A" w:rsidRDefault="006D67F1" w:rsidP="00EF4DC5">
            <w:pPr>
              <w:jc w:val="center"/>
              <w:rPr>
                <w:b/>
                <w:color w:val="FFFFFF"/>
                <w:sz w:val="20"/>
              </w:rPr>
            </w:pPr>
            <w:r w:rsidRPr="002C224A">
              <w:rPr>
                <w:b/>
                <w:color w:val="FFFFFF"/>
                <w:sz w:val="20"/>
              </w:rPr>
              <w:t>Snížení absorpční kapacity v porovnání s dotací</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Snížení absorpční kapacity v porovnání s dotací</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Nenávratné výdaje</w:t>
            </w:r>
          </w:p>
        </w:tc>
      </w:tr>
      <w:tr w:rsidR="006D67F1" w:rsidRPr="002C224A" w:rsidTr="00EF4DC5">
        <w:trPr>
          <w:trHeight w:val="566"/>
        </w:trPr>
        <w:tc>
          <w:tcPr>
            <w:tcW w:w="960" w:type="dxa"/>
            <w:vMerge/>
            <w:shd w:val="clear" w:color="auto" w:fill="FF0000"/>
          </w:tcPr>
          <w:p w:rsidR="006D67F1" w:rsidRPr="002C224A" w:rsidRDefault="006D67F1" w:rsidP="00EF4DC5">
            <w:pPr>
              <w:jc w:val="left"/>
              <w:rPr>
                <w:b/>
                <w:bCs/>
                <w:color w:val="000000"/>
                <w:sz w:val="18"/>
                <w:szCs w:val="18"/>
              </w:rPr>
            </w:pPr>
          </w:p>
        </w:tc>
        <w:tc>
          <w:tcPr>
            <w:tcW w:w="960" w:type="dxa"/>
            <w:vMerge/>
            <w:shd w:val="clear" w:color="auto" w:fill="FF0000"/>
            <w:noWrap/>
            <w:textDirection w:val="btLr"/>
          </w:tcPr>
          <w:p w:rsidR="006D67F1" w:rsidRPr="002C224A" w:rsidRDefault="006D67F1" w:rsidP="00EF4DC5">
            <w:pPr>
              <w:jc w:val="center"/>
              <w:rPr>
                <w:b/>
                <w:bCs/>
                <w:color w:val="000000"/>
                <w:sz w:val="18"/>
                <w:szCs w:val="18"/>
              </w:rPr>
            </w:pPr>
          </w:p>
        </w:tc>
        <w:tc>
          <w:tcPr>
            <w:tcW w:w="2414" w:type="dxa"/>
            <w:shd w:val="clear" w:color="auto" w:fill="FF0000"/>
          </w:tcPr>
          <w:p w:rsidR="006D67F1" w:rsidRPr="002C224A" w:rsidRDefault="006D67F1" w:rsidP="00EF4DC5">
            <w:pPr>
              <w:jc w:val="center"/>
              <w:rPr>
                <w:b/>
                <w:color w:val="FFFFFF"/>
                <w:sz w:val="20"/>
              </w:rPr>
            </w:pPr>
            <w:r w:rsidRPr="002C224A">
              <w:rPr>
                <w:b/>
                <w:color w:val="FFFFFF"/>
                <w:sz w:val="20"/>
              </w:rPr>
              <w:t>Velmi nízký revolvingový efekt</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Nižší pákový efekt</w:t>
            </w:r>
          </w:p>
        </w:tc>
        <w:tc>
          <w:tcPr>
            <w:tcW w:w="2330" w:type="dxa"/>
            <w:shd w:val="clear" w:color="auto" w:fill="FF0000"/>
          </w:tcPr>
          <w:p w:rsidR="006D67F1" w:rsidRPr="002C224A" w:rsidRDefault="006D67F1" w:rsidP="00EF4DC5">
            <w:pPr>
              <w:jc w:val="center"/>
              <w:rPr>
                <w:b/>
                <w:color w:val="FFFFFF"/>
                <w:sz w:val="20"/>
              </w:rPr>
            </w:pPr>
            <w:r w:rsidRPr="002C224A">
              <w:rPr>
                <w:b/>
                <w:color w:val="FFFFFF"/>
                <w:sz w:val="20"/>
              </w:rPr>
              <w:t>Nižší počet podpořených projektů</w:t>
            </w:r>
          </w:p>
        </w:tc>
      </w:tr>
      <w:tr w:rsidR="006D67F1" w:rsidRPr="002C224A" w:rsidTr="00EF4DC5">
        <w:trPr>
          <w:trHeight w:val="264"/>
        </w:trPr>
        <w:tc>
          <w:tcPr>
            <w:tcW w:w="960" w:type="dxa"/>
            <w:vMerge/>
            <w:shd w:val="clear" w:color="auto" w:fill="FF0000"/>
          </w:tcPr>
          <w:p w:rsidR="006D67F1" w:rsidRPr="002C224A" w:rsidRDefault="006D67F1" w:rsidP="00EF4DC5">
            <w:pPr>
              <w:jc w:val="left"/>
              <w:rPr>
                <w:b/>
                <w:bCs/>
                <w:color w:val="000000"/>
                <w:sz w:val="18"/>
                <w:szCs w:val="18"/>
              </w:rPr>
            </w:pPr>
          </w:p>
        </w:tc>
        <w:tc>
          <w:tcPr>
            <w:tcW w:w="960" w:type="dxa"/>
            <w:vMerge/>
            <w:shd w:val="clear" w:color="auto" w:fill="FF0000"/>
            <w:noWrap/>
            <w:textDirection w:val="btLr"/>
          </w:tcPr>
          <w:p w:rsidR="006D67F1" w:rsidRPr="002C224A" w:rsidRDefault="006D67F1" w:rsidP="00EF4DC5">
            <w:pPr>
              <w:jc w:val="center"/>
              <w:rPr>
                <w:b/>
                <w:bCs/>
                <w:color w:val="000000"/>
                <w:sz w:val="18"/>
                <w:szCs w:val="18"/>
              </w:rPr>
            </w:pPr>
          </w:p>
        </w:tc>
        <w:tc>
          <w:tcPr>
            <w:tcW w:w="2414" w:type="dxa"/>
            <w:shd w:val="clear" w:color="auto" w:fill="FF0000"/>
          </w:tcPr>
          <w:p w:rsidR="006D67F1" w:rsidRPr="002C224A" w:rsidRDefault="006D67F1" w:rsidP="00EF4DC5">
            <w:pPr>
              <w:jc w:val="center"/>
              <w:rPr>
                <w:b/>
                <w:color w:val="FFFFFF"/>
                <w:sz w:val="20"/>
              </w:rPr>
            </w:pPr>
            <w:r w:rsidRPr="002C224A">
              <w:rPr>
                <w:b/>
                <w:color w:val="FFFFFF"/>
                <w:sz w:val="20"/>
              </w:rPr>
              <w:t>Hrazení poplatků příjemci</w:t>
            </w:r>
          </w:p>
        </w:tc>
        <w:tc>
          <w:tcPr>
            <w:tcW w:w="2330" w:type="dxa"/>
            <w:shd w:val="clear" w:color="auto" w:fill="FF0000"/>
          </w:tcPr>
          <w:p w:rsidR="006D67F1" w:rsidRPr="002C224A" w:rsidRDefault="006D67F1" w:rsidP="00EF4DC5">
            <w:pPr>
              <w:jc w:val="center"/>
              <w:rPr>
                <w:b/>
                <w:color w:val="FFFFFF"/>
                <w:sz w:val="20"/>
              </w:rPr>
            </w:pPr>
          </w:p>
        </w:tc>
        <w:tc>
          <w:tcPr>
            <w:tcW w:w="2330" w:type="dxa"/>
            <w:shd w:val="clear" w:color="auto" w:fill="FF0000"/>
          </w:tcPr>
          <w:p w:rsidR="006D67F1" w:rsidRPr="002C224A" w:rsidRDefault="006D67F1" w:rsidP="00EF4DC5">
            <w:pPr>
              <w:keepNext/>
              <w:jc w:val="center"/>
              <w:rPr>
                <w:b/>
                <w:color w:val="FFFFFF"/>
                <w:sz w:val="20"/>
              </w:rPr>
            </w:pPr>
            <w:r w:rsidRPr="002C224A">
              <w:rPr>
                <w:b/>
                <w:color w:val="FFFFFF"/>
                <w:sz w:val="20"/>
              </w:rPr>
              <w:t>Pomalejší čerpání</w:t>
            </w:r>
          </w:p>
        </w:tc>
      </w:tr>
    </w:tbl>
    <w:p w:rsidR="006D67F1" w:rsidRPr="002C224A" w:rsidRDefault="007834DB" w:rsidP="007834DB">
      <w:pPr>
        <w:pStyle w:val="Titulek"/>
      </w:pPr>
      <w:r w:rsidRPr="002C224A">
        <w:t>Tabulka 1</w:t>
      </w:r>
      <w:r w:rsidR="00C4105E">
        <w:t>2</w:t>
      </w:r>
      <w:r w:rsidRPr="002C224A">
        <w:t xml:space="preserve">: </w:t>
      </w:r>
      <w:r w:rsidR="006D67F1" w:rsidRPr="002C224A">
        <w:t xml:space="preserve">Přidaná hodnota, Nevýhody, problémy a </w:t>
      </w:r>
      <w:r w:rsidR="00E05E2D">
        <w:t>rizika vybraných forem podpory pro konečného příjemce a ŘO</w:t>
      </w:r>
    </w:p>
    <w:p w:rsidR="006D67F1" w:rsidRPr="00A50943" w:rsidRDefault="006D67F1" w:rsidP="008074B1"/>
    <w:p w:rsidR="006D67F1" w:rsidRPr="002C224A" w:rsidRDefault="006D67F1" w:rsidP="008074B1"/>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729"/>
        <w:gridCol w:w="2694"/>
        <w:gridCol w:w="2126"/>
        <w:gridCol w:w="2126"/>
      </w:tblGrid>
      <w:tr w:rsidR="006D67F1" w:rsidRPr="002C224A" w:rsidTr="00EF4DC5">
        <w:tc>
          <w:tcPr>
            <w:tcW w:w="1729" w:type="dxa"/>
            <w:shd w:val="clear" w:color="auto" w:fill="548DD4"/>
            <w:vAlign w:val="center"/>
          </w:tcPr>
          <w:p w:rsidR="006D67F1" w:rsidRPr="002C224A" w:rsidRDefault="006D67F1" w:rsidP="00EF4DC5">
            <w:pPr>
              <w:pStyle w:val="Highlight2"/>
              <w:jc w:val="center"/>
              <w:rPr>
                <w:rFonts w:ascii="Calibri" w:hAnsi="Calibri" w:cs="Calibri"/>
                <w:color w:val="FFFFFF"/>
                <w:sz w:val="22"/>
                <w:szCs w:val="22"/>
              </w:rPr>
            </w:pPr>
            <w:r w:rsidRPr="002C224A">
              <w:rPr>
                <w:rFonts w:ascii="Calibri" w:hAnsi="Calibri" w:cs="Calibri"/>
                <w:color w:val="FFFFFF"/>
                <w:sz w:val="22"/>
                <w:szCs w:val="22"/>
                <w:lang w:eastAsia="cs-CZ"/>
              </w:rPr>
              <w:t>Tržní selhání a suboptimální investiční situace</w:t>
            </w:r>
          </w:p>
        </w:tc>
        <w:tc>
          <w:tcPr>
            <w:tcW w:w="2694" w:type="dxa"/>
            <w:shd w:val="clear" w:color="auto" w:fill="548DD4"/>
            <w:vAlign w:val="center"/>
          </w:tcPr>
          <w:p w:rsidR="006D67F1" w:rsidRPr="002C224A" w:rsidRDefault="006D67F1" w:rsidP="00EF4DC5">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Záruční nástroj</w:t>
            </w:r>
          </w:p>
        </w:tc>
        <w:tc>
          <w:tcPr>
            <w:tcW w:w="2126" w:type="dxa"/>
            <w:shd w:val="clear" w:color="auto" w:fill="548DD4"/>
            <w:vAlign w:val="center"/>
          </w:tcPr>
          <w:p w:rsidR="006D67F1" w:rsidRPr="002C224A" w:rsidRDefault="006D67F1" w:rsidP="00EF4DC5">
            <w:pPr>
              <w:pStyle w:val="Highlight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126" w:type="dxa"/>
            <w:shd w:val="clear" w:color="auto" w:fill="548DD4"/>
            <w:vAlign w:val="center"/>
          </w:tcPr>
          <w:p w:rsidR="006D67F1" w:rsidRPr="002C224A" w:rsidRDefault="006D67F1" w:rsidP="00EF4DC5">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EF4DC5">
        <w:trPr>
          <w:trHeight w:val="793"/>
        </w:trPr>
        <w:tc>
          <w:tcPr>
            <w:tcW w:w="1729" w:type="dxa"/>
            <w:shd w:val="clear" w:color="auto" w:fill="FFFFFF"/>
            <w:vAlign w:val="center"/>
          </w:tcPr>
          <w:p w:rsidR="006D67F1" w:rsidRPr="002C224A" w:rsidRDefault="006D67F1" w:rsidP="00EF4DC5">
            <w:pPr>
              <w:pStyle w:val="Highlight2"/>
              <w:jc w:val="left"/>
              <w:rPr>
                <w:rFonts w:ascii="Calibri" w:hAnsi="Calibri" w:cs="Calibri"/>
              </w:rPr>
            </w:pPr>
            <w:r w:rsidRPr="002C224A">
              <w:rPr>
                <w:rFonts w:ascii="Calibri" w:hAnsi="Calibri" w:cs="Calibri"/>
                <w:bCs/>
                <w:color w:val="000000"/>
                <w:lang w:eastAsia="cs-CZ"/>
              </w:rPr>
              <w:lastRenderedPageBreak/>
              <w:t xml:space="preserve">Vysoké požadavky na zajištění </w:t>
            </w:r>
          </w:p>
        </w:tc>
        <w:tc>
          <w:tcPr>
            <w:tcW w:w="2694" w:type="dxa"/>
            <w:shd w:val="clear" w:color="auto" w:fill="FFFFFF"/>
            <w:vAlign w:val="center"/>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Řeší problém zajištění až do výše záruky, zpřístupňuje financování projektům s menšími možnostmi vlastního zajištění</w:t>
            </w:r>
          </w:p>
        </w:tc>
        <w:tc>
          <w:tcPr>
            <w:tcW w:w="2126" w:type="dxa"/>
            <w:shd w:val="clear" w:color="auto" w:fill="FFFFFF"/>
            <w:vAlign w:val="center"/>
          </w:tcPr>
          <w:p w:rsidR="006D67F1" w:rsidRPr="002C224A" w:rsidRDefault="006D67F1" w:rsidP="00EF4DC5">
            <w:pPr>
              <w:pStyle w:val="Highlight2"/>
              <w:jc w:val="center"/>
              <w:rPr>
                <w:rFonts w:ascii="Calibri" w:hAnsi="Calibri" w:cs="Calibri"/>
                <w:b w:val="0"/>
              </w:rPr>
            </w:pPr>
            <w:r w:rsidRPr="002C224A">
              <w:rPr>
                <w:rFonts w:ascii="Calibri" w:hAnsi="Calibri" w:cs="Calibri"/>
                <w:b w:val="0"/>
                <w:color w:val="000000"/>
                <w:lang w:eastAsia="cs-CZ"/>
              </w:rPr>
              <w:t>Nutnost zajištění úvěru zůstává, možnost užití zástavy na komerční i zvýhodněný úvěr</w:t>
            </w:r>
          </w:p>
        </w:tc>
        <w:tc>
          <w:tcPr>
            <w:tcW w:w="2126" w:type="dxa"/>
            <w:shd w:val="clear" w:color="auto" w:fill="FFFFFF"/>
            <w:vAlign w:val="center"/>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Neřeší přímo zajištění, dotuje část investice,</w:t>
            </w:r>
            <w:r w:rsidR="00DF63D5" w:rsidRPr="002C224A">
              <w:rPr>
                <w:rFonts w:ascii="Calibri" w:hAnsi="Calibri" w:cs="Calibri"/>
                <w:b w:val="0"/>
                <w:color w:val="000000"/>
                <w:lang w:eastAsia="cs-CZ"/>
              </w:rPr>
              <w:t xml:space="preserve"> </w:t>
            </w:r>
            <w:r w:rsidRPr="002C224A">
              <w:rPr>
                <w:rFonts w:ascii="Calibri" w:hAnsi="Calibri" w:cs="Calibri"/>
                <w:b w:val="0"/>
                <w:color w:val="000000"/>
                <w:lang w:eastAsia="cs-CZ"/>
              </w:rPr>
              <w:t>problém zajištění v případě úvěru na předfinancování a spoluúčast zůstává</w:t>
            </w:r>
          </w:p>
        </w:tc>
      </w:tr>
      <w:tr w:rsidR="006D67F1" w:rsidRPr="002C224A" w:rsidTr="00EF4DC5">
        <w:tblPrEx>
          <w:tblCellMar>
            <w:top w:w="0" w:type="dxa"/>
            <w:left w:w="108" w:type="dxa"/>
            <w:bottom w:w="0" w:type="dxa"/>
            <w:right w:w="108" w:type="dxa"/>
          </w:tblCellMar>
        </w:tblPrEx>
        <w:trPr>
          <w:trHeight w:val="1521"/>
        </w:trPr>
        <w:tc>
          <w:tcPr>
            <w:tcW w:w="1729" w:type="dxa"/>
          </w:tcPr>
          <w:p w:rsidR="006D67F1" w:rsidRPr="002C224A" w:rsidRDefault="006D67F1" w:rsidP="00EF4DC5">
            <w:pPr>
              <w:pStyle w:val="Highlight2"/>
              <w:jc w:val="left"/>
              <w:rPr>
                <w:rFonts w:ascii="Calibri" w:hAnsi="Calibri" w:cs="Calibri"/>
                <w:bCs/>
                <w:color w:val="000000"/>
                <w:lang w:eastAsia="cs-CZ"/>
              </w:rPr>
            </w:pPr>
            <w:r w:rsidRPr="002C224A">
              <w:rPr>
                <w:rFonts w:ascii="Calibri" w:hAnsi="Calibri" w:cs="Calibri"/>
                <w:bCs/>
                <w:color w:val="000000"/>
                <w:lang w:eastAsia="cs-CZ"/>
              </w:rPr>
              <w:t>Riziko</w:t>
            </w:r>
          </w:p>
        </w:tc>
        <w:tc>
          <w:tcPr>
            <w:tcW w:w="2694"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Rozděluje riziko mezi </w:t>
            </w:r>
            <w:r w:rsidR="003D7EB1">
              <w:rPr>
                <w:rFonts w:ascii="Calibri" w:hAnsi="Calibri" w:cs="Calibri"/>
                <w:b w:val="0"/>
                <w:color w:val="000000"/>
                <w:lang w:eastAsia="cs-CZ"/>
              </w:rPr>
              <w:t xml:space="preserve">konečného </w:t>
            </w:r>
            <w:r w:rsidRPr="002C224A">
              <w:rPr>
                <w:rFonts w:ascii="Calibri" w:hAnsi="Calibri" w:cs="Calibri"/>
                <w:b w:val="0"/>
                <w:color w:val="000000"/>
                <w:lang w:eastAsia="cs-CZ"/>
              </w:rPr>
              <w:t>příjemce, banku a FN. Likvidnější zástava, výrazné snížení rizika pro úvěrující instituci</w:t>
            </w:r>
          </w:p>
          <w:p w:rsidR="006D67F1" w:rsidRPr="002C224A" w:rsidRDefault="006D67F1" w:rsidP="00EF4DC5">
            <w:pPr>
              <w:pStyle w:val="Highlight2"/>
              <w:jc w:val="center"/>
              <w:rPr>
                <w:rFonts w:ascii="Calibri" w:hAnsi="Calibri" w:cs="Calibri"/>
                <w:b w:val="0"/>
                <w:color w:val="000000"/>
                <w:lang w:eastAsia="cs-CZ"/>
              </w:rPr>
            </w:pPr>
          </w:p>
          <w:p w:rsidR="006D67F1" w:rsidRPr="002C224A" w:rsidRDefault="006D67F1" w:rsidP="00EF4DC5">
            <w:pPr>
              <w:pStyle w:val="Highlight2"/>
              <w:jc w:val="center"/>
              <w:rPr>
                <w:rFonts w:ascii="Calibri" w:hAnsi="Calibri" w:cs="Calibri"/>
                <w:b w:val="0"/>
                <w:color w:val="000000"/>
                <w:lang w:eastAsia="cs-CZ"/>
              </w:rPr>
            </w:pPr>
          </w:p>
        </w:tc>
        <w:tc>
          <w:tcPr>
            <w:tcW w:w="2126" w:type="dxa"/>
          </w:tcPr>
          <w:p w:rsidR="006D67F1" w:rsidRPr="002C224A" w:rsidRDefault="003D7EB1" w:rsidP="00EF4DC5">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p>
          <w:p w:rsidR="006D67F1" w:rsidRPr="002C224A" w:rsidRDefault="006D67F1" w:rsidP="00EF4DC5">
            <w:pPr>
              <w:pStyle w:val="Highlight2"/>
              <w:jc w:val="center"/>
              <w:rPr>
                <w:rFonts w:ascii="Calibri" w:hAnsi="Calibri" w:cs="Calibri"/>
                <w:b w:val="0"/>
                <w:color w:val="000000"/>
                <w:lang w:eastAsia="cs-CZ"/>
              </w:rPr>
            </w:pPr>
          </w:p>
        </w:tc>
        <w:tc>
          <w:tcPr>
            <w:tcW w:w="2126" w:type="dxa"/>
          </w:tcPr>
          <w:p w:rsidR="006D67F1" w:rsidRPr="002C224A" w:rsidRDefault="006D67F1" w:rsidP="00EF4DC5">
            <w:pPr>
              <w:jc w:val="center"/>
              <w:rPr>
                <w:sz w:val="20"/>
              </w:rPr>
            </w:pPr>
            <w:r w:rsidRPr="002C224A">
              <w:rPr>
                <w:sz w:val="20"/>
              </w:rPr>
              <w:t>Zlepšením ekonomických parametrů projektu snižuje riziko defaultu. Zlepšená úvěrovatelnost dotovaných projektů</w:t>
            </w:r>
          </w:p>
          <w:p w:rsidR="006D67F1" w:rsidRPr="002C224A" w:rsidRDefault="00E05E2D" w:rsidP="00EF4DC5">
            <w:pPr>
              <w:jc w:val="center"/>
              <w:rPr>
                <w:sz w:val="20"/>
              </w:rPr>
            </w:pPr>
            <w:r>
              <w:rPr>
                <w:sz w:val="20"/>
              </w:rPr>
              <w:t>Konečný příjemce přebírá riziko jen</w:t>
            </w:r>
            <w:r w:rsidR="006D67F1" w:rsidRPr="002C224A">
              <w:rPr>
                <w:sz w:val="20"/>
              </w:rPr>
              <w:t xml:space="preserve"> do výše spoluúčasti způsobilých a nezpůsobilých nákladů.</w:t>
            </w:r>
          </w:p>
          <w:p w:rsidR="006D67F1" w:rsidRPr="002C224A" w:rsidRDefault="006D67F1" w:rsidP="00EF4DC5">
            <w:pPr>
              <w:jc w:val="center"/>
              <w:rPr>
                <w:sz w:val="20"/>
              </w:rPr>
            </w:pPr>
            <w:r w:rsidRPr="002C224A">
              <w:rPr>
                <w:sz w:val="20"/>
              </w:rPr>
              <w:t>Avšak nedochází k podpoře rizikovějších projektů z důvodu minimalizace selhání projektu.</w:t>
            </w:r>
          </w:p>
          <w:p w:rsidR="006D67F1" w:rsidRPr="002C224A" w:rsidRDefault="006D67F1" w:rsidP="00EF4DC5">
            <w:pPr>
              <w:jc w:val="center"/>
              <w:rPr>
                <w:sz w:val="20"/>
              </w:rPr>
            </w:pPr>
          </w:p>
          <w:p w:rsidR="006D67F1" w:rsidRPr="002C224A" w:rsidRDefault="006D67F1" w:rsidP="00EF4DC5">
            <w:pPr>
              <w:jc w:val="center"/>
              <w:rPr>
                <w:sz w:val="20"/>
              </w:rPr>
            </w:pPr>
            <w:r w:rsidRPr="002C224A">
              <w:rPr>
                <w:sz w:val="20"/>
              </w:rPr>
              <w:t>Efekt limitován rizikem odebrání dotace</w:t>
            </w:r>
          </w:p>
          <w:p w:rsidR="006D67F1" w:rsidRPr="002C224A" w:rsidRDefault="006D67F1" w:rsidP="00EF4DC5">
            <w:pPr>
              <w:pStyle w:val="Highlight2"/>
              <w:jc w:val="center"/>
              <w:rPr>
                <w:rFonts w:ascii="Calibri" w:hAnsi="Calibri" w:cs="Calibri"/>
                <w:b w:val="0"/>
                <w:color w:val="000000"/>
                <w:lang w:eastAsia="cs-CZ"/>
              </w:rPr>
            </w:pPr>
          </w:p>
        </w:tc>
      </w:tr>
      <w:tr w:rsidR="006D67F1" w:rsidRPr="002C224A" w:rsidTr="00EF4DC5">
        <w:tblPrEx>
          <w:tblCellMar>
            <w:top w:w="0" w:type="dxa"/>
            <w:left w:w="108" w:type="dxa"/>
            <w:bottom w:w="0" w:type="dxa"/>
            <w:right w:w="108" w:type="dxa"/>
          </w:tblCellMar>
        </w:tblPrEx>
        <w:tc>
          <w:tcPr>
            <w:tcW w:w="1729" w:type="dxa"/>
          </w:tcPr>
          <w:p w:rsidR="006D67F1" w:rsidRPr="002C224A" w:rsidRDefault="006D67F1" w:rsidP="00EF4DC5">
            <w:pPr>
              <w:pStyle w:val="Highlight2"/>
              <w:jc w:val="left"/>
              <w:rPr>
                <w:rFonts w:ascii="Calibri" w:hAnsi="Calibri" w:cs="Calibri"/>
                <w:color w:val="auto"/>
                <w:szCs w:val="20"/>
              </w:rPr>
            </w:pPr>
            <w:r w:rsidRPr="002C224A">
              <w:rPr>
                <w:rFonts w:ascii="Calibri" w:hAnsi="Calibri" w:cs="Calibri"/>
                <w:color w:val="auto"/>
                <w:szCs w:val="20"/>
              </w:rPr>
              <w:t>Náklady projektu a návratnost</w:t>
            </w:r>
          </w:p>
        </w:tc>
        <w:tc>
          <w:tcPr>
            <w:tcW w:w="2694" w:type="dxa"/>
          </w:tcPr>
          <w:p w:rsidR="006D67F1" w:rsidRPr="002C224A" w:rsidRDefault="006D67F1" w:rsidP="00EF4DC5">
            <w:pPr>
              <w:pStyle w:val="Highlight2"/>
              <w:jc w:val="center"/>
              <w:rPr>
                <w:rFonts w:ascii="Calibri" w:hAnsi="Calibri" w:cs="Calibri"/>
                <w:b w:val="0"/>
                <w:color w:val="auto"/>
                <w:szCs w:val="20"/>
              </w:rPr>
            </w:pPr>
            <w:r w:rsidRPr="002C224A">
              <w:rPr>
                <w:rFonts w:ascii="Calibri" w:hAnsi="Calibri" w:cs="Calibri"/>
                <w:b w:val="0"/>
                <w:color w:val="auto"/>
                <w:szCs w:val="20"/>
              </w:rPr>
              <w:t>Nemá velký vliv na snížení nákladů projektu a jeho návratnost</w:t>
            </w:r>
          </w:p>
        </w:tc>
        <w:tc>
          <w:tcPr>
            <w:tcW w:w="2126" w:type="dxa"/>
          </w:tcPr>
          <w:p w:rsidR="006D67F1" w:rsidRPr="002C224A" w:rsidRDefault="006D67F1" w:rsidP="00EF4DC5">
            <w:pPr>
              <w:pStyle w:val="Highlight2"/>
              <w:jc w:val="center"/>
              <w:rPr>
                <w:rFonts w:ascii="Calibri" w:hAnsi="Calibri" w:cs="Calibri"/>
                <w:b w:val="0"/>
                <w:color w:val="auto"/>
                <w:szCs w:val="20"/>
              </w:rPr>
            </w:pPr>
            <w:r w:rsidRPr="002C224A">
              <w:rPr>
                <w:rFonts w:ascii="Calibri" w:hAnsi="Calibri" w:cs="Calibri"/>
                <w:b w:val="0"/>
                <w:color w:val="auto"/>
                <w:szCs w:val="20"/>
              </w:rPr>
              <w:t>Částečně snižuje úrokové náklady a počáteční náklady na přípravu, radikálně však nemění parametry návratnosti</w:t>
            </w:r>
          </w:p>
        </w:tc>
        <w:tc>
          <w:tcPr>
            <w:tcW w:w="2126" w:type="dxa"/>
          </w:tcPr>
          <w:p w:rsidR="006D67F1" w:rsidRPr="002C224A" w:rsidRDefault="006D67F1" w:rsidP="00EF4DC5">
            <w:pPr>
              <w:pStyle w:val="Highlight2"/>
              <w:jc w:val="center"/>
              <w:rPr>
                <w:rFonts w:ascii="Calibri" w:hAnsi="Calibri" w:cs="Calibri"/>
                <w:b w:val="0"/>
                <w:color w:val="auto"/>
                <w:szCs w:val="20"/>
              </w:rPr>
            </w:pPr>
            <w:r w:rsidRPr="002C224A">
              <w:rPr>
                <w:rFonts w:ascii="Calibri" w:hAnsi="Calibri" w:cs="Calibri"/>
                <w:b w:val="0"/>
                <w:color w:val="auto"/>
                <w:szCs w:val="20"/>
              </w:rPr>
              <w:t>Výrazně snižuje náklady pro žadatele a tedy výrazně vylepšuje návratnost projektu.</w:t>
            </w:r>
          </w:p>
        </w:tc>
      </w:tr>
      <w:tr w:rsidR="006D67F1" w:rsidRPr="002C224A" w:rsidTr="00EF4DC5">
        <w:tblPrEx>
          <w:tblCellMar>
            <w:top w:w="0" w:type="dxa"/>
            <w:left w:w="108" w:type="dxa"/>
            <w:bottom w:w="0" w:type="dxa"/>
            <w:right w:w="108" w:type="dxa"/>
          </w:tblCellMar>
        </w:tblPrEx>
        <w:tc>
          <w:tcPr>
            <w:tcW w:w="1729" w:type="dxa"/>
          </w:tcPr>
          <w:p w:rsidR="006D67F1" w:rsidRPr="002C224A" w:rsidRDefault="006D67F1" w:rsidP="00EF4DC5">
            <w:pPr>
              <w:pStyle w:val="Highlight2"/>
              <w:jc w:val="left"/>
              <w:rPr>
                <w:rFonts w:ascii="Calibri" w:hAnsi="Calibri" w:cs="Calibri"/>
              </w:rPr>
            </w:pPr>
            <w:r w:rsidRPr="002C224A">
              <w:rPr>
                <w:rFonts w:ascii="Calibri" w:hAnsi="Calibri" w:cs="Calibri"/>
                <w:bCs/>
                <w:color w:val="000000"/>
                <w:lang w:eastAsia="cs-CZ"/>
              </w:rPr>
              <w:t>Administrativní zátěž</w:t>
            </w:r>
          </w:p>
        </w:tc>
        <w:tc>
          <w:tcPr>
            <w:tcW w:w="2694"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Jednodušší administrace, bez rizika odebrání podpory z důvodu technických chyb</w:t>
            </w:r>
          </w:p>
          <w:p w:rsidR="006D67F1" w:rsidRPr="002C224A" w:rsidRDefault="006D67F1" w:rsidP="00EF4DC5">
            <w:pPr>
              <w:pStyle w:val="Highlight2"/>
              <w:jc w:val="center"/>
              <w:rPr>
                <w:rFonts w:ascii="Calibri" w:hAnsi="Calibri" w:cs="Calibri"/>
                <w:b w:val="0"/>
                <w:color w:val="000000"/>
                <w:lang w:eastAsia="cs-CZ"/>
              </w:rPr>
            </w:pPr>
          </w:p>
        </w:tc>
        <w:tc>
          <w:tcPr>
            <w:tcW w:w="2126" w:type="dxa"/>
          </w:tcPr>
          <w:p w:rsidR="006D67F1" w:rsidRPr="002C224A" w:rsidRDefault="006D67F1" w:rsidP="00EF4DC5">
            <w:pPr>
              <w:pStyle w:val="Highlight2"/>
              <w:jc w:val="center"/>
              <w:rPr>
                <w:rFonts w:ascii="Calibri" w:hAnsi="Calibri" w:cs="Calibri"/>
                <w:b w:val="0"/>
              </w:rPr>
            </w:pPr>
            <w:r w:rsidRPr="002C224A">
              <w:rPr>
                <w:rFonts w:ascii="Calibri" w:hAnsi="Calibri" w:cs="Calibri"/>
                <w:b w:val="0"/>
                <w:color w:val="000000"/>
                <w:lang w:eastAsia="cs-CZ"/>
              </w:rPr>
              <w:t>Jednodušší administrace, bez rizika odebrání podpory z důvodu technických chyb</w:t>
            </w:r>
          </w:p>
        </w:tc>
        <w:tc>
          <w:tcPr>
            <w:tcW w:w="2126" w:type="dxa"/>
          </w:tcPr>
          <w:p w:rsidR="006D67F1" w:rsidRPr="002C224A" w:rsidRDefault="00E05E2D" w:rsidP="00EF4DC5">
            <w:pPr>
              <w:pStyle w:val="Highlight2"/>
              <w:jc w:val="center"/>
              <w:rPr>
                <w:rFonts w:ascii="Calibri" w:hAnsi="Calibri" w:cs="Calibri"/>
                <w:b w:val="0"/>
                <w:color w:val="000000"/>
                <w:lang w:eastAsia="cs-CZ"/>
              </w:rPr>
            </w:pPr>
            <w:r>
              <w:rPr>
                <w:rFonts w:ascii="Calibri" w:hAnsi="Calibri" w:cs="Calibri"/>
                <w:b w:val="0"/>
                <w:color w:val="000000"/>
                <w:lang w:eastAsia="cs-CZ"/>
              </w:rPr>
              <w:t>Vysoká administrativní zátěž omezuje konečného příjemce</w:t>
            </w:r>
            <w:r w:rsidR="006D67F1" w:rsidRPr="002C224A">
              <w:rPr>
                <w:rFonts w:ascii="Calibri" w:hAnsi="Calibri" w:cs="Calibri"/>
                <w:b w:val="0"/>
                <w:color w:val="000000"/>
                <w:lang w:eastAsia="cs-CZ"/>
              </w:rPr>
              <w:t>, zvyšuje náklady a přináší riziko odebrání dotace, což omezuje absorpční kapacitu podpory</w:t>
            </w:r>
          </w:p>
        </w:tc>
      </w:tr>
      <w:tr w:rsidR="006D67F1" w:rsidRPr="002C224A" w:rsidTr="00EF4DC5">
        <w:trPr>
          <w:trHeight w:val="1474"/>
        </w:trPr>
        <w:tc>
          <w:tcPr>
            <w:tcW w:w="1729" w:type="dxa"/>
            <w:shd w:val="clear" w:color="auto" w:fill="FFFFFF"/>
            <w:vAlign w:val="center"/>
          </w:tcPr>
          <w:p w:rsidR="006D67F1" w:rsidRPr="002C224A" w:rsidRDefault="006D67F1" w:rsidP="00EF4DC5">
            <w:pPr>
              <w:rPr>
                <w:sz w:val="19"/>
              </w:rPr>
            </w:pPr>
            <w:r w:rsidRPr="002C224A">
              <w:rPr>
                <w:b/>
                <w:sz w:val="20"/>
              </w:rPr>
              <w:t>Celkový efekt na Investiční aktivitu a absorpci v SC</w:t>
            </w:r>
          </w:p>
        </w:tc>
        <w:tc>
          <w:tcPr>
            <w:tcW w:w="2694" w:type="dxa"/>
            <w:shd w:val="clear" w:color="auto" w:fill="FFFFFF"/>
            <w:vAlign w:val="center"/>
          </w:tcPr>
          <w:p w:rsidR="006D67F1" w:rsidRPr="002C224A" w:rsidRDefault="006D67F1" w:rsidP="00EF4DC5">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Pozitivní efekt zpřístupnění externího financování a snížení míry ručení</w:t>
            </w:r>
          </w:p>
          <w:p w:rsidR="006D67F1" w:rsidRPr="002C224A" w:rsidRDefault="006D67F1" w:rsidP="00EF4DC5">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 zvýšení absorpční kapacity pro menší a rizikovější subjekty s ekonomicky racionálními projekty, vysoký pákový efekt</w:t>
            </w:r>
          </w:p>
        </w:tc>
        <w:tc>
          <w:tcPr>
            <w:tcW w:w="2126" w:type="dxa"/>
            <w:shd w:val="clear" w:color="auto" w:fill="FFFFFF"/>
            <w:vAlign w:val="center"/>
          </w:tcPr>
          <w:p w:rsidR="006D67F1" w:rsidRPr="002C224A" w:rsidRDefault="006D67F1" w:rsidP="00EF4DC5">
            <w:pPr>
              <w:jc w:val="center"/>
              <w:rPr>
                <w:sz w:val="19"/>
              </w:rPr>
            </w:pPr>
            <w:r w:rsidRPr="002C224A">
              <w:rPr>
                <w:sz w:val="20"/>
              </w:rPr>
              <w:t>Mírné zkrácení doby návratnosti, přístup k vyššímu externímu financování, příspěvek na projektovou přípravu</w:t>
            </w:r>
          </w:p>
          <w:p w:rsidR="006D67F1" w:rsidRPr="002C224A" w:rsidRDefault="006D67F1" w:rsidP="00EF4DC5">
            <w:pPr>
              <w:jc w:val="center"/>
              <w:rPr>
                <w:b/>
                <w:sz w:val="19"/>
              </w:rPr>
            </w:pPr>
            <w:r w:rsidRPr="002C224A">
              <w:rPr>
                <w:rFonts w:cs="Calibri"/>
                <w:bCs/>
                <w:color w:val="000000"/>
                <w:sz w:val="20"/>
              </w:rPr>
              <w:t>– částečné zvýšení absorpční kapacity pro menší subjekty a projekty na hranici tržní návratnosti, avšak pouze omezená schopnost snížení nákladů projektu. Díky revolvingu možnost podpoření více projektů</w:t>
            </w:r>
          </w:p>
        </w:tc>
        <w:tc>
          <w:tcPr>
            <w:tcW w:w="2126" w:type="dxa"/>
            <w:shd w:val="clear" w:color="auto" w:fill="FFFFFF"/>
            <w:vAlign w:val="center"/>
          </w:tcPr>
          <w:p w:rsidR="006D67F1" w:rsidRPr="002C224A" w:rsidRDefault="006D67F1" w:rsidP="00EF4DC5">
            <w:pPr>
              <w:jc w:val="center"/>
              <w:rPr>
                <w:color w:val="000000"/>
                <w:sz w:val="19"/>
              </w:rPr>
            </w:pPr>
            <w:r w:rsidRPr="002C224A">
              <w:rPr>
                <w:color w:val="000000"/>
                <w:sz w:val="20"/>
              </w:rPr>
              <w:t>Výrazný efekt na nákladovost a návratnost projektu výrazně zvyšuje absorpci i pro tržně nerealizovatelné projekty. Částečné omezení kvůli administrativní složitosti.</w:t>
            </w:r>
          </w:p>
          <w:p w:rsidR="006D67F1" w:rsidRPr="002C224A" w:rsidRDefault="006D67F1" w:rsidP="00EF4DC5">
            <w:pPr>
              <w:jc w:val="center"/>
              <w:rPr>
                <w:color w:val="000000"/>
                <w:sz w:val="19"/>
              </w:rPr>
            </w:pPr>
            <w:r w:rsidRPr="002C224A">
              <w:rPr>
                <w:color w:val="000000"/>
                <w:sz w:val="20"/>
              </w:rPr>
              <w:t>Omezení dané nedostatkem disponibilních zdrojů na plošnou podporu</w:t>
            </w:r>
          </w:p>
          <w:p w:rsidR="006D67F1" w:rsidRPr="002C224A" w:rsidRDefault="006D67F1" w:rsidP="00EF4DC5">
            <w:pPr>
              <w:rPr>
                <w:b/>
                <w:color w:val="000000"/>
                <w:sz w:val="19"/>
              </w:rPr>
            </w:pPr>
          </w:p>
        </w:tc>
      </w:tr>
      <w:tr w:rsidR="006D67F1" w:rsidRPr="002C224A" w:rsidTr="00EF4DC5">
        <w:tblPrEx>
          <w:tblCellMar>
            <w:top w:w="0" w:type="dxa"/>
            <w:left w:w="108" w:type="dxa"/>
            <w:bottom w:w="0" w:type="dxa"/>
            <w:right w:w="108" w:type="dxa"/>
          </w:tblCellMar>
        </w:tblPrEx>
        <w:tc>
          <w:tcPr>
            <w:tcW w:w="1729" w:type="dxa"/>
          </w:tcPr>
          <w:p w:rsidR="006D67F1" w:rsidRPr="002C224A" w:rsidRDefault="006D67F1" w:rsidP="00EF4DC5">
            <w:pPr>
              <w:pStyle w:val="Highlight2"/>
              <w:jc w:val="left"/>
              <w:rPr>
                <w:rFonts w:ascii="Calibri" w:hAnsi="Calibri" w:cs="Calibri"/>
                <w:bCs/>
                <w:color w:val="000000"/>
                <w:lang w:eastAsia="cs-CZ"/>
              </w:rPr>
            </w:pPr>
            <w:r w:rsidRPr="002C224A">
              <w:rPr>
                <w:rFonts w:ascii="Calibri" w:hAnsi="Calibri" w:cs="Calibri"/>
                <w:bCs/>
                <w:color w:val="000000"/>
                <w:lang w:eastAsia="cs-CZ"/>
              </w:rPr>
              <w:lastRenderedPageBreak/>
              <w:t>Efekt na narušení tržního prostředí</w:t>
            </w:r>
          </w:p>
        </w:tc>
        <w:tc>
          <w:tcPr>
            <w:tcW w:w="2694"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Minimální vliv na tržní prostředí, zvyšují konkurenci odstraněním finanční bariéry pro menší subjekty</w:t>
            </w:r>
          </w:p>
        </w:tc>
        <w:tc>
          <w:tcPr>
            <w:tcW w:w="2126"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Malý vliv na tržní prostředí, návratná podpora motivuje ekonomicky efektivní počínání subjektů</w:t>
            </w:r>
          </w:p>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Doplnění soukromého finančního trhu</w:t>
            </w:r>
          </w:p>
        </w:tc>
        <w:tc>
          <w:tcPr>
            <w:tcW w:w="2126" w:type="dxa"/>
          </w:tcPr>
          <w:p w:rsidR="006D67F1" w:rsidRPr="002C224A" w:rsidRDefault="006D67F1" w:rsidP="00EF4DC5">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 xml:space="preserve">Výrazné </w:t>
            </w:r>
            <w:r w:rsidR="00E05E2D">
              <w:rPr>
                <w:rFonts w:ascii="Calibri" w:hAnsi="Calibri" w:cs="Calibri"/>
                <w:b w:val="0"/>
                <w:bCs/>
                <w:color w:val="000000"/>
                <w:lang w:eastAsia="cs-CZ"/>
              </w:rPr>
              <w:t>finanční zvýhodnění pro konečného příjemce</w:t>
            </w:r>
            <w:r w:rsidRPr="002C224A">
              <w:rPr>
                <w:rFonts w:ascii="Calibri" w:hAnsi="Calibri" w:cs="Calibri"/>
                <w:b w:val="0"/>
                <w:bCs/>
                <w:color w:val="000000"/>
                <w:lang w:eastAsia="cs-CZ"/>
              </w:rPr>
              <w:t>, omezená spoluúčast vytváří nižší tlak na ekonomické výsledky projektu</w:t>
            </w:r>
          </w:p>
          <w:p w:rsidR="006D67F1" w:rsidRPr="002C224A" w:rsidRDefault="006D67F1" w:rsidP="00EF4DC5">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Podpoření i méně kvalitních projektů bez potenciálu dlouhodobé udržitelnosti a ziskovosti – omezení efektivnosti trhu</w:t>
            </w:r>
          </w:p>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Částečné vytlačení soukromých prostředků</w:t>
            </w:r>
          </w:p>
        </w:tc>
      </w:tr>
    </w:tbl>
    <w:p w:rsidR="006D67F1" w:rsidRPr="002C224A" w:rsidRDefault="006D67F1" w:rsidP="008074B1">
      <w:pPr>
        <w:pStyle w:val="Titulek"/>
      </w:pPr>
      <w:r w:rsidRPr="002C224A">
        <w:t xml:space="preserve">Tabulka </w:t>
      </w:r>
      <w:r w:rsidR="007834DB" w:rsidRPr="002C224A">
        <w:t>1</w:t>
      </w:r>
      <w:r w:rsidR="00C4105E">
        <w:t>3</w:t>
      </w:r>
      <w:r w:rsidR="007834DB" w:rsidRPr="002C224A">
        <w:t xml:space="preserve"> </w:t>
      </w:r>
      <w:r w:rsidRPr="002C224A">
        <w:t>– Přidaná hodnota podpory pro cíle SC 1.1 OP PIK a vliv na tržní prostředí</w:t>
      </w:r>
    </w:p>
    <w:p w:rsidR="006D67F1" w:rsidRPr="002C224A" w:rsidRDefault="006D67F1" w:rsidP="008074B1">
      <w:pPr>
        <w:pStyle w:val="Highlight3"/>
        <w:rPr>
          <w:rFonts w:ascii="Calibri" w:hAnsi="Calibri"/>
        </w:rPr>
      </w:pPr>
    </w:p>
    <w:p w:rsidR="006D67F1" w:rsidRPr="002C224A" w:rsidRDefault="006D67F1" w:rsidP="008074B1">
      <w:r w:rsidRPr="00A50943">
        <w:t xml:space="preserve">Na základě tohoto porovnání docházíme k názoru, že v rámci cílů SC </w:t>
      </w:r>
      <w:smartTag w:uri="urn:schemas-microsoft-com:office:smarttags" w:element="metricconverter">
        <w:smartTagPr>
          <w:attr w:name="ProductID" w:val="1.1 a"/>
        </w:smartTagPr>
        <w:r w:rsidRPr="00A50943">
          <w:t>1.1 a</w:t>
        </w:r>
      </w:smartTag>
      <w:r w:rsidRPr="00A50943">
        <w:t xml:space="preserve"> identifikovaných bariér inovační aktivity podniků – riziko, náklady projektu, </w:t>
      </w:r>
      <w:r w:rsidRPr="002C224A">
        <w:t>nejistota výsledku a obtížný přístup k externímu financování – se jako vhodné nástroje jeví primárně záruky a dotace. Záruky řeší problém omezeného přístupu k úvěrovému financování z hlediska velkého rizika a nedostačující zástavy a mohou podpořit jinak tržně životaschopné projekty. Dotace umožní inovační aktivity, které svou návratností, rizikem a náklady přesahují hranici tržní realizovatelnosti a mají vyšší motivační efekt na změnu inovační politiky podniků – i přes negativní dopady na nákladově efektivní vynaložení alokace a tržní fungování podniků.</w:t>
      </w:r>
    </w:p>
    <w:p w:rsidR="006D67F1" w:rsidRPr="002C224A" w:rsidRDefault="006D67F1" w:rsidP="008074B1"/>
    <w:p w:rsidR="006D67F1" w:rsidRPr="002C224A" w:rsidRDefault="006D67F1" w:rsidP="008074B1">
      <w:pPr>
        <w:pStyle w:val="Nadpis4"/>
        <w:rPr>
          <w:rFonts w:ascii="Calibri" w:hAnsi="Calibri"/>
        </w:rPr>
      </w:pPr>
      <w:r w:rsidRPr="002C224A">
        <w:rPr>
          <w:rFonts w:ascii="Calibri" w:hAnsi="Calibri"/>
        </w:rPr>
        <w:t>Soulad s jinými formami veřejných intervencí</w:t>
      </w:r>
    </w:p>
    <w:p w:rsidR="006D67F1" w:rsidRPr="002C224A" w:rsidRDefault="006D67F1" w:rsidP="008074B1">
      <w:r w:rsidRPr="00A50943">
        <w:t>V rámci operačních programů je důležitá komplementarita a synergie jak s dalšími aktivitami podpory VaVaI v OP PIK, tak i s podporou VaVaI v OP PPR, která se bude</w:t>
      </w:r>
      <w:r w:rsidRPr="002C224A">
        <w:t xml:space="preserve"> týkat regionu Prahy, který není pro podporu z OP PIK dostupný. V implementaci obou programů by se mělo postupovat maximálně společnou cestou, i za účelem nákladové synergie.</w:t>
      </w:r>
    </w:p>
    <w:p w:rsidR="006D67F1" w:rsidRPr="002C224A" w:rsidRDefault="006D67F1" w:rsidP="008074B1"/>
    <w:p w:rsidR="006D67F1" w:rsidRPr="002C224A" w:rsidRDefault="006D67F1" w:rsidP="008074B1">
      <w:r w:rsidRPr="002C224A">
        <w:t>Veřejná podpora v rámci OP PIK bude fungovat komplementárně s nástroji evropského rámcového programu HORIZONT 2020. Záruční nástroj InnovFin bude poskytován také prostřednictvím českých bank na projekty inovací i podnikového VaV. V detailním nastavení finančních produktů záručního nástroje bude proto potřeba řešit návaznost na InnovFin z hlediska parametrů podmínek pro konečné příjemce. Detailní nastavení finančních produktů není součástí předběžného posouzení finančních nástrojů.</w:t>
      </w:r>
    </w:p>
    <w:p w:rsidR="006D67F1" w:rsidRPr="002C224A" w:rsidRDefault="006D67F1" w:rsidP="008074B1"/>
    <w:p w:rsidR="006D67F1" w:rsidRPr="002C224A" w:rsidRDefault="006D67F1" w:rsidP="008074B1">
      <w:r w:rsidRPr="002C224A">
        <w:t>Kromě možnosti financování z ESIF bude vhodné uvážit financování nástroje na podporu investic do inovací prostřednictvím Investičního plánu pro Evropu nebo propojení obou zdrojů (poskytnutí protizáruky z Evropského fondu pro strategické investice).</w:t>
      </w:r>
    </w:p>
    <w:p w:rsidR="00186A32" w:rsidRPr="002C224A" w:rsidRDefault="00186A32" w:rsidP="008074B1"/>
    <w:p w:rsidR="00186A32" w:rsidRPr="002C224A" w:rsidRDefault="00186A32" w:rsidP="008074B1">
      <w:r w:rsidRPr="002C224A">
        <w:t xml:space="preserve">Současné využití záručního a dotačního nástroje OP PIK na projekty inovací považujeme za vzájemně komplementární, jejich vymezení však musí být předmětem detailního nastavení výzev. </w:t>
      </w:r>
    </w:p>
    <w:p w:rsidR="006D67F1" w:rsidRPr="002C224A" w:rsidRDefault="006D67F1" w:rsidP="008074B1"/>
    <w:p w:rsidR="006D67F1" w:rsidRPr="002C224A" w:rsidRDefault="006D67F1" w:rsidP="008074B1">
      <w:pPr>
        <w:pStyle w:val="Nadpis4"/>
        <w:rPr>
          <w:rFonts w:ascii="Calibri" w:hAnsi="Calibri"/>
        </w:rPr>
      </w:pPr>
      <w:r w:rsidRPr="002C224A">
        <w:rPr>
          <w:rFonts w:ascii="Calibri" w:hAnsi="Calibri"/>
        </w:rPr>
        <w:t>Možné řešení veřejné podpory</w:t>
      </w:r>
    </w:p>
    <w:p w:rsidR="006D67F1" w:rsidRPr="00A50943" w:rsidRDefault="006D67F1" w:rsidP="008074B1"/>
    <w:p w:rsidR="006D67F1" w:rsidRPr="00A50943" w:rsidRDefault="006701AB" w:rsidP="008074B1">
      <w:r w:rsidRPr="002C224A">
        <w:t xml:space="preserve">Veřejná podpora je předpokládána pouze na úrovni konečných příjemců. </w:t>
      </w:r>
      <w:r w:rsidR="006D67F1" w:rsidRPr="002C224A">
        <w:t xml:space="preserve">Záruky za investiční úvěry a </w:t>
      </w:r>
      <w:r w:rsidR="00155CF2" w:rsidRPr="002C224A">
        <w:t xml:space="preserve">příspěvek k úhradě úroků </w:t>
      </w:r>
      <w:r w:rsidR="006D67F1" w:rsidRPr="002C224A">
        <w:t>pro inovační projekty lze řešit zejména poskytnutím podpory de minimis nebo podpory podle Obecného nařízení o blokových výjimkách č. 651/2014</w:t>
      </w:r>
      <w:r w:rsidR="006D67F1" w:rsidRPr="00A50943">
        <w:t>.</w:t>
      </w:r>
    </w:p>
    <w:p w:rsidR="006D67F1" w:rsidRPr="002C224A" w:rsidRDefault="006D67F1" w:rsidP="008074B1"/>
    <w:p w:rsidR="006D67F1" w:rsidRPr="002C224A" w:rsidRDefault="006D67F1" w:rsidP="008074B1">
      <w:pPr>
        <w:pStyle w:val="Nadpis3"/>
        <w:rPr>
          <w:rFonts w:ascii="Calibri" w:hAnsi="Calibri"/>
        </w:rPr>
      </w:pPr>
      <w:bookmarkStart w:id="22" w:name="_Toc421534279"/>
      <w:r w:rsidRPr="002C224A">
        <w:rPr>
          <w:rFonts w:ascii="Calibri" w:hAnsi="Calibri"/>
        </w:rPr>
        <w:lastRenderedPageBreak/>
        <w:t>Odhad dodatečných veřejných a soukromých zdrojů</w:t>
      </w:r>
      <w:bookmarkEnd w:id="22"/>
    </w:p>
    <w:p w:rsidR="006D67F1" w:rsidRPr="002C224A" w:rsidRDefault="006D67F1" w:rsidP="008074B1">
      <w:pPr>
        <w:pStyle w:val="Nadpis4"/>
        <w:rPr>
          <w:rFonts w:ascii="Calibri" w:hAnsi="Calibri"/>
        </w:rPr>
      </w:pPr>
      <w:r w:rsidRPr="002C224A">
        <w:rPr>
          <w:rFonts w:ascii="Calibri" w:hAnsi="Calibri"/>
        </w:rPr>
        <w:t>Spolufinancování ze soukromých zdrojů až na úroveň konečného příjemce</w:t>
      </w:r>
    </w:p>
    <w:p w:rsidR="006D67F1" w:rsidRPr="002C224A" w:rsidRDefault="006D67F1" w:rsidP="008074B1">
      <w:r w:rsidRPr="00A50943">
        <w:t xml:space="preserve">Nástroj ve formě záruk </w:t>
      </w:r>
      <w:r w:rsidRPr="002C224A">
        <w:t>předpokládá zapojení soukromých zdrojů ve formě zaručených komerčních úvěrů.</w:t>
      </w:r>
    </w:p>
    <w:p w:rsidR="006D67F1" w:rsidRPr="002C224A" w:rsidRDefault="006D67F1" w:rsidP="008074B1"/>
    <w:p w:rsidR="006D67F1" w:rsidRPr="002C224A" w:rsidRDefault="006D67F1" w:rsidP="008074B1">
      <w:r w:rsidRPr="002C224A">
        <w:t>Předpokladem je též zapojení vlastních zdrojů konečného příjemce na dofinancování zbylých nákladů projektu nepokrytých úvěrem. Na základě dosavadních zkušeností MPO s prováděním finančních nástrojů a zvyklosti finančního trhu lze očekávat vlastní zdroje žadatele na úrovni 10-30 % nákladů projektu.</w:t>
      </w:r>
    </w:p>
    <w:p w:rsidR="006D67F1" w:rsidRPr="002C224A" w:rsidRDefault="006D67F1" w:rsidP="008074B1">
      <w:pPr>
        <w:pStyle w:val="Nadpis4"/>
        <w:rPr>
          <w:rFonts w:ascii="Calibri" w:hAnsi="Calibri"/>
        </w:rPr>
      </w:pPr>
      <w:r w:rsidRPr="002C224A">
        <w:rPr>
          <w:rFonts w:ascii="Calibri" w:hAnsi="Calibri"/>
        </w:rPr>
        <w:t>Identifikace klíčových subjektů</w:t>
      </w:r>
    </w:p>
    <w:p w:rsidR="006D67F1" w:rsidRPr="00A50943" w:rsidRDefault="006D67F1" w:rsidP="008074B1"/>
    <w:p w:rsidR="006D67F1" w:rsidRPr="002C224A" w:rsidRDefault="006D67F1" w:rsidP="008074B1">
      <w:r w:rsidRPr="002C224A">
        <w:t>Klíčovým soukromým subjektem pro záruční nástroj jsou úvěrující instituce – komerční banky. FN bude implementován skrze záruční fond s vybraných správcem.</w:t>
      </w:r>
    </w:p>
    <w:p w:rsidR="006D67F1" w:rsidRPr="002C224A" w:rsidRDefault="006D67F1" w:rsidP="008074B1">
      <w:pPr>
        <w:pStyle w:val="Nadpis4"/>
        <w:rPr>
          <w:rFonts w:ascii="Calibri" w:hAnsi="Calibri"/>
        </w:rPr>
      </w:pPr>
      <w:r w:rsidRPr="002C224A">
        <w:rPr>
          <w:rFonts w:ascii="Calibri" w:hAnsi="Calibri"/>
        </w:rPr>
        <w:t>Odhad dodatečných zdrojů, který potenciálně finanční nástroj přiláká – očekávaný pákový efekt</w:t>
      </w:r>
    </w:p>
    <w:p w:rsidR="006D67F1" w:rsidRPr="00A50943" w:rsidRDefault="006D67F1" w:rsidP="008074B1"/>
    <w:p w:rsidR="006D67F1" w:rsidRPr="002C224A" w:rsidRDefault="006D67F1" w:rsidP="008074B1">
      <w:r w:rsidRPr="002C224A">
        <w:t>Dodatečné zdroje aktivované finančním nástrojem a tedy i výsledný pákový efekt jsou vždy závislé na konkrétním nastavení investiční strategie z hlediska požadovaného soukromého spolufinancování a dělby rizika.</w:t>
      </w:r>
    </w:p>
    <w:p w:rsidR="006D67F1" w:rsidRPr="002C224A" w:rsidRDefault="006D67F1" w:rsidP="008074B1"/>
    <w:p w:rsidR="00AD3087" w:rsidRPr="002C224A" w:rsidRDefault="00AD3087" w:rsidP="00AD3087">
      <w:r w:rsidRPr="002C224A">
        <w:t xml:space="preserve">Pákový efekt záručního nástroje je dosažen formou snížení rizika úvěrujících institucí a zpřístupnění jejich úvěrů rizikovějšímu segmentu MSP. Výsledný pákový efekt je závislý na riziku portfolia, míře poskytovaných záruk a zprostředkovanému hrazení ztrát finančním nástrojem. Bude se tedy měnit v závislosti na konkrétním nastavení ŘO, které je vhodné ponechat flexibilním úpravám reflektujícím výsledky nástroje. </w:t>
      </w:r>
    </w:p>
    <w:p w:rsidR="00AD3087" w:rsidRPr="002C224A" w:rsidRDefault="00AD3087" w:rsidP="00AD3087"/>
    <w:p w:rsidR="00491D84" w:rsidRDefault="00AD3087" w:rsidP="008074B1">
      <w:r w:rsidRPr="002C224A">
        <w:t>Se zohledněním</w:t>
      </w:r>
      <w:r w:rsidR="006D67F1" w:rsidRPr="002C224A">
        <w:t xml:space="preserve"> zkušeností ze záručních programů OP PI a předpokládanému menšímu portfoliu, vyšším investicím a vyššímu riziku způsobilých projektů v oblasti inovací lze očekávat</w:t>
      </w:r>
      <w:r w:rsidR="00491D84">
        <w:t xml:space="preserve"> efektivní</w:t>
      </w:r>
      <w:r w:rsidR="006D67F1" w:rsidRPr="002C224A">
        <w:t xml:space="preserve"> rozpětí pákového efektu v </w:t>
      </w:r>
      <w:r w:rsidR="0054464B" w:rsidRPr="002C224A">
        <w:t xml:space="preserve">rozpětí </w:t>
      </w:r>
      <w:r w:rsidR="006D67F1" w:rsidRPr="002C224A">
        <w:t>4-</w:t>
      </w:r>
      <w:r w:rsidR="0054464B" w:rsidRPr="002C224A">
        <w:t>6,7</w:t>
      </w:r>
      <w:r w:rsidR="00491D84">
        <w:t>.</w:t>
      </w:r>
      <w:r w:rsidR="006D67F1" w:rsidRPr="002C224A">
        <w:t xml:space="preserve"> </w:t>
      </w:r>
      <w:r w:rsidR="00491D84">
        <w:t>FN by měl poskytovat příjemci (správci FN) hrazení ztrát 15-25 % ze zaručeného portfolia.</w:t>
      </w:r>
    </w:p>
    <w:p w:rsidR="006D67F1" w:rsidRPr="002C224A" w:rsidRDefault="006D67F1" w:rsidP="008074B1"/>
    <w:p w:rsidR="006D67F1" w:rsidRPr="002C224A" w:rsidRDefault="006D67F1" w:rsidP="008074B1">
      <w:pPr>
        <w:pStyle w:val="Nadpis4"/>
        <w:rPr>
          <w:rFonts w:ascii="Calibri" w:hAnsi="Calibri"/>
        </w:rPr>
      </w:pPr>
      <w:r w:rsidRPr="002C224A">
        <w:rPr>
          <w:rFonts w:ascii="Calibri" w:hAnsi="Calibri"/>
        </w:rPr>
        <w:t>Posouzení potřeby a úroveň preferenčního odměňování</w:t>
      </w:r>
    </w:p>
    <w:p w:rsidR="006D67F1" w:rsidRPr="00A50943" w:rsidRDefault="006D67F1" w:rsidP="008074B1"/>
    <w:p w:rsidR="006D67F1" w:rsidRPr="002C224A" w:rsidRDefault="006D67F1" w:rsidP="008074B1">
      <w:r w:rsidRPr="002C224A">
        <w:t xml:space="preserve">V rámci záručního nástroje je motivace soukromých úvěrujících institucí zajištěna výrazným </w:t>
      </w:r>
      <w:r w:rsidR="00DF63D5" w:rsidRPr="002C224A">
        <w:t>z</w:t>
      </w:r>
      <w:r w:rsidRPr="002C224A">
        <w:t>menšením rizika na zaručených úvěrech, které jim umožňuje rozšířit úvěr</w:t>
      </w:r>
      <w:r w:rsidR="00155CF2" w:rsidRPr="002C224A">
        <w:t xml:space="preserve">ové </w:t>
      </w:r>
      <w:r w:rsidRPr="002C224A">
        <w:t>aktivit</w:t>
      </w:r>
      <w:r w:rsidR="00DF63D5" w:rsidRPr="002C224A">
        <w:t>y</w:t>
      </w:r>
      <w:r w:rsidRPr="002C224A">
        <w:t xml:space="preserve"> </w:t>
      </w:r>
      <w:r w:rsidR="00155CF2" w:rsidRPr="002C224A">
        <w:t xml:space="preserve">s přiměřeným </w:t>
      </w:r>
      <w:r w:rsidRPr="002C224A">
        <w:t>rizik</w:t>
      </w:r>
      <w:r w:rsidR="00155CF2" w:rsidRPr="002C224A">
        <w:t>em</w:t>
      </w:r>
      <w:r w:rsidRPr="002C224A">
        <w:t xml:space="preserve">. </w:t>
      </w:r>
      <w:r w:rsidR="00155CF2" w:rsidRPr="002C224A">
        <w:t xml:space="preserve"> </w:t>
      </w:r>
      <w:r w:rsidR="006355B6" w:rsidRPr="002C224A">
        <w:t>Nejedná se o preferenční odměňování úvěrujících institucí, efekty nástroje by měly být plně přeneseny na konečného příjemce. Preferenční odměňování není navrhováno.</w:t>
      </w:r>
    </w:p>
    <w:p w:rsidR="006D67F1" w:rsidRPr="002C224A" w:rsidRDefault="006D67F1" w:rsidP="008074B1">
      <w:pPr>
        <w:pStyle w:val="Vtneslovannadpis"/>
        <w:rPr>
          <w:rFonts w:ascii="Calibri" w:hAnsi="Calibri"/>
        </w:rPr>
      </w:pPr>
      <w:r w:rsidRPr="002C224A">
        <w:rPr>
          <w:rFonts w:ascii="Calibri" w:hAnsi="Calibri"/>
        </w:rPr>
        <w:br w:type="page"/>
      </w:r>
    </w:p>
    <w:p w:rsidR="006D67F1" w:rsidRPr="002C224A" w:rsidRDefault="006D67F1" w:rsidP="008074B1">
      <w:pPr>
        <w:pStyle w:val="Nadpis2"/>
        <w:rPr>
          <w:rFonts w:ascii="Calibri" w:hAnsi="Calibri"/>
        </w:rPr>
      </w:pPr>
      <w:bookmarkStart w:id="23" w:name="_Toc421534280"/>
      <w:r w:rsidRPr="002C224A">
        <w:rPr>
          <w:rFonts w:ascii="Calibri" w:hAnsi="Calibri"/>
        </w:rPr>
        <w:lastRenderedPageBreak/>
        <w:t>Specifický cíl 1.2 – Zvýšit intenzitu a účinnost spolupráce ve výzkumu, vývoji a inovacích</w:t>
      </w:r>
      <w:bookmarkEnd w:id="23"/>
    </w:p>
    <w:p w:rsidR="006D67F1" w:rsidRPr="002C224A" w:rsidRDefault="006D67F1" w:rsidP="008074B1">
      <w:pPr>
        <w:pStyle w:val="Nadpis3"/>
        <w:rPr>
          <w:rFonts w:ascii="Calibri" w:hAnsi="Calibri"/>
        </w:rPr>
      </w:pPr>
      <w:bookmarkStart w:id="24" w:name="_Toc421534281"/>
      <w:r w:rsidRPr="002C224A">
        <w:rPr>
          <w:rFonts w:ascii="Calibri" w:hAnsi="Calibri"/>
        </w:rPr>
        <w:t>Zaměření specifického cíle</w:t>
      </w:r>
      <w:bookmarkEnd w:id="24"/>
    </w:p>
    <w:p w:rsidR="006D67F1" w:rsidRPr="00A50943" w:rsidRDefault="006D67F1" w:rsidP="008074B1">
      <w:pPr>
        <w:pStyle w:val="Neslovannadpisy"/>
      </w:pPr>
      <w:r w:rsidRPr="00A50943">
        <w:t xml:space="preserve">Podporované aktivity: </w:t>
      </w:r>
    </w:p>
    <w:p w:rsidR="006D67F1" w:rsidRPr="002C224A" w:rsidRDefault="006D67F1" w:rsidP="008074B1">
      <w:pPr>
        <w:pStyle w:val="Odstavecseseznamem1"/>
        <w:numPr>
          <w:ilvl w:val="0"/>
          <w:numId w:val="6"/>
        </w:numPr>
      </w:pPr>
      <w:r w:rsidRPr="002C224A">
        <w:t>Tvorba nových a rozšiřování a zvyšování kvality současných služeb podpůrné infrastruktury, tj. vědecko-technických parků, podnikatelských inovačních center, podnikatelských inkubátorů</w:t>
      </w:r>
    </w:p>
    <w:p w:rsidR="006D67F1" w:rsidRPr="002C224A" w:rsidRDefault="006D67F1" w:rsidP="008074B1">
      <w:pPr>
        <w:pStyle w:val="Odstavecseseznamem1"/>
        <w:numPr>
          <w:ilvl w:val="0"/>
          <w:numId w:val="6"/>
        </w:numPr>
      </w:pPr>
      <w:r w:rsidRPr="002C224A">
        <w:t>Rozvoj sítí spolupráce, vč. klastrů a technologických platforem (zejména kolektivní výzkum, založený na potřebách většího počtu MSP i větších firem, rozvoj mezisektorové spolupráce a internacionalizace)</w:t>
      </w:r>
    </w:p>
    <w:p w:rsidR="006D67F1" w:rsidRPr="002C224A" w:rsidRDefault="006D67F1" w:rsidP="008074B1">
      <w:pPr>
        <w:pStyle w:val="Odstavecseseznamem1"/>
        <w:numPr>
          <w:ilvl w:val="0"/>
          <w:numId w:val="6"/>
        </w:numPr>
      </w:pPr>
      <w:r w:rsidRPr="002C224A">
        <w:t xml:space="preserve">Vytváření partnerství pro znalostní transfer mezi podniky a univerzitami </w:t>
      </w:r>
    </w:p>
    <w:p w:rsidR="006D67F1" w:rsidRPr="002C224A" w:rsidRDefault="006D67F1" w:rsidP="008074B1">
      <w:pPr>
        <w:pStyle w:val="Odstavecseseznamem1"/>
        <w:numPr>
          <w:ilvl w:val="0"/>
          <w:numId w:val="6"/>
        </w:numPr>
      </w:pPr>
      <w:r w:rsidRPr="002C224A">
        <w:t>Rozvoj komunikace a sdílení poznatků mezi podnikovou a výzkumnou sférou</w:t>
      </w:r>
    </w:p>
    <w:p w:rsidR="006D67F1" w:rsidRPr="002C224A" w:rsidRDefault="006D67F1" w:rsidP="008074B1">
      <w:pPr>
        <w:pStyle w:val="Odstavecseseznamem1"/>
        <w:numPr>
          <w:ilvl w:val="0"/>
          <w:numId w:val="6"/>
        </w:numPr>
      </w:pPr>
      <w:r w:rsidRPr="002C224A">
        <w:t>Rozšiřování/výstavba sdílené infrastruktury pro průmyslový výzkum</w:t>
      </w:r>
    </w:p>
    <w:p w:rsidR="006D67F1" w:rsidRPr="002C224A" w:rsidRDefault="006D67F1" w:rsidP="008074B1">
      <w:pPr>
        <w:pStyle w:val="Odstavecseseznamem1"/>
        <w:numPr>
          <w:ilvl w:val="0"/>
          <w:numId w:val="6"/>
        </w:numPr>
      </w:pPr>
      <w:r w:rsidRPr="002C224A">
        <w:t>Aktivity vedoucí ke komercializaci výsledků výzkumu pomocí aktivit ověření proveditelnosti („proof-of-concept“)</w:t>
      </w:r>
    </w:p>
    <w:p w:rsidR="006D67F1" w:rsidRPr="002C224A" w:rsidRDefault="006D67F1" w:rsidP="008074B1">
      <w:pPr>
        <w:pStyle w:val="Neslovannadpisy"/>
      </w:pPr>
    </w:p>
    <w:p w:rsidR="006D67F1" w:rsidRPr="002C224A" w:rsidRDefault="006D67F1" w:rsidP="008074B1">
      <w:pPr>
        <w:pStyle w:val="Neslovannadpisy"/>
      </w:pPr>
      <w:r w:rsidRPr="002C224A">
        <w:t xml:space="preserve">Cílová skupina konečných příjemců: </w:t>
      </w:r>
    </w:p>
    <w:p w:rsidR="006D67F1" w:rsidRPr="002C224A" w:rsidRDefault="006D67F1" w:rsidP="008074B1">
      <w:r w:rsidRPr="002C224A">
        <w:t>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p>
    <w:p w:rsidR="006D67F1" w:rsidRPr="002C224A" w:rsidRDefault="006D67F1" w:rsidP="008074B1"/>
    <w:p w:rsidR="006D67F1" w:rsidRPr="002C224A" w:rsidRDefault="006D67F1" w:rsidP="008074B1">
      <w:pPr>
        <w:pStyle w:val="Neslovannadpisy"/>
      </w:pPr>
      <w:r w:rsidRPr="002C224A">
        <w:t xml:space="preserve">Cílové území: </w:t>
      </w:r>
    </w:p>
    <w:p w:rsidR="006D67F1" w:rsidRPr="002C224A" w:rsidRDefault="006D67F1" w:rsidP="00C72C85">
      <w:pPr>
        <w:rPr>
          <w:b/>
        </w:rPr>
      </w:pPr>
      <w:r w:rsidRPr="002C224A">
        <w:t>Území České republiky, mimo území hl. města Prahy.</w:t>
      </w:r>
    </w:p>
    <w:p w:rsidR="006D67F1" w:rsidRPr="002C224A" w:rsidRDefault="006D67F1" w:rsidP="00C72C85">
      <w:pPr>
        <w:rPr>
          <w:b/>
        </w:rPr>
      </w:pPr>
    </w:p>
    <w:p w:rsidR="006D67F1" w:rsidRPr="002C224A" w:rsidRDefault="006D67F1" w:rsidP="008074B1">
      <w:pPr>
        <w:pStyle w:val="Neslovannadpisy"/>
      </w:pPr>
      <w:r w:rsidRPr="002C224A">
        <w:t>Výběr aktivit k posouzení vhodnosti finančního nástroje</w:t>
      </w:r>
    </w:p>
    <w:p w:rsidR="006D67F1" w:rsidRPr="002C224A" w:rsidRDefault="006D67F1" w:rsidP="008074B1">
      <w:r w:rsidRPr="002C224A">
        <w:t>Na základě screeningu a vstupní analýzy byla pro bližší posouzení vybrána zejména aktivita proof-of-concept/pre-seed s ohledem na její cíl komercializace výsledků VaV a propojení s rizikovým kapitálem.</w:t>
      </w:r>
    </w:p>
    <w:p w:rsidR="006D67F1" w:rsidRPr="002C224A" w:rsidRDefault="006D67F1" w:rsidP="008074B1"/>
    <w:p w:rsidR="006D67F1" w:rsidRPr="002C224A" w:rsidRDefault="006D67F1" w:rsidP="008074B1">
      <w:r w:rsidRPr="002C224A">
        <w:t>Aktivity v oblastech infrastruktury, spolupráce a znalostního transferu ve VaVaI nepovažujeme vzhledem k jejich omezenému bezprostředně ziskovému potenciálu, způsobu financování a komerčnímu riziku v současné době za vhodné k širší aplikaci finančních nástrojů.</w:t>
      </w:r>
    </w:p>
    <w:p w:rsidR="006D67F1" w:rsidRPr="002C224A" w:rsidRDefault="006D67F1" w:rsidP="008074B1"/>
    <w:p w:rsidR="006D67F1" w:rsidRPr="002C224A" w:rsidRDefault="006D67F1" w:rsidP="008074B1">
      <w:pPr>
        <w:pStyle w:val="Nadpis3"/>
        <w:rPr>
          <w:rFonts w:ascii="Calibri" w:hAnsi="Calibri"/>
        </w:rPr>
      </w:pPr>
      <w:bookmarkStart w:id="25" w:name="_Toc421534282"/>
      <w:r w:rsidRPr="002C224A">
        <w:rPr>
          <w:rFonts w:ascii="Calibri" w:hAnsi="Calibri"/>
        </w:rPr>
        <w:t>Analýza selhání trhu</w:t>
      </w:r>
      <w:bookmarkEnd w:id="25"/>
    </w:p>
    <w:p w:rsidR="006D67F1" w:rsidRPr="002C224A" w:rsidRDefault="006D67F1" w:rsidP="008074B1">
      <w:pPr>
        <w:pStyle w:val="Nadpis4"/>
        <w:rPr>
          <w:rFonts w:ascii="Calibri" w:hAnsi="Calibri"/>
        </w:rPr>
      </w:pPr>
      <w:r w:rsidRPr="002C224A">
        <w:rPr>
          <w:rFonts w:ascii="Calibri" w:hAnsi="Calibri"/>
        </w:rPr>
        <w:t>Tržní analýza</w:t>
      </w:r>
    </w:p>
    <w:p w:rsidR="006D67F1" w:rsidRPr="00A50943" w:rsidRDefault="006D67F1" w:rsidP="008074B1"/>
    <w:p w:rsidR="006D67F1" w:rsidRPr="002C224A" w:rsidRDefault="006D67F1" w:rsidP="008074B1">
      <w:r w:rsidRPr="002C224A">
        <w:t>Sledovaná oblast komercializace výsledků VaV bude analyzována zejména z pohledu výzkumných organizací (VO). Výzkumná pracoviště v rámci výrobních podniků realizují komercializaci svých výsledků z definice svého podnikání. Tento problém je tedy otázkou především veřejných institucí – vysokých škol, Akademie věd a dalších výzkumných pracovišť ve vládním sektoru.</w:t>
      </w:r>
    </w:p>
    <w:p w:rsidR="006D67F1" w:rsidRPr="002C224A" w:rsidRDefault="006D67F1" w:rsidP="008074B1"/>
    <w:p w:rsidR="006D67F1" w:rsidRDefault="006D67F1" w:rsidP="008074B1">
      <w:r w:rsidRPr="002C224A">
        <w:t>Komercializace výsledků VaV je v podmínkách českých VO stále poměrně okrajovou disciplínou výzkumných aktivit. K jejímu posilování v českém prostředí došlo v rámci některých aktivit v minulém období, zejména podpory vzniku center pro transfer technologií (CTT) při jednotlivých výzkumných pracovištích a organizacích, které se těmto aktivitám mají systematicky věnovat.</w:t>
      </w:r>
      <w:r w:rsidR="00DF63D5" w:rsidRPr="002C224A">
        <w:t xml:space="preserve"> </w:t>
      </w:r>
      <w:r w:rsidRPr="002C224A">
        <w:t xml:space="preserve">Zájem o další rozvoj </w:t>
      </w:r>
      <w:r w:rsidRPr="002C224A">
        <w:lastRenderedPageBreak/>
        <w:t>těchto aktivit je u některých úspěšných pracovišť velký, jak dokládají řízené rozhovory se stakeholdery v této oblasti v rámci zpracovávání předběžného posouzení.</w:t>
      </w:r>
    </w:p>
    <w:p w:rsidR="00440FC2" w:rsidRDefault="00440FC2" w:rsidP="008074B1"/>
    <w:p w:rsidR="00440FC2" w:rsidRPr="002C224A" w:rsidRDefault="00440FC2" w:rsidP="008074B1">
      <w:r w:rsidRPr="00331BB7">
        <w:t>Řada velmi úspěšných endogenních firem byla</w:t>
      </w:r>
      <w:r w:rsidR="003C40F6" w:rsidRPr="00331BB7">
        <w:t xml:space="preserve"> v minulosti</w:t>
      </w:r>
      <w:r w:rsidRPr="00331BB7">
        <w:t xml:space="preserve"> založena lidmi, kteří před zahájením podnikání působili v podnikovém či akademickém výzkumu. Případně jsou tito lidé jejich spoluzakladateli. Příkladem mohou být firmy jako Tescan, Contipro, Ella CS atd. zaměstnávající </w:t>
      </w:r>
      <w:smartTag w:uri="urn:schemas-microsoft-com:office:smarttags" w:element="metricconverter">
        <w:smartTagPr>
          <w:attr w:name="ProductID" w:val="100 a"/>
        </w:smartTagPr>
        <w:r w:rsidRPr="00331BB7">
          <w:t>100 a</w:t>
        </w:r>
      </w:smartTag>
      <w:r w:rsidRPr="00331BB7">
        <w:t xml:space="preserve"> více lidí, schopné se prosadit na trzích po celém světě</w:t>
      </w:r>
      <w:r w:rsidRPr="00331BB7">
        <w:rPr>
          <w:rStyle w:val="Znakapoznpodarou"/>
        </w:rPr>
        <w:footnoteReference w:id="21"/>
      </w:r>
      <w:r w:rsidRPr="00331BB7">
        <w:t>. Úspěch uvedených a dalších firem dokládá hospodářský potenciál spočívající v komercializaci výsledků výzkumu prostřednictvím zakládání nových firem</w:t>
      </w:r>
      <w:r w:rsidR="00DC2A15">
        <w:t>, který však v současnosti není příliš naplněn</w:t>
      </w:r>
      <w:r w:rsidRPr="00331BB7">
        <w:t>.</w:t>
      </w:r>
    </w:p>
    <w:p w:rsidR="006D67F1" w:rsidRPr="002C224A" w:rsidRDefault="006D67F1" w:rsidP="008074B1"/>
    <w:p w:rsidR="006D67F1" w:rsidRPr="002C224A" w:rsidRDefault="006D67F1" w:rsidP="008074B1">
      <w:pPr>
        <w:pStyle w:val="Neslovannadpisy"/>
      </w:pPr>
      <w:r w:rsidRPr="002C224A">
        <w:t>Soukromé a veřejné zdroje financování</w:t>
      </w:r>
    </w:p>
    <w:p w:rsidR="006D67F1" w:rsidRPr="002C224A" w:rsidRDefault="006D67F1" w:rsidP="008074B1">
      <w:r w:rsidRPr="002C224A">
        <w:t>Výdaje na VaV prochází v ČR poměrně dynamickým vývojem díky prostředkům ze strukturálních fondů EU v minulém období. Výdaje na VaV ve vysokoškolském sektoru se podle ČSÚ od roku 2010 zdvojnásobily na 21 mld. Kč v roce 2013, ve vládním sektoru rostou výrazně nižším tempem, ve srovnání s rokem 2008 zde však bylo v roce 2013 vydáno o 3 mld. Kč více, celkem 14 mld. Kč</w:t>
      </w:r>
      <w:r w:rsidRPr="002C224A">
        <w:rPr>
          <w:rStyle w:val="Znakapoznpodarou"/>
          <w:rFonts w:ascii="Calibri" w:hAnsi="Calibri"/>
        </w:rPr>
        <w:footnoteReference w:id="22"/>
      </w:r>
      <w:r w:rsidRPr="00A50943">
        <w:t>.</w:t>
      </w:r>
      <w:r w:rsidR="00A34D3C">
        <w:t xml:space="preserve"> </w:t>
      </w:r>
      <w:r w:rsidRPr="002C224A">
        <w:t>Růst těchto prostředků vytváří určitý potenciál k vyšším výsledkům VaV, které by byly uplatnitelné v praxi, byť zde nelze očekávat žádnou přímou úměru – zejména u základního výzkumu a v oblasti společenských věd.</w:t>
      </w:r>
    </w:p>
    <w:p w:rsidR="006D67F1" w:rsidRPr="002C224A" w:rsidRDefault="006D67F1" w:rsidP="008074B1"/>
    <w:p w:rsidR="006D67F1" w:rsidRPr="002C224A" w:rsidRDefault="006D67F1" w:rsidP="008074B1">
      <w:r w:rsidRPr="002C224A">
        <w:t>Na podporu komercializačních aktivit šlo v minulém období vzhledem k jejich omezenému rozsahu řádově méně peněz než je udávaný celkový rozpočet VaV aktivit. Pomineme-li podporu zakládání institucionální infrastruktury (Centra transferu a technologií apod.), byly na tyto aktivity zaměřeny dva programy Ministerstva školství, mládeže a tělovýchovy (MŠMT), resp.</w:t>
      </w:r>
      <w:r w:rsidR="00DF63D5" w:rsidRPr="002C224A">
        <w:t xml:space="preserve"> </w:t>
      </w:r>
      <w:r w:rsidRPr="002C224A">
        <w:t>Technologické agentury ČR</w:t>
      </w:r>
      <w:r w:rsidR="00114587" w:rsidRPr="002C224A">
        <w:t xml:space="preserve"> </w:t>
      </w:r>
      <w:r w:rsidRPr="002C224A">
        <w:t>(TAČR).</w:t>
      </w:r>
    </w:p>
    <w:p w:rsidR="006D67F1" w:rsidRPr="002C224A" w:rsidRDefault="006D67F1" w:rsidP="008074B1"/>
    <w:p w:rsidR="006D67F1" w:rsidRPr="002C224A" w:rsidRDefault="006D67F1" w:rsidP="008074B1">
      <w:r w:rsidRPr="002C224A">
        <w:rPr>
          <w:b/>
        </w:rPr>
        <w:t xml:space="preserve">MŠMT Pre-seed – výzvy </w:t>
      </w:r>
      <w:smartTag w:uri="urn:schemas-microsoft-com:office:smarttags" w:element="metricconverter">
        <w:smartTagPr>
          <w:attr w:name="ProductID" w:val="6.3 a"/>
        </w:smartTagPr>
        <w:r w:rsidRPr="002C224A">
          <w:rPr>
            <w:b/>
          </w:rPr>
          <w:t>6.3 a</w:t>
        </w:r>
      </w:smartTag>
      <w:r w:rsidRPr="002C224A">
        <w:rPr>
          <w:b/>
        </w:rPr>
        <w:t xml:space="preserve"> 7.3 OP VaVpI</w:t>
      </w:r>
      <w:r w:rsidR="00DF63D5" w:rsidRPr="002C224A">
        <w:rPr>
          <w:b/>
        </w:rPr>
        <w:t xml:space="preserve"> </w:t>
      </w:r>
      <w:r w:rsidRPr="002C224A">
        <w:t>– V rámci těchto výzev byly podpořeny konkrétní projekty v oblasti Proof-of-concept (POC) a fázi přípravy komercializace. Z OP VaVpI mohlo být financováno maximálně 50 % úspěšných aktivit po fázi Proof</w:t>
      </w:r>
      <w:r w:rsidR="0021034B" w:rsidRPr="002C224A">
        <w:t xml:space="preserve">- </w:t>
      </w:r>
      <w:r w:rsidRPr="002C224A">
        <w:t>of</w:t>
      </w:r>
      <w:r w:rsidR="0021034B" w:rsidRPr="002C224A">
        <w:t xml:space="preserve"> -</w:t>
      </w:r>
      <w:r w:rsidRPr="002C224A">
        <w:t>Concept, počítáno z objemu způsobilých finančních prostředků plánovaných pro jednotlivé aktivity pro fázi Přípravy komercializace.</w:t>
      </w:r>
      <w:r w:rsidR="00DF63D5" w:rsidRPr="002C224A">
        <w:t xml:space="preserve"> </w:t>
      </w:r>
      <w:r w:rsidRPr="002C224A">
        <w:t xml:space="preserve">Dotačně podpořeny byly projekty vysokých škol a výzkumných organizací. </w:t>
      </w:r>
      <w:r w:rsidRPr="002C224A">
        <w:rPr>
          <w:b/>
        </w:rPr>
        <w:t xml:space="preserve">Celková alokace v těchto výzvách za roky 2012-2013 byla </w:t>
      </w:r>
      <w:smartTag w:uri="urn:schemas-microsoft-com:office:smarttags" w:element="metricconverter">
        <w:smartTagPr>
          <w:attr w:name="ProductID" w:val="980 mil"/>
        </w:smartTagPr>
        <w:r w:rsidRPr="002C224A">
          <w:rPr>
            <w:b/>
          </w:rPr>
          <w:t>980 mil</w:t>
        </w:r>
      </w:smartTag>
      <w:r w:rsidRPr="002C224A">
        <w:rPr>
          <w:b/>
        </w:rPr>
        <w:t>. Kč</w:t>
      </w:r>
      <w:r w:rsidRPr="002C224A">
        <w:t>. Poptávka po podpoře výrazně převyšovala nabídku, viz statistiky obou výzev. Tyto aktivity nebudou mír v rámci nového operačního programu MŠMT přímé pokračování.</w:t>
      </w:r>
    </w:p>
    <w:p w:rsidR="006D67F1" w:rsidRPr="002C224A" w:rsidRDefault="006D67F1" w:rsidP="008074B1"/>
    <w:p w:rsidR="003B6DE3" w:rsidRPr="002C224A" w:rsidRDefault="003B6DE3" w:rsidP="003B6DE3">
      <w:pPr>
        <w:rPr>
          <w:color w:val="000000"/>
          <w:szCs w:val="22"/>
        </w:rPr>
      </w:pPr>
      <w:r w:rsidRPr="002C224A">
        <w:rPr>
          <w:b/>
        </w:rPr>
        <w:t>V rámci výzvy 6.3 bylo zaregistrováno 29 projektových žádostí s celkovou požadovanou výší dotace 1 271 294 374 Kč</w:t>
      </w:r>
      <w:r w:rsidRPr="002C224A">
        <w:t xml:space="preserve">. Procesem hodnocení do fáze realizace postoupilo 9 projektů. Alokace výzvy 6.3 byla </w:t>
      </w:r>
      <w:smartTag w:uri="urn:schemas-microsoft-com:office:smarttags" w:element="metricconverter">
        <w:smartTagPr>
          <w:attr w:name="ProductID" w:val="380 mil"/>
        </w:smartTagPr>
        <w:r w:rsidRPr="002C224A">
          <w:t>380 mil</w:t>
        </w:r>
      </w:smartTag>
      <w:r w:rsidRPr="002C224A">
        <w:t xml:space="preserve">. Kč. </w:t>
      </w:r>
      <w:r w:rsidRPr="002C224A">
        <w:rPr>
          <w:color w:val="000000"/>
          <w:szCs w:val="22"/>
        </w:rPr>
        <w:t xml:space="preserve">Výše způsobilých nákladů jednotlivých projektových žádostí se pohybovala mezi </w:t>
      </w:r>
      <w:smartTag w:uri="urn:schemas-microsoft-com:office:smarttags" w:element="metricconverter">
        <w:smartTagPr>
          <w:attr w:name="ProductID" w:val="6 405 136 a"/>
        </w:smartTagPr>
        <w:r w:rsidRPr="002C224A">
          <w:rPr>
            <w:color w:val="000000"/>
            <w:szCs w:val="22"/>
          </w:rPr>
          <w:t>6 405 136 a</w:t>
        </w:r>
      </w:smartTag>
      <w:r w:rsidRPr="002C224A">
        <w:rPr>
          <w:color w:val="000000"/>
          <w:szCs w:val="22"/>
        </w:rPr>
        <w:t xml:space="preserve"> 59 932</w:t>
      </w:r>
      <w:r w:rsidR="003747EA">
        <w:rPr>
          <w:color w:val="000000"/>
          <w:szCs w:val="22"/>
        </w:rPr>
        <w:t> </w:t>
      </w:r>
      <w:r w:rsidRPr="002C224A">
        <w:rPr>
          <w:color w:val="000000"/>
          <w:szCs w:val="22"/>
        </w:rPr>
        <w:t>593</w:t>
      </w:r>
      <w:r w:rsidR="003747EA">
        <w:rPr>
          <w:color w:val="000000"/>
          <w:szCs w:val="22"/>
        </w:rPr>
        <w:t xml:space="preserve"> Kč</w:t>
      </w:r>
      <w:r w:rsidRPr="002C224A">
        <w:rPr>
          <w:color w:val="000000"/>
          <w:szCs w:val="22"/>
        </w:rPr>
        <w:t>. Průměrná výše způsobilých výdajů na projekt byla 43 837 737 Kč. Výše způsobilých nákladů jednotlivých projektů v realizaci se pohybovala mezi 15 327432 a 41047 533 Kč. Průměrná výše způsobilých výdajů na projekt byla 30 588 215 Kč.</w:t>
      </w:r>
    </w:p>
    <w:p w:rsidR="003B6DE3" w:rsidRPr="002C224A" w:rsidRDefault="003B6DE3" w:rsidP="003B6DE3">
      <w:pPr>
        <w:rPr>
          <w:color w:val="000000"/>
          <w:szCs w:val="22"/>
        </w:rPr>
      </w:pPr>
    </w:p>
    <w:p w:rsidR="003B6DE3" w:rsidRPr="002C224A" w:rsidRDefault="003B6DE3" w:rsidP="003B6DE3">
      <w:r w:rsidRPr="002C224A">
        <w:rPr>
          <w:b/>
          <w:color w:val="000000"/>
          <w:szCs w:val="22"/>
        </w:rPr>
        <w:t xml:space="preserve">V rámci výzvy 7.3 bylo zaregistrováno 36 projektových žádostí </w:t>
      </w:r>
      <w:r w:rsidRPr="002C224A">
        <w:rPr>
          <w:b/>
        </w:rPr>
        <w:t>s celkovou požadovanou výší dotace 1 349 361 895 Kč.</w:t>
      </w:r>
      <w:r w:rsidRPr="002C224A">
        <w:t xml:space="preserve"> Procesem hodnocení do fáze realizace postoupilo 22 projektů. </w:t>
      </w:r>
      <w:r w:rsidRPr="002C224A">
        <w:rPr>
          <w:color w:val="000000"/>
          <w:szCs w:val="22"/>
        </w:rPr>
        <w:t xml:space="preserve">Alokace výzvy 7.3 byla </w:t>
      </w:r>
      <w:smartTag w:uri="urn:schemas-microsoft-com:office:smarttags" w:element="metricconverter">
        <w:smartTagPr>
          <w:attr w:name="ProductID" w:val="600 mil"/>
        </w:smartTagPr>
        <w:r w:rsidRPr="002C224A">
          <w:rPr>
            <w:color w:val="000000"/>
            <w:szCs w:val="22"/>
          </w:rPr>
          <w:t>600 mil</w:t>
        </w:r>
      </w:smartTag>
      <w:r w:rsidRPr="002C224A">
        <w:rPr>
          <w:color w:val="000000"/>
          <w:szCs w:val="22"/>
        </w:rPr>
        <w:t xml:space="preserve">. Kč. Procesem hodnocení úspěšně prošly žádosti ve finanční výši 829 478 782 Kč.  Po redukci výše způsobilých výdajů pro fázi Příprava komercializace byla celková částka finančních prostředků připadající na způsobilé výdaje za schválených 22 projektů ve výši 562 391 722 Kč.  Výše způsobilých nákladů jednotlivých projektových žádostí se pohybovala mezi </w:t>
      </w:r>
      <w:smartTag w:uri="urn:schemas-microsoft-com:office:smarttags" w:element="metricconverter">
        <w:smartTagPr>
          <w:attr w:name="ProductID" w:val="8ﾠ093 060 a"/>
        </w:smartTagPr>
        <w:r w:rsidRPr="002C224A">
          <w:rPr>
            <w:color w:val="000000"/>
            <w:szCs w:val="22"/>
          </w:rPr>
          <w:t>8 093 060 a</w:t>
        </w:r>
      </w:smartTag>
      <w:r w:rsidRPr="002C224A">
        <w:rPr>
          <w:color w:val="000000"/>
          <w:szCs w:val="22"/>
        </w:rPr>
        <w:t xml:space="preserve"> 49 992 831 Kč. Průměrná výše způsobilých výdajů na projekt byla 37 482 274 Kč.</w:t>
      </w:r>
    </w:p>
    <w:p w:rsidR="006D67F1" w:rsidRPr="002C224A" w:rsidRDefault="006D67F1" w:rsidP="008074B1"/>
    <w:p w:rsidR="006D67F1" w:rsidRPr="002C224A" w:rsidRDefault="006D67F1" w:rsidP="008074B1">
      <w:r w:rsidRPr="002C224A">
        <w:rPr>
          <w:b/>
        </w:rPr>
        <w:lastRenderedPageBreak/>
        <w:t>TAČR GAMA</w:t>
      </w:r>
      <w:r w:rsidR="00114587" w:rsidRPr="002C224A">
        <w:rPr>
          <w:b/>
        </w:rPr>
        <w:t xml:space="preserve"> </w:t>
      </w:r>
      <w:r w:rsidRPr="002C224A">
        <w:t>–</w:t>
      </w:r>
      <w:r w:rsidR="00114587" w:rsidRPr="002C224A">
        <w:t xml:space="preserve"> </w:t>
      </w:r>
      <w:r w:rsidRPr="002C224A">
        <w:t>Národní program TAČR je zaměřen na podporu ověření výsledků výzkumu a vývoje z hlediska jejich praktického uplatnění a na přípravu jejich následného komerčního využití. Podpora v první veřejné soutěži byla poskytnutá na bázi výběru výzkumných institucí, nikoli konkrétních projektů. Výzkumné instituce byly vybrány na základě nastavení jejich vnitřních hodnotících procesů (ustavení rad pro komercializaci) s následnou svobodou alokace přidělené podpory na vnitřní projekty. Tímto způsobem mělo být především přispěno k nastavení institucionálního prostředí pro komercializační aktivity.</w:t>
      </w:r>
    </w:p>
    <w:p w:rsidR="006D67F1" w:rsidRPr="002C224A" w:rsidRDefault="006D67F1" w:rsidP="008074B1"/>
    <w:p w:rsidR="006D67F1" w:rsidRPr="002C224A" w:rsidRDefault="006D67F1" w:rsidP="008074B1">
      <w:r w:rsidRPr="002C224A">
        <w:t xml:space="preserve">Program GAMA byl spuštěn v roce 2013, zatím proběhla první veřejná soutěž pro výzkumné instituce. Celková alokace pro roky 2014-2019 </w:t>
      </w:r>
      <w:smartTag w:uri="urn:schemas-microsoft-com:office:smarttags" w:element="metricconverter">
        <w:smartTagPr>
          <w:attr w:name="ProductID" w:val="2 770 mil"/>
        </w:smartTagPr>
        <w:r w:rsidRPr="002C224A">
          <w:t>2 770 mil</w:t>
        </w:r>
      </w:smartTag>
      <w:r w:rsidRPr="002C224A">
        <w:t xml:space="preserve">. Kč. </w:t>
      </w:r>
      <w:r w:rsidRPr="002C224A">
        <w:rPr>
          <w:b/>
        </w:rPr>
        <w:t xml:space="preserve">V první veřejné soutěži bylo podpořeno 10 projektů výzkumných institucí z 31 podaných o úhrnné výši dotace </w:t>
      </w:r>
      <w:smartTag w:uri="urn:schemas-microsoft-com:office:smarttags" w:element="metricconverter">
        <w:smartTagPr>
          <w:attr w:name="ProductID" w:val="194 mil"/>
        </w:smartTagPr>
        <w:r w:rsidRPr="002C224A">
          <w:rPr>
            <w:b/>
          </w:rPr>
          <w:t>194 mil</w:t>
        </w:r>
      </w:smartTag>
      <w:r w:rsidRPr="002C224A">
        <w:rPr>
          <w:b/>
        </w:rPr>
        <w:t>. Kč</w:t>
      </w:r>
      <w:r w:rsidRPr="002C224A">
        <w:t xml:space="preserve"> (v průměru </w:t>
      </w:r>
      <w:smartTag w:uri="urn:schemas-microsoft-com:office:smarttags" w:element="metricconverter">
        <w:smartTagPr>
          <w:attr w:name="ProductID" w:val="19,4 mil"/>
        </w:smartTagPr>
        <w:r w:rsidRPr="002C224A">
          <w:t>19,4 mil</w:t>
        </w:r>
      </w:smartTag>
      <w:r w:rsidRPr="002C224A">
        <w:t xml:space="preserve">. Kč na projekt při maximální výši </w:t>
      </w:r>
      <w:smartTag w:uri="urn:schemas-microsoft-com:office:smarttags" w:element="metricconverter">
        <w:smartTagPr>
          <w:attr w:name="ProductID" w:val="21 mil"/>
        </w:smartTagPr>
        <w:r w:rsidRPr="002C224A">
          <w:t>21 mil</w:t>
        </w:r>
      </w:smartTag>
      <w:r w:rsidRPr="002C224A">
        <w:t>. Kč). Z 21 nepodpořených projektů bylo 6 doporučeno, avšak odmítnuto z důvodu nedostatku disponibilních prostředků.</w:t>
      </w:r>
    </w:p>
    <w:p w:rsidR="006D67F1" w:rsidRPr="002C224A" w:rsidRDefault="006D67F1" w:rsidP="008074B1"/>
    <w:p w:rsidR="006D67F1" w:rsidRPr="002C224A" w:rsidRDefault="006D67F1" w:rsidP="008074B1">
      <w:r w:rsidRPr="002C224A">
        <w:t>Soukromé financování v této oblasti nehraje v ČR větší úlohu. Podniky se zaměřují na výzkumné aktivity ve své režii. Existuje poměrně slabá poptávka po výsledcích VaV veřejného sektoru ve formě nehmotného vlastnictví. Z výdajů vynaložených na veřejných vysokých školách byla pouhá 2 % (</w:t>
      </w:r>
      <w:smartTag w:uri="urn:schemas-microsoft-com:office:smarttags" w:element="metricconverter">
        <w:smartTagPr>
          <w:attr w:name="ProductID" w:val="400 mil"/>
        </w:smartTagPr>
        <w:r w:rsidRPr="002C224A">
          <w:t>400 mil</w:t>
        </w:r>
      </w:smartTag>
      <w:r w:rsidRPr="002C224A">
        <w:t>.</w:t>
      </w:r>
      <w:r w:rsidR="00EB0E92">
        <w:t xml:space="preserve"> Kč</w:t>
      </w:r>
      <w:r w:rsidRPr="002C224A">
        <w:t>) financována ze soukromých zdrojů. Pro oblast komercializace je důležitý také rizikový kapitál určený pro rozvoj spin-off společností. V této oblasti je však aktivita soukromých investorů v ČR velmi slabá (viz tržní selhání SC 2.1)</w:t>
      </w:r>
    </w:p>
    <w:p w:rsidR="006D67F1" w:rsidRPr="002C224A" w:rsidRDefault="006D67F1" w:rsidP="008074B1">
      <w:pPr>
        <w:pStyle w:val="Neslovannadpisy"/>
      </w:pPr>
    </w:p>
    <w:p w:rsidR="006D67F1" w:rsidRPr="002C224A" w:rsidRDefault="006D67F1" w:rsidP="008074B1">
      <w:r w:rsidRPr="002C224A">
        <w:t xml:space="preserve">Rozsah komercializovatelných projektů a poptávku po pre-seed financování lze částečně odvozovat i od výsledků výzkumné aktivity v podobě požadovaných a přiznaných patentů a užitných vzorů – byť se jedná jen o jeden z možných výstupů a samotná podpora ochrany duševního vlastnictví není předmětem SC 1.2. Výstupy veřejného výzkumu v podobě udělených patentů zaznamenaly v posledních letech poměrně rychlý nárůst. Zatímco ještě v roce 2008 bylo vysokým školám a veřejným výzkumným institucím uděleno nebo validováno Úřadem průmyslového vlastnictví ČR jen 47 patentů pro území ČR, v roce 2011 to již bylo 144 udělených patentů a v roce 2012 dokonce 190. </w:t>
      </w:r>
      <w:r w:rsidRPr="002C224A">
        <w:rPr>
          <w:b/>
        </w:rPr>
        <w:t>Enormně rychle rostly patenty udělené pro ČR vysokým školám, konkrétně z 19 v roce 2008 na 142 v roce 2012</w:t>
      </w:r>
      <w:r w:rsidRPr="002C224A">
        <w:t>. Nutno</w:t>
      </w:r>
      <w:r w:rsidR="00A34D3C">
        <w:t xml:space="preserve"> však</w:t>
      </w:r>
      <w:r w:rsidRPr="002C224A">
        <w:t xml:space="preserve"> říci, že nárůst patentní aktivity ve veřejném výzkumu v posledních letech je především důsledkem současně platné metodiky hodnocení výsledků vědy a výzkumu. Reálné komercializační příležitosti jsou až druhotnou záležitostí.</w:t>
      </w:r>
      <w:r w:rsidR="00A34D3C">
        <w:t xml:space="preserve"> Vysoký nárůst je tedy částečně zkreslující a neodpovídá mu následné využívání chráněného duševního vlastnictví.</w:t>
      </w:r>
    </w:p>
    <w:p w:rsidR="006D67F1" w:rsidRPr="002C224A" w:rsidRDefault="006D67F1" w:rsidP="008074B1"/>
    <w:p w:rsidR="006D67F1" w:rsidRPr="002C224A" w:rsidRDefault="006D67F1" w:rsidP="008074B1">
      <w:r w:rsidRPr="002C224A">
        <w:t>Stále zaostává patentová aktivita českých subjektů v zahraničí a na evropské úrovni, která je podmínkou pro komercializaci na mezinárodní úrovni. Žebříček Innovation Union Scoreboard udává, že ČR je v tomto ohledu na 42 % průměru EU. Zatímco v EU bylo v roce 2012 podáno v průměru 129 přihlášek vynálezů u Evropského patentového úřadu na jeden milion obyvatel</w:t>
      </w:r>
      <w:r w:rsidR="00114587" w:rsidRPr="002C224A">
        <w:t xml:space="preserve">, </w:t>
      </w:r>
      <w:r w:rsidRPr="002C224A">
        <w:t xml:space="preserve">v ČR to bylo pouze 13 přihlášek. </w:t>
      </w:r>
    </w:p>
    <w:p w:rsidR="006D67F1" w:rsidRPr="002C224A" w:rsidRDefault="006D67F1" w:rsidP="00F94BE6">
      <w:pPr>
        <w:pStyle w:val="Nadpis4"/>
        <w:rPr>
          <w:rFonts w:ascii="Calibri" w:hAnsi="Calibri"/>
        </w:rPr>
      </w:pPr>
      <w:r w:rsidRPr="002C224A">
        <w:rPr>
          <w:rFonts w:ascii="Calibri" w:hAnsi="Calibri"/>
        </w:rPr>
        <w:t>Odhad absorpční kapacity veřejné podpory a finančního nástroje</w:t>
      </w:r>
    </w:p>
    <w:p w:rsidR="0026202F" w:rsidRPr="002C224A" w:rsidRDefault="003B6DE3" w:rsidP="003B6DE3">
      <w:r w:rsidRPr="00A50943">
        <w:t xml:space="preserve">Rozhovory vedené v rámci zpracování </w:t>
      </w:r>
      <w:r w:rsidR="00D60762" w:rsidRPr="002C224A">
        <w:t>p</w:t>
      </w:r>
      <w:r w:rsidRPr="002C224A">
        <w:t>ředběžného posouzení se zástupci VO a profesních asociací ukazují poptávku minimálně části komercializačních pracovišť veřejných VO po nových zdrojích financování, které by byly odlišné od stávajících dotací a více by vyhovovaly flexibilním potřebám projektů. Přerozdělování finančních prostředků v rámci VO a výsledný nedostatek prostředků na komercializaci a fungování zřízených infrastruktur (CTT)</w:t>
      </w:r>
      <w:r w:rsidRPr="002C224A">
        <w:rPr>
          <w:rStyle w:val="Znakapoznpodarou"/>
          <w:rFonts w:ascii="Calibri" w:hAnsi="Calibri"/>
        </w:rPr>
        <w:footnoteReference w:id="23"/>
      </w:r>
      <w:r w:rsidRPr="00A50943">
        <w:t xml:space="preserve"> vytváří </w:t>
      </w:r>
      <w:r w:rsidR="00D60762" w:rsidRPr="002C224A">
        <w:t xml:space="preserve">v novém programovacím období </w:t>
      </w:r>
      <w:r w:rsidR="0026202F" w:rsidRPr="002C224A">
        <w:t xml:space="preserve">vysokou </w:t>
      </w:r>
      <w:r w:rsidRPr="002C224A">
        <w:t xml:space="preserve">poptávku po dodatečných zdrojích určených specificky na projekty </w:t>
      </w:r>
      <w:r w:rsidR="00D60762" w:rsidRPr="002C224A">
        <w:t>komercializačních ak</w:t>
      </w:r>
      <w:r w:rsidRPr="002C224A">
        <w:t>tivit</w:t>
      </w:r>
      <w:r w:rsidR="0026202F" w:rsidRPr="002C224A">
        <w:t xml:space="preserve"> – na kterých bude udržitelnost nových infrastruktur závislá</w:t>
      </w:r>
      <w:r w:rsidRPr="002C224A">
        <w:t xml:space="preserve">. </w:t>
      </w:r>
    </w:p>
    <w:p w:rsidR="0026202F" w:rsidRPr="002C224A" w:rsidRDefault="0026202F" w:rsidP="003B6DE3"/>
    <w:p w:rsidR="003B6DE3" w:rsidRPr="002C224A" w:rsidRDefault="003B6DE3" w:rsidP="003B6DE3">
      <w:r w:rsidRPr="002C224A">
        <w:lastRenderedPageBreak/>
        <w:t>S ohledem na pozitivní reakce</w:t>
      </w:r>
      <w:r w:rsidR="00294351" w:rsidRPr="002C224A">
        <w:t xml:space="preserve"> všech oslovených</w:t>
      </w:r>
      <w:r w:rsidRPr="002C224A">
        <w:t xml:space="preserve"> stakeholderů na rámcový návrh FN v oblasti pre-seed odhadujeme, že zájem v první fázi bude více než dostatečný pro realizování pilotního projektu Pre-seed fondu OP PIK</w:t>
      </w:r>
      <w:r w:rsidR="0026202F" w:rsidRPr="002C224A">
        <w:t xml:space="preserve"> v navrhované alokaci</w:t>
      </w:r>
      <w:r w:rsidRPr="002C224A">
        <w:t>. Po vytvoření fungující spolupráce a realizaci prvních úspěšných projektů lze očekávat plošný zájem ze strany veřejných VO. Poptávku po financování tohoto druhu projektů dokládá též vysoký počet neuspokojených žádostí v programech GAMA a pre-seed OP VaVpI.</w:t>
      </w:r>
    </w:p>
    <w:p w:rsidR="003B6DE3" w:rsidRPr="002C224A" w:rsidRDefault="003B6DE3" w:rsidP="003B6DE3"/>
    <w:p w:rsidR="003B6DE3" w:rsidRPr="002C224A" w:rsidRDefault="003B6DE3" w:rsidP="003B6DE3">
      <w:pPr>
        <w:rPr>
          <w:b/>
          <w:bCs/>
          <w:i/>
          <w:iCs/>
        </w:rPr>
      </w:pPr>
      <w:r w:rsidRPr="002C224A">
        <w:t xml:space="preserve">Absorpční odhad pro proof-of-concept/pre-seed je jen obtížně kvantifikovatelný. </w:t>
      </w:r>
      <w:r w:rsidRPr="002C224A">
        <w:rPr>
          <w:b/>
        </w:rPr>
        <w:t>Poptávka po zdrojích v pre-seed OP VaVpI činila v obou výzvách 2,6 mld. Kč</w:t>
      </w:r>
      <w:r w:rsidR="0026202F" w:rsidRPr="002C224A">
        <w:rPr>
          <w:b/>
        </w:rPr>
        <w:t>, tuto hodnotu lze brát jako referenční základ i pro POC v OP PIK</w:t>
      </w:r>
      <w:r w:rsidRPr="00A50943">
        <w:t>. Očekáváme však</w:t>
      </w:r>
      <w:r w:rsidRPr="002C224A">
        <w:t>, že z výše uvedených důvodů může být v novém období absorpční kapacita pro navrhovaný FN ještě znatelně vyšší</w:t>
      </w:r>
      <w:r w:rsidR="0016565F" w:rsidRPr="002C224A">
        <w:t xml:space="preserve">, v rozmezí </w:t>
      </w:r>
      <w:r w:rsidR="0016565F" w:rsidRPr="002C224A">
        <w:rPr>
          <w:b/>
        </w:rPr>
        <w:t>2,5-4 mld</w:t>
      </w:r>
      <w:r w:rsidRPr="002C224A">
        <w:rPr>
          <w:b/>
        </w:rPr>
        <w:t>.</w:t>
      </w:r>
      <w:r w:rsidR="0016565F" w:rsidRPr="002C224A">
        <w:rPr>
          <w:b/>
        </w:rPr>
        <w:t xml:space="preserve"> Kč</w:t>
      </w:r>
      <w:r w:rsidR="0016565F" w:rsidRPr="00A50943">
        <w:t>.</w:t>
      </w:r>
      <w:r w:rsidR="00804204" w:rsidRPr="002C224A">
        <w:t xml:space="preserve"> Kritickou podmínkou pro úspěch bude</w:t>
      </w:r>
      <w:r w:rsidR="007422B2" w:rsidRPr="002C224A">
        <w:t xml:space="preserve"> nicméně i</w:t>
      </w:r>
      <w:r w:rsidR="00804204" w:rsidRPr="002C224A">
        <w:t xml:space="preserve"> dostatečná kvalita a výběrovost projektů.</w:t>
      </w:r>
    </w:p>
    <w:p w:rsidR="006D67F1" w:rsidRPr="002C224A" w:rsidRDefault="006D67F1" w:rsidP="008074B1">
      <w:pPr>
        <w:pStyle w:val="Nadpis4"/>
        <w:rPr>
          <w:rFonts w:ascii="Calibri" w:hAnsi="Calibri"/>
        </w:rPr>
      </w:pPr>
      <w:r w:rsidRPr="002C224A">
        <w:rPr>
          <w:rFonts w:ascii="Calibri" w:hAnsi="Calibri"/>
        </w:rPr>
        <w:t>Identifikace selhání trhu a suboptimálních investičních situací</w:t>
      </w:r>
    </w:p>
    <w:p w:rsidR="006D67F1" w:rsidRPr="00A50943" w:rsidRDefault="006D67F1" w:rsidP="008074B1"/>
    <w:p w:rsidR="006D67F1" w:rsidRPr="002C224A" w:rsidRDefault="006D67F1" w:rsidP="008074B1">
      <w:r w:rsidRPr="002C224A">
        <w:t xml:space="preserve">V oblasti komercializace výsledků VaV vysokých škol a veřejných VO pozorujeme </w:t>
      </w:r>
      <w:r w:rsidRPr="002C224A">
        <w:rPr>
          <w:b/>
        </w:rPr>
        <w:t>výrazné tržní selhání ve fázi pre-seed/proof-of-concept</w:t>
      </w:r>
      <w:r w:rsidRPr="002C224A">
        <w:t xml:space="preserve"> – tedy v momentě, kdy mají být prakticky hotové výsledky VaV převedeny do funkčních prototypů, má být ověřena jejich komercializovatelnost, resp.</w:t>
      </w:r>
      <w:r w:rsidR="00114587" w:rsidRPr="002C224A">
        <w:t xml:space="preserve"> </w:t>
      </w:r>
      <w:r w:rsidRPr="002C224A">
        <w:t>komerční využití na trhu a přistupuje se k samotnému vytvoření a realizování plánu komerčního využití, přípravy pro investora, založení spin-off, potažmo odprodeji licence apod.</w:t>
      </w:r>
    </w:p>
    <w:p w:rsidR="006D67F1" w:rsidRPr="002C224A" w:rsidRDefault="006D67F1" w:rsidP="008074B1"/>
    <w:p w:rsidR="006D67F1" w:rsidRPr="002C224A" w:rsidRDefault="006D67F1" w:rsidP="008074B1">
      <w:r w:rsidRPr="002C224A">
        <w:t xml:space="preserve">Tato fáze je extrémně důležitá, protože </w:t>
      </w:r>
      <w:r w:rsidRPr="002C224A">
        <w:rPr>
          <w:b/>
        </w:rPr>
        <w:t>přemosťuje výsledky VaV na veřejných institucích a využití na komerčním trhu, jež přináší finanční výsledky</w:t>
      </w:r>
      <w:r w:rsidRPr="002C224A">
        <w:t>. Právě v tomto ohledu se dopos</w:t>
      </w:r>
      <w:r w:rsidR="007F31E3" w:rsidRPr="002C224A">
        <w:t>u</w:t>
      </w:r>
      <w:r w:rsidRPr="002C224A">
        <w:t>d příliš nedařilo nadějné výsledky VaV dotahovat do konce, mimo rámec klasického zaměření VO.</w:t>
      </w:r>
      <w:r w:rsidR="007F31E3" w:rsidRPr="002C224A">
        <w:t xml:space="preserve"> </w:t>
      </w:r>
      <w:r w:rsidRPr="002C224A">
        <w:t xml:space="preserve">V současné době </w:t>
      </w:r>
      <w:r w:rsidR="001C4E7C">
        <w:t>můžeme pozorovat</w:t>
      </w:r>
      <w:r w:rsidRPr="002C224A">
        <w:t xml:space="preserve"> zvýšen</w:t>
      </w:r>
      <w:r w:rsidR="001C4E7C">
        <w:t>ou</w:t>
      </w:r>
      <w:r w:rsidRPr="002C224A">
        <w:t xml:space="preserve"> aktivit</w:t>
      </w:r>
      <w:r w:rsidR="001C4E7C">
        <w:t>u</w:t>
      </w:r>
      <w:r w:rsidRPr="002C224A">
        <w:t xml:space="preserve"> některých pracovišť v tomto směru, i v návaznosti na fungování CTT a některé programy podpory, často však stojí na aktivitě individuálních jedinců. </w:t>
      </w:r>
      <w:r w:rsidR="001C4E7C">
        <w:t>Přes nedávný pozitivní vývoji je celkově r</w:t>
      </w:r>
      <w:r w:rsidRPr="002C224A">
        <w:t>ealizace</w:t>
      </w:r>
      <w:r w:rsidR="001C4E7C">
        <w:t xml:space="preserve"> komercializačních</w:t>
      </w:r>
      <w:r w:rsidRPr="002C224A">
        <w:t xml:space="preserve"> projektů nadále nedostatečná a brání jí řada bariér.</w:t>
      </w:r>
    </w:p>
    <w:p w:rsidR="006D67F1" w:rsidRPr="002C224A" w:rsidRDefault="006D67F1" w:rsidP="008074B1"/>
    <w:p w:rsidR="00DC0CF9" w:rsidRDefault="006D67F1" w:rsidP="008074B1">
      <w:r w:rsidRPr="002C224A">
        <w:t xml:space="preserve">Perspektivní projekty narážejí na problémy v několika směrech. Tím základním je, že </w:t>
      </w:r>
      <w:r w:rsidRPr="002C224A">
        <w:rPr>
          <w:b/>
        </w:rPr>
        <w:t>vysoké školy a veřejné VO nejsou primárně organizace, které by byly nastaveny na zhodnocování svých výsledků a tržní působení</w:t>
      </w:r>
      <w:r w:rsidRPr="002C224A">
        <w:t>. Základním smyslem těchto institucí je výzkum a vývoj a drtivou část zdrojů získávají z veřejných prostředků v rámci jeho hodnocení. VO nejsou ochotny podstupovat riziko investováním vlastního kapitálu, v rámci přerozdělování financí na VO a vysokých školách jsou tedy tyto aktivity upozaděny.</w:t>
      </w:r>
      <w:r w:rsidR="001C4E7C" w:rsidRPr="001C4E7C">
        <w:t xml:space="preserve"> </w:t>
      </w:r>
      <w:r w:rsidR="001C4E7C" w:rsidRPr="008552A2">
        <w:t>To samé platí pro jednotlivé výzkumné pracovníky, jejichž zájem často končí dokončením výzkumu a už nepokračuje do oblasti jeho komercializaci, na což ani nemají tito úzce profilovaní specialisté odbornost a podnikatelské dovednosti.</w:t>
      </w:r>
      <w:r w:rsidR="001C4E7C">
        <w:t xml:space="preserve"> </w:t>
      </w:r>
    </w:p>
    <w:p w:rsidR="00DC0CF9" w:rsidRDefault="00DC0CF9" w:rsidP="008074B1"/>
    <w:p w:rsidR="006D67F1" w:rsidRDefault="001C4E7C" w:rsidP="008074B1">
      <w:r>
        <w:t>Dle</w:t>
      </w:r>
      <w:r w:rsidR="000405BE">
        <w:t xml:space="preserve"> </w:t>
      </w:r>
      <w:r>
        <w:t>pracovních závěrů šetření INKA došlo k odlivu podnikavějších výzkumných pracovníků do soukromé sféry</w:t>
      </w:r>
      <w:r w:rsidR="00DC0CF9">
        <w:t xml:space="preserve"> a vlastního podnikání</w:t>
      </w:r>
      <w:r>
        <w:t xml:space="preserve"> již v 90. letech, v dnešní době se</w:t>
      </w:r>
      <w:r w:rsidR="00957D49">
        <w:t xml:space="preserve"> nadaní</w:t>
      </w:r>
      <w:r>
        <w:t xml:space="preserve"> </w:t>
      </w:r>
      <w:r w:rsidRPr="002C224A">
        <w:rPr>
          <w:b/>
        </w:rPr>
        <w:t xml:space="preserve">potenciální </w:t>
      </w:r>
      <w:r>
        <w:rPr>
          <w:b/>
        </w:rPr>
        <w:t xml:space="preserve">výzkumně </w:t>
      </w:r>
      <w:r w:rsidR="008F6D73">
        <w:rPr>
          <w:b/>
        </w:rPr>
        <w:t xml:space="preserve">orientovaní </w:t>
      </w:r>
      <w:r>
        <w:rPr>
          <w:b/>
        </w:rPr>
        <w:t>absolventi</w:t>
      </w:r>
      <w:r w:rsidRPr="002C224A">
        <w:rPr>
          <w:b/>
        </w:rPr>
        <w:t xml:space="preserve"> s podnikatelskými sklony </w:t>
      </w:r>
      <w:r w:rsidR="00DC0CF9">
        <w:rPr>
          <w:b/>
        </w:rPr>
        <w:t xml:space="preserve">akademické kariéře </w:t>
      </w:r>
      <w:r w:rsidR="00957D49">
        <w:rPr>
          <w:b/>
        </w:rPr>
        <w:t>spíše</w:t>
      </w:r>
      <w:r w:rsidRPr="002C224A">
        <w:rPr>
          <w:b/>
        </w:rPr>
        <w:t xml:space="preserve"> vyhýbají</w:t>
      </w:r>
      <w:r>
        <w:t>.</w:t>
      </w:r>
      <w:r w:rsidR="00957D49">
        <w:t xml:space="preserve"> V části akademické sféry navíc existuje silně negativní postoj vůči zakládání spin-offů, </w:t>
      </w:r>
      <w:r w:rsidR="00E8147C">
        <w:t>který vychází z obav z</w:t>
      </w:r>
      <w:r w:rsidR="00957D49">
        <w:t> odchodu výzk</w:t>
      </w:r>
      <w:r w:rsidR="00E8147C">
        <w:t>umníků a neadekvátní privatizace</w:t>
      </w:r>
      <w:r w:rsidR="00957D49">
        <w:t xml:space="preserve"> výsledků VaV.</w:t>
      </w:r>
      <w:r w:rsidR="00DC0CF9">
        <w:t xml:space="preserve"> Zároveň však šetření potvrzuje poměrně </w:t>
      </w:r>
      <w:r w:rsidR="00DC0CF9" w:rsidRPr="00331BB7">
        <w:rPr>
          <w:b/>
        </w:rPr>
        <w:t>rozšířen</w:t>
      </w:r>
      <w:r w:rsidR="00957D49" w:rsidRPr="00331BB7">
        <w:rPr>
          <w:b/>
        </w:rPr>
        <w:t xml:space="preserve">ou praktiku </w:t>
      </w:r>
      <w:r w:rsidR="008F6D73" w:rsidRPr="00331BB7">
        <w:rPr>
          <w:b/>
        </w:rPr>
        <w:t>paralelního podnikání akademických pracovníků</w:t>
      </w:r>
      <w:r w:rsidR="008F6D73">
        <w:t xml:space="preserve">, které umožňuje neoprávněnou privatizaci zisku ze společně vytvořeného know-how a naopak socializaci nákladů využitím infrastruktury VO. </w:t>
      </w:r>
      <w:r w:rsidR="00791617">
        <w:t>I z toho je zřejmé, že uplatnitelné výsledky VaV</w:t>
      </w:r>
      <w:r w:rsidR="00046EDA">
        <w:t xml:space="preserve"> a lidský potenciál</w:t>
      </w:r>
      <w:r w:rsidR="00791617">
        <w:t xml:space="preserve"> zde </w:t>
      </w:r>
      <w:r w:rsidR="008F6D73">
        <w:t>existují</w:t>
      </w:r>
      <w:r w:rsidR="00791617">
        <w:t xml:space="preserve">, je však </w:t>
      </w:r>
      <w:r w:rsidR="00791617" w:rsidRPr="00331BB7">
        <w:rPr>
          <w:b/>
        </w:rPr>
        <w:t>nutné podporovat transparentní cestu k jejich komercializaci, která bude vyváženě sledovat zájmy VO i jejich individuálních nositelů</w:t>
      </w:r>
      <w:r w:rsidR="00791617">
        <w:t>.</w:t>
      </w:r>
    </w:p>
    <w:p w:rsidR="00957D49" w:rsidRDefault="00957D49" w:rsidP="008074B1"/>
    <w:p w:rsidR="006D67F1" w:rsidRPr="002C224A" w:rsidRDefault="006D67F1" w:rsidP="008074B1">
      <w:r w:rsidRPr="002C224A">
        <w:rPr>
          <w:b/>
        </w:rPr>
        <w:t>Pro veřejné VO je charakteristická řada institucionálních bariér, které znesnadňují změny</w:t>
      </w:r>
      <w:r w:rsidRPr="002C224A">
        <w:t>.</w:t>
      </w:r>
      <w:r w:rsidR="00114587" w:rsidRPr="002C224A">
        <w:t xml:space="preserve"> </w:t>
      </w:r>
      <w:r w:rsidRPr="002C224A">
        <w:t>Sítě osobních kontaktů a vazeb a zdeformování systému jejich fungování aktuálním nastavením hodnocení a odměňování výsledků VaV jsou jedny z nich.</w:t>
      </w:r>
      <w:r w:rsidR="00114587" w:rsidRPr="002C224A">
        <w:t xml:space="preserve"> </w:t>
      </w:r>
      <w:r w:rsidRPr="002C224A">
        <w:t>Vysoké školy a veřejné VO jsou navíc výrazně autonomními institucemi, i na úrovni fakulty či ústavu, čili není snadné tento systém centrálně změnit.</w:t>
      </w:r>
    </w:p>
    <w:p w:rsidR="006D67F1" w:rsidRPr="002C224A" w:rsidRDefault="006D67F1" w:rsidP="008074B1"/>
    <w:p w:rsidR="006D67F1" w:rsidRPr="002C224A" w:rsidRDefault="006D67F1" w:rsidP="008074B1">
      <w:r w:rsidRPr="002C224A">
        <w:t xml:space="preserve">Příkladem deformačního působení nevhodně nastavených procesů je i zmíněný rozvoj podávání patentů </w:t>
      </w:r>
      <w:r w:rsidR="00D126C1">
        <w:t>veřejných výzkumných organizací</w:t>
      </w:r>
      <w:r w:rsidRPr="002C224A">
        <w:t>. Podání patentu je jedním z nastavených kritérií hodnocení výsledků VaV, nehodnotí se však již jeho následná komerční úspěšnost. Ve výsledku jsou tak často podávány předčasné,</w:t>
      </w:r>
      <w:r w:rsidR="00114587" w:rsidRPr="002C224A">
        <w:t xml:space="preserve"> </w:t>
      </w:r>
      <w:r w:rsidRPr="002C224A">
        <w:t xml:space="preserve">ekonomicky </w:t>
      </w:r>
      <w:r w:rsidR="004E0C00">
        <w:t>obtížně využitelné</w:t>
      </w:r>
      <w:r w:rsidR="004E0C00" w:rsidRPr="002C224A">
        <w:t xml:space="preserve"> </w:t>
      </w:r>
      <w:r w:rsidRPr="002C224A">
        <w:t>patenty.</w:t>
      </w:r>
      <w:r w:rsidR="00D126C1">
        <w:t xml:space="preserve"> S výjimkou </w:t>
      </w:r>
      <w:r w:rsidR="004E0C00">
        <w:t>mimořádného</w:t>
      </w:r>
      <w:r w:rsidR="00D126C1">
        <w:t xml:space="preserve"> případu</w:t>
      </w:r>
      <w:r w:rsidRPr="002C224A">
        <w:t xml:space="preserve"> Ústavu organické chemie a biochemie A</w:t>
      </w:r>
      <w:r w:rsidR="00D126C1">
        <w:t>V</w:t>
      </w:r>
      <w:r w:rsidRPr="002C224A">
        <w:t xml:space="preserve"> ČR</w:t>
      </w:r>
      <w:r w:rsidR="00D126C1">
        <w:t xml:space="preserve"> jsou příjmy z patentů ve většině případů zanedbatelné. Dle pracovních závěrů šetření INKA činí medián ročního příjmu z licencí pouze </w:t>
      </w:r>
      <w:smartTag w:uri="urn:schemas-microsoft-com:office:smarttags" w:element="metricconverter">
        <w:smartTagPr>
          <w:attr w:name="ProductID" w:val="0,5 mil"/>
        </w:smartTagPr>
        <w:r w:rsidR="00D126C1">
          <w:t>0,5 mil</w:t>
        </w:r>
      </w:smartTag>
      <w:r w:rsidR="00D126C1">
        <w:t>. Kč.</w:t>
      </w:r>
      <w:r w:rsidR="004E0C00">
        <w:t xml:space="preserve"> Velmi nízké hodnoty lze nicméně přičíst i poptávce podniků, které se využívání patentů z veřejných VO často zdráhají.</w:t>
      </w:r>
    </w:p>
    <w:p w:rsidR="006D67F1" w:rsidRPr="002C224A" w:rsidRDefault="006D67F1" w:rsidP="008074B1"/>
    <w:p w:rsidR="006D67F1" w:rsidRPr="002C224A" w:rsidRDefault="006D67F1" w:rsidP="008074B1">
      <w:r w:rsidRPr="002C224A">
        <w:rPr>
          <w:b/>
        </w:rPr>
        <w:t>Klíčové je tedy správné nastavení procesů a motivačních prvků, identifikování potenciálně úspěšných projektů a zapojení odborníků s ekonomickým a podnikatelským know-how v této rané fázi</w:t>
      </w:r>
      <w:r w:rsidRPr="002C224A">
        <w:t xml:space="preserve"> – např. na úrovni CTT nebo přímo soukromého investora. V tomto ohledu je však problém jak u nedostatečných kapacit CTT a dostatku zdrojů VO, tak se zapojením soukromého kapitálu.</w:t>
      </w:r>
    </w:p>
    <w:p w:rsidR="006D67F1" w:rsidRPr="002C224A" w:rsidRDefault="006D67F1" w:rsidP="008074B1"/>
    <w:p w:rsidR="00E8147C" w:rsidRDefault="006D67F1" w:rsidP="008074B1">
      <w:r w:rsidRPr="002C224A">
        <w:t xml:space="preserve">Základem suboptimální investiční situace v oblasti financování komercializace výsledků VaV veřejných VO ve fázi pre-seed je </w:t>
      </w:r>
      <w:r w:rsidRPr="002C224A">
        <w:rPr>
          <w:b/>
        </w:rPr>
        <w:t>velké riziko, náklady i informační bariéra pro potenciální soukromé investory</w:t>
      </w:r>
      <w:r w:rsidRPr="002C224A">
        <w:t xml:space="preserve">. Perspektivní výzkumníci se ne vždy obklopí osobami kompetentními ke komercializaci výstupu. Výsledkem může být v některých případech nedostatečná připravenost záměrů, schopnost prezentovat </w:t>
      </w:r>
      <w:r w:rsidR="000C31F4">
        <w:t>záměr</w:t>
      </w:r>
      <w:r w:rsidR="000C31F4" w:rsidRPr="002C224A">
        <w:t xml:space="preserve"> </w:t>
      </w:r>
      <w:r w:rsidRPr="002C224A">
        <w:t xml:space="preserve">investorům či oboustranná informační asymetrie, kdy autoři projektů nemají dostatečné informace o dostupnosti financování a potenciální investoři jsou nedůvěřiví vůči projektům, jejichž nosná činnost leží mimo hranice jejich chápání. </w:t>
      </w:r>
      <w:r w:rsidR="00E8147C">
        <w:t xml:space="preserve">Překážkou je často též </w:t>
      </w:r>
      <w:r w:rsidR="00CA1AFE">
        <w:t xml:space="preserve">komplikovaná </w:t>
      </w:r>
      <w:r w:rsidR="00E8147C" w:rsidRPr="008366D3">
        <w:rPr>
          <w:b/>
        </w:rPr>
        <w:t>otázka</w:t>
      </w:r>
      <w:r w:rsidR="007A4613">
        <w:rPr>
          <w:b/>
        </w:rPr>
        <w:t xml:space="preserve"> rozdělení</w:t>
      </w:r>
      <w:r w:rsidR="00E8147C" w:rsidRPr="008366D3">
        <w:rPr>
          <w:b/>
        </w:rPr>
        <w:t xml:space="preserve"> vlastnictví spin-offů</w:t>
      </w:r>
      <w:r w:rsidR="00CA1AFE">
        <w:rPr>
          <w:b/>
        </w:rPr>
        <w:t xml:space="preserve"> a duševního vlastnictví</w:t>
      </w:r>
      <w:r w:rsidR="00E8147C">
        <w:t>, která se pro následn</w:t>
      </w:r>
      <w:r w:rsidR="00CA1AFE">
        <w:t>ý vstup soukromého</w:t>
      </w:r>
      <w:r w:rsidR="00E8147C">
        <w:t xml:space="preserve"> invest</w:t>
      </w:r>
      <w:r w:rsidR="00CA1AFE">
        <w:t>ora</w:t>
      </w:r>
      <w:r w:rsidR="00E8147C">
        <w:t xml:space="preserve"> a další rozvoj společnosti může stát velkou komplikací.</w:t>
      </w:r>
    </w:p>
    <w:p w:rsidR="00E8147C" w:rsidRDefault="00E8147C" w:rsidP="008074B1"/>
    <w:p w:rsidR="006D67F1" w:rsidRPr="002C224A" w:rsidRDefault="006D67F1" w:rsidP="008074B1">
      <w:r w:rsidRPr="002C224A">
        <w:t>Z podobných důvodů se k dotažení a realizaci nemusí dostat ani jinak velmi nadějné projekty. Podstatná míra rizika je navíc v této oblasti inherentně přítomna i u kvalitně zpracovaných projektů s</w:t>
      </w:r>
      <w:r w:rsidR="001956C9">
        <w:t xml:space="preserve"> významným </w:t>
      </w:r>
      <w:r w:rsidRPr="002C224A">
        <w:t>potenciálem.</w:t>
      </w:r>
      <w:r w:rsidR="00114587" w:rsidRPr="002C224A">
        <w:t xml:space="preserve"> </w:t>
      </w:r>
      <w:r w:rsidRPr="002C224A">
        <w:rPr>
          <w:b/>
        </w:rPr>
        <w:t xml:space="preserve">Potřeba financování </w:t>
      </w:r>
      <w:r w:rsidR="001956C9">
        <w:rPr>
          <w:b/>
        </w:rPr>
        <w:t>tedy</w:t>
      </w:r>
      <w:r w:rsidR="001956C9" w:rsidRPr="002C224A">
        <w:rPr>
          <w:b/>
        </w:rPr>
        <w:t xml:space="preserve"> </w:t>
      </w:r>
      <w:r w:rsidRPr="002C224A">
        <w:rPr>
          <w:b/>
        </w:rPr>
        <w:t>prakticky nemůže být pokryta soukromými zdroji alokovanými na tržním principu.</w:t>
      </w:r>
      <w:r w:rsidR="0075668E" w:rsidRPr="002C224A">
        <w:rPr>
          <w:b/>
        </w:rPr>
        <w:t xml:space="preserve"> </w:t>
      </w:r>
      <w:r w:rsidRPr="002C224A">
        <w:t>V řadě odvětví (např. biochemie, medicína a další) je tato fáze též příliš dlouhá. Míra rizika ve fázi pre-seed dalece překračuje obvykle akceptovatelné hodnoty pro investory v českém prostředí.</w:t>
      </w:r>
      <w:r w:rsidR="00114587" w:rsidRPr="002C224A">
        <w:t xml:space="preserve"> </w:t>
      </w:r>
      <w:r w:rsidRPr="002C224A">
        <w:t>I v řadě vyspělých zemí je proto řešena zapojením veřejné intervence.</w:t>
      </w:r>
    </w:p>
    <w:p w:rsidR="006D67F1" w:rsidRPr="002C224A" w:rsidRDefault="006D67F1" w:rsidP="008074B1"/>
    <w:p w:rsidR="006D67F1" w:rsidRPr="002C224A" w:rsidRDefault="006D67F1" w:rsidP="008074B1">
      <w:r w:rsidRPr="002C224A">
        <w:t>Dostatečná aktivita v pre-seed fázi komercionalizace je předpokladem úspěšného uplatnění výsledků VaV a jejich rozvoj v rámci nových inovativních firem. Životní cyklus typických cílových spin-off firem a jednotlivé fáze jejich rozvoje jsou znázorněny na obrázku níže.</w:t>
      </w:r>
    </w:p>
    <w:p w:rsidR="006D67F1" w:rsidRPr="00A50943" w:rsidRDefault="007A3F34" w:rsidP="008074B1">
      <w:pPr>
        <w:keepNext/>
      </w:pPr>
      <w:r w:rsidRPr="00A50943">
        <w:rPr>
          <w:noProof/>
        </w:rPr>
        <w:lastRenderedPageBreak/>
        <w:drawing>
          <wp:inline distT="0" distB="0" distL="0" distR="0" wp14:anchorId="62BCE9F5" wp14:editId="04684AE7">
            <wp:extent cx="5676900" cy="3562350"/>
            <wp:effectExtent l="0" t="0" r="0" b="0"/>
            <wp:docPr id="13" name="Obráze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900" cy="3562350"/>
                    </a:xfrm>
                    <a:prstGeom prst="rect">
                      <a:avLst/>
                    </a:prstGeom>
                    <a:noFill/>
                    <a:ln>
                      <a:noFill/>
                    </a:ln>
                  </pic:spPr>
                </pic:pic>
              </a:graphicData>
            </a:graphic>
          </wp:inline>
        </w:drawing>
      </w:r>
    </w:p>
    <w:p w:rsidR="006D67F1" w:rsidRPr="002C224A" w:rsidRDefault="00293517" w:rsidP="008074B1">
      <w:pPr>
        <w:pStyle w:val="Titulek"/>
      </w:pPr>
      <w:r>
        <w:t>Obrázek</w:t>
      </w:r>
      <w:r w:rsidRPr="002C224A">
        <w:t xml:space="preserve"> </w:t>
      </w:r>
      <w:r>
        <w:t>10</w:t>
      </w:r>
      <w:r w:rsidR="007834DB" w:rsidRPr="002C224A">
        <w:t xml:space="preserve"> </w:t>
      </w:r>
      <w:r w:rsidR="006D67F1" w:rsidRPr="002C224A">
        <w:t>- Životní cyklus firmy</w:t>
      </w:r>
    </w:p>
    <w:p w:rsidR="006D67F1" w:rsidRPr="002C224A" w:rsidRDefault="006D67F1" w:rsidP="008074B1">
      <w:pPr>
        <w:pStyle w:val="Nadpis4"/>
        <w:rPr>
          <w:rFonts w:ascii="Calibri" w:hAnsi="Calibri"/>
        </w:rPr>
      </w:pPr>
      <w:r w:rsidRPr="002C224A">
        <w:rPr>
          <w:rFonts w:ascii="Calibri" w:hAnsi="Calibri"/>
        </w:rPr>
        <w:t>Návrh řešení identifikovaných tržních selhání</w:t>
      </w:r>
    </w:p>
    <w:p w:rsidR="006D67F1" w:rsidRPr="00A50943" w:rsidRDefault="006D67F1" w:rsidP="008074B1"/>
    <w:p w:rsidR="006D67F1" w:rsidRPr="008366D3" w:rsidRDefault="006D67F1" w:rsidP="008074B1">
      <w:pPr>
        <w:rPr>
          <w:b/>
        </w:rPr>
      </w:pPr>
      <w:r w:rsidRPr="002C224A">
        <w:t xml:space="preserve">Pro překlenutí propasti mezi výsledky VaV a trhem je v rámci komercializačních aktivit (marketingové studie, prototypy, testování, ověřování, certifikace, příprava založení spin-off aj.) nezbytné použít takovou formu podpory, která na jedné straně přinese projektům nutné finanční prostředky bez zbytečných průtahů a tehdy, kdy jsou potřeba, na straně druhé pak bude motivovat veřejné VO k nastavení odpovídajících procesů a výběru skutečně nadějných projektů, stejně jako k jejich dotažení do reálného výstupu. Významným elementem je přechod na trh, nalezení vhodného investora či partnerské společnosti a navázání partnerství výzkumníků s lidmi s ekonomickým a podnikatelským zázemím. Z těchto všech důvodů se nám jeví jako </w:t>
      </w:r>
      <w:r w:rsidRPr="008366D3">
        <w:rPr>
          <w:b/>
        </w:rPr>
        <w:t xml:space="preserve">nejvhodnější alternativou forma </w:t>
      </w:r>
      <w:r w:rsidR="001956C9">
        <w:rPr>
          <w:b/>
        </w:rPr>
        <w:t xml:space="preserve">finančního </w:t>
      </w:r>
      <w:r w:rsidRPr="008366D3">
        <w:rPr>
          <w:b/>
        </w:rPr>
        <w:t>nástroje kapitálových vstupů.</w:t>
      </w:r>
    </w:p>
    <w:p w:rsidR="006D67F1" w:rsidRPr="002C224A" w:rsidRDefault="006D67F1" w:rsidP="008074B1"/>
    <w:p w:rsidR="006D67F1" w:rsidRPr="002C224A" w:rsidRDefault="006D67F1" w:rsidP="008074B1">
      <w:r w:rsidRPr="002C224A">
        <w:t xml:space="preserve">Finanční nástroj bude mít podobu </w:t>
      </w:r>
      <w:r w:rsidRPr="008366D3">
        <w:rPr>
          <w:b/>
        </w:rPr>
        <w:t>investičního fondu zřízeného pod kontrolou ŘO</w:t>
      </w:r>
      <w:r w:rsidRPr="002C224A">
        <w:t>, který se bude řídit danou investiční strategií. Pre-seed fond OP PIK bude poskytovat cílovým projektům prostředky formou kapitálového vstupu do fondů zřízených jednotlivými konečnými příjemci (vysoké školy, veřejné VO), které do nich vloží vklad v převážně nehmotné formě cílových projektů. Alternativou může být centrální fond, který bude přímo soustřeďovat veškeré vložené projekty, opět na bázi podílu obou stran.</w:t>
      </w:r>
    </w:p>
    <w:p w:rsidR="006D67F1" w:rsidRPr="002C224A" w:rsidRDefault="006D67F1" w:rsidP="008074B1"/>
    <w:p w:rsidR="006D67F1" w:rsidRPr="002C224A" w:rsidRDefault="006D67F1" w:rsidP="008074B1">
      <w:r w:rsidRPr="002C224A">
        <w:t>Povaha tohoto vztahu bude vyvíjet tlak na správce fondu jednat s péčí řádného hospodáře, přičemž bude mít řídící orgán detailní přehled nejen o činnosti jednotlivých fondů (případně centrálního fondu), ale z pozice podílníka též o hospodaření jednotlivých investičních cílů. Exit v dohledném investičním horizontu zajistí přísun zhodnocených zdrojů k</w:t>
      </w:r>
      <w:r w:rsidR="009A681C">
        <w:t> </w:t>
      </w:r>
      <w:r w:rsidRPr="002C224A">
        <w:t>reinvestování</w:t>
      </w:r>
      <w:r w:rsidR="009A681C" w:rsidRPr="008366D3">
        <w:rPr>
          <w:b/>
        </w:rPr>
        <w:t>, nás</w:t>
      </w:r>
      <w:r w:rsidR="00C03F5C" w:rsidRPr="008366D3">
        <w:rPr>
          <w:b/>
        </w:rPr>
        <w:t>troj</w:t>
      </w:r>
      <w:r w:rsidR="009A681C" w:rsidRPr="008366D3">
        <w:rPr>
          <w:b/>
        </w:rPr>
        <w:t xml:space="preserve"> má tedy výrazný revolvingový potenciál</w:t>
      </w:r>
      <w:r w:rsidR="00C03F5C">
        <w:rPr>
          <w:b/>
        </w:rPr>
        <w:t xml:space="preserve"> </w:t>
      </w:r>
      <w:r w:rsidR="00C03F5C" w:rsidRPr="008366D3">
        <w:t>a není pouze nevratnou dotací</w:t>
      </w:r>
      <w:r w:rsidR="009A681C" w:rsidRPr="008366D3">
        <w:t>.</w:t>
      </w:r>
    </w:p>
    <w:p w:rsidR="006D67F1" w:rsidRPr="002C224A" w:rsidRDefault="006D67F1" w:rsidP="008074B1"/>
    <w:p w:rsidR="006D67F1" w:rsidRPr="002C224A" w:rsidRDefault="006D67F1" w:rsidP="008074B1">
      <w:r w:rsidRPr="002C224A">
        <w:t xml:space="preserve">Cílem FN v podobě pre-seed fondu OP PIK bude komercializace formou úspěšného </w:t>
      </w:r>
      <w:r w:rsidRPr="008366D3">
        <w:rPr>
          <w:b/>
        </w:rPr>
        <w:t>exitu ve formě vstupu investora do nově založené spin-off firmy, případně odprodeje připraveného duševního vlastnictví strategickému investorovi z výrobního odvětví.</w:t>
      </w:r>
      <w:r w:rsidR="00985E2A" w:rsidRPr="008366D3">
        <w:rPr>
          <w:b/>
        </w:rPr>
        <w:t xml:space="preserve"> Tímto způsobem FN ve výsledku aktivizuje i soukromý kapitál, který bude klíčový k dalšímu fungování projektů.</w:t>
      </w:r>
    </w:p>
    <w:p w:rsidR="006D67F1" w:rsidRPr="002C224A" w:rsidRDefault="006D67F1" w:rsidP="008074B1"/>
    <w:p w:rsidR="006D67F1" w:rsidRPr="002C224A" w:rsidRDefault="006D67F1" w:rsidP="008074B1">
      <w:r w:rsidRPr="002C224A">
        <w:t>Zamýšlená struktura přepokládá podílnictví výzkumných organizací prostřednictvím primárně nepeněžních vkladů do základního kapitálu v podobě duševního vlastnictví. Takto bude respektován regulatorní požadavek na zapojení národních zdrojů do finančních nástrojů.</w:t>
      </w:r>
    </w:p>
    <w:p w:rsidR="006D67F1" w:rsidRPr="002C224A" w:rsidDel="00331B25" w:rsidRDefault="006D67F1" w:rsidP="008074B1">
      <w:pPr>
        <w:rPr>
          <w:b/>
        </w:rPr>
      </w:pPr>
    </w:p>
    <w:p w:rsidR="006D67F1" w:rsidRPr="002C224A" w:rsidRDefault="006D67F1" w:rsidP="008074B1">
      <w:r w:rsidRPr="002C224A">
        <w:t>Následníkem navrhovaného pre-seed fondu OP PIK by měl být fond zaměřený na early</w:t>
      </w:r>
      <w:r w:rsidR="00F34F41" w:rsidRPr="002C224A">
        <w:t xml:space="preserve"> </w:t>
      </w:r>
      <w:r w:rsidRPr="002C224A">
        <w:t>stage investice zřízený rovněž v gesci MPO v rámci SC 2.1. Tento fond bude vytvářet jednu z možností exitu projektů z pre-seed fondu.</w:t>
      </w:r>
    </w:p>
    <w:p w:rsidR="006D67F1" w:rsidRPr="002C224A" w:rsidRDefault="006D67F1" w:rsidP="008074B1"/>
    <w:p w:rsidR="006D67F1" w:rsidRPr="002C224A" w:rsidRDefault="006D67F1" w:rsidP="008074B1">
      <w:r w:rsidRPr="002C224A">
        <w:t>K úspěšnému fungování nástroje je nezbytné propojit kapitálovou podporu s dalšími podpůrnými nástroji, které do projektů budou přinášet komercializační know-how – zejména v rámci CTT a poradenských služeb agentury CzechInvest</w:t>
      </w:r>
      <w:r w:rsidR="001E08E2">
        <w:t>/API</w:t>
      </w:r>
      <w:r w:rsidRPr="002C224A">
        <w:t>.</w:t>
      </w:r>
    </w:p>
    <w:p w:rsidR="006D67F1" w:rsidRPr="002C224A" w:rsidRDefault="006D67F1" w:rsidP="008074B1"/>
    <w:p w:rsidR="006D67F1" w:rsidRPr="002C224A" w:rsidRDefault="006D67F1" w:rsidP="008074B1">
      <w:pPr>
        <w:pStyle w:val="Nadpis3"/>
        <w:rPr>
          <w:rFonts w:ascii="Calibri" w:hAnsi="Calibri"/>
        </w:rPr>
      </w:pPr>
      <w:bookmarkStart w:id="26" w:name="_Toc421534283"/>
      <w:r w:rsidRPr="002C224A">
        <w:rPr>
          <w:rFonts w:ascii="Calibri" w:hAnsi="Calibri"/>
        </w:rPr>
        <w:t>Posouzení přidané hodnoty finančních nástrojů</w:t>
      </w:r>
      <w:bookmarkEnd w:id="26"/>
    </w:p>
    <w:p w:rsidR="006D67F1" w:rsidRPr="002C224A" w:rsidRDefault="006D67F1" w:rsidP="008074B1">
      <w:pPr>
        <w:pStyle w:val="Nadpis4"/>
        <w:rPr>
          <w:rFonts w:ascii="Calibri" w:hAnsi="Calibri"/>
        </w:rPr>
      </w:pPr>
      <w:r w:rsidRPr="002C224A">
        <w:rPr>
          <w:rFonts w:ascii="Calibri" w:hAnsi="Calibri"/>
        </w:rPr>
        <w:t>Přidaná hodnota finančního nástroje, problémy, rizika a srovnání s jinými formami podpory</w:t>
      </w:r>
    </w:p>
    <w:p w:rsidR="006D67F1" w:rsidRPr="00A50943" w:rsidRDefault="006D67F1" w:rsidP="008074B1"/>
    <w:p w:rsidR="006D67F1" w:rsidRPr="002C224A" w:rsidRDefault="006D67F1" w:rsidP="008074B1">
      <w:r w:rsidRPr="002C224A">
        <w:t>V rámci tabulek níže je uveden přehled přidané hodnoty, problémů a rizik z pohledu konečného příjemce a ŘO (tabulka č. 2) a z pohledu celkového dopadu na absorpční kapacitu a dosažení cílů SC 1.2, se zohledněním dopadů na tržní prostředí. Porovnány jsou zvažované nástroje formou kapitálových vstupů a dotací.</w:t>
      </w:r>
    </w:p>
    <w:p w:rsidR="007834DB" w:rsidRPr="002C224A" w:rsidRDefault="007834DB" w:rsidP="007834DB">
      <w:pPr>
        <w:pStyle w:val="Titulek"/>
      </w:pPr>
      <w:r w:rsidRPr="002C224A">
        <w:t>Tabulka 1</w:t>
      </w:r>
      <w:r w:rsidR="00C4105E">
        <w:t>4</w:t>
      </w:r>
      <w:r w:rsidRPr="002C224A">
        <w:t>: Přidaná hodnota, Nevýhody, problémy a rizika veřejné podpory pro příjemce a ŘO</w:t>
      </w:r>
    </w:p>
    <w:p w:rsidR="007834DB" w:rsidRPr="00A50943" w:rsidRDefault="007834DB" w:rsidP="008074B1"/>
    <w:tbl>
      <w:tblPr>
        <w:tblpPr w:leftFromText="141" w:rightFromText="141" w:vertAnchor="text" w:horzAnchor="page" w:tblpX="1986" w:tblpY="138"/>
        <w:tblW w:w="7968" w:type="dxa"/>
        <w:tblLook w:val="00A0" w:firstRow="1" w:lastRow="0" w:firstColumn="1" w:lastColumn="0" w:noHBand="0" w:noVBand="0"/>
      </w:tblPr>
      <w:tblGrid>
        <w:gridCol w:w="972"/>
        <w:gridCol w:w="972"/>
        <w:gridCol w:w="3439"/>
        <w:gridCol w:w="2585"/>
      </w:tblGrid>
      <w:tr w:rsidR="00854C53" w:rsidRPr="002C224A" w:rsidTr="00F01B08">
        <w:trPr>
          <w:trHeight w:val="319"/>
        </w:trPr>
        <w:tc>
          <w:tcPr>
            <w:tcW w:w="1944" w:type="dxa"/>
            <w:gridSpan w:val="2"/>
            <w:vMerge w:val="restart"/>
            <w:tcBorders>
              <w:top w:val="single" w:sz="4" w:space="0" w:color="auto"/>
              <w:left w:val="single" w:sz="4" w:space="0" w:color="auto"/>
              <w:right w:val="single" w:sz="4" w:space="0" w:color="auto"/>
            </w:tcBorders>
            <w:shd w:val="clear" w:color="auto" w:fill="4472C4"/>
            <w:noWrap/>
          </w:tcPr>
          <w:p w:rsidR="00854C53" w:rsidRPr="002C224A" w:rsidRDefault="00854C53" w:rsidP="00EF4DC5">
            <w:pPr>
              <w:jc w:val="left"/>
              <w:rPr>
                <w:color w:val="000000"/>
                <w:sz w:val="24"/>
                <w:szCs w:val="24"/>
              </w:rPr>
            </w:pPr>
            <w:r w:rsidRPr="002C224A">
              <w:rPr>
                <w:color w:val="000000"/>
                <w:sz w:val="24"/>
                <w:szCs w:val="24"/>
              </w:rPr>
              <w:t> </w:t>
            </w:r>
          </w:p>
          <w:p w:rsidR="00854C53" w:rsidRPr="002C224A" w:rsidRDefault="00854C53" w:rsidP="00F01B08">
            <w:pPr>
              <w:jc w:val="left"/>
              <w:rPr>
                <w:color w:val="000000"/>
                <w:sz w:val="24"/>
                <w:szCs w:val="24"/>
              </w:rPr>
            </w:pPr>
            <w:r w:rsidRPr="00A50943">
              <w:rPr>
                <w:color w:val="000000"/>
                <w:sz w:val="24"/>
                <w:szCs w:val="24"/>
              </w:rPr>
              <w:t> </w:t>
            </w:r>
          </w:p>
        </w:tc>
        <w:tc>
          <w:tcPr>
            <w:tcW w:w="3439" w:type="dxa"/>
            <w:tcBorders>
              <w:top w:val="single" w:sz="4" w:space="0" w:color="auto"/>
              <w:left w:val="single" w:sz="4" w:space="0" w:color="auto"/>
              <w:bottom w:val="single" w:sz="4" w:space="0" w:color="auto"/>
              <w:right w:val="single" w:sz="4" w:space="0" w:color="auto"/>
            </w:tcBorders>
            <w:shd w:val="clear" w:color="auto" w:fill="4472C4"/>
            <w:noWrap/>
          </w:tcPr>
          <w:p w:rsidR="00854C53" w:rsidRPr="00A50943" w:rsidRDefault="00854C53" w:rsidP="00EF4DC5">
            <w:pPr>
              <w:jc w:val="center"/>
              <w:rPr>
                <w:b/>
                <w:bCs/>
                <w:color w:val="FFFFFF"/>
                <w:sz w:val="24"/>
                <w:szCs w:val="24"/>
              </w:rPr>
            </w:pPr>
            <w:r w:rsidRPr="00A50943">
              <w:rPr>
                <w:b/>
                <w:bCs/>
                <w:color w:val="FFFFFF"/>
                <w:sz w:val="24"/>
                <w:szCs w:val="24"/>
              </w:rPr>
              <w:t>Finanční nástroj</w:t>
            </w:r>
          </w:p>
        </w:tc>
        <w:tc>
          <w:tcPr>
            <w:tcW w:w="2585" w:type="dxa"/>
            <w:tcBorders>
              <w:top w:val="single" w:sz="4" w:space="0" w:color="auto"/>
              <w:left w:val="single" w:sz="4" w:space="0" w:color="auto"/>
              <w:bottom w:val="single" w:sz="4" w:space="0" w:color="auto"/>
              <w:right w:val="single" w:sz="4" w:space="0" w:color="auto"/>
            </w:tcBorders>
            <w:shd w:val="clear" w:color="auto" w:fill="4472C4"/>
          </w:tcPr>
          <w:p w:rsidR="00854C53" w:rsidRPr="002C224A" w:rsidRDefault="00854C53" w:rsidP="00EF4DC5">
            <w:pPr>
              <w:jc w:val="center"/>
              <w:rPr>
                <w:b/>
                <w:bCs/>
                <w:color w:val="FFFFFF"/>
                <w:sz w:val="24"/>
                <w:szCs w:val="24"/>
              </w:rPr>
            </w:pPr>
            <w:r w:rsidRPr="002C224A">
              <w:rPr>
                <w:b/>
                <w:bCs/>
                <w:color w:val="FFFFFF"/>
                <w:sz w:val="24"/>
                <w:szCs w:val="24"/>
              </w:rPr>
              <w:t>Dotace</w:t>
            </w:r>
          </w:p>
        </w:tc>
      </w:tr>
      <w:tr w:rsidR="00854C53" w:rsidRPr="002C224A" w:rsidTr="00F01B08">
        <w:trPr>
          <w:trHeight w:val="319"/>
        </w:trPr>
        <w:tc>
          <w:tcPr>
            <w:tcW w:w="1944" w:type="dxa"/>
            <w:gridSpan w:val="2"/>
            <w:vMerge/>
            <w:tcBorders>
              <w:left w:val="single" w:sz="4" w:space="0" w:color="auto"/>
              <w:bottom w:val="single" w:sz="4" w:space="0" w:color="auto"/>
              <w:right w:val="single" w:sz="4" w:space="0" w:color="auto"/>
            </w:tcBorders>
            <w:shd w:val="clear" w:color="auto" w:fill="4472C4"/>
            <w:noWrap/>
          </w:tcPr>
          <w:p w:rsidR="00854C53" w:rsidRPr="002C224A" w:rsidRDefault="00854C53" w:rsidP="00EF4DC5">
            <w:pPr>
              <w:jc w:val="left"/>
              <w:rPr>
                <w:color w:val="000000"/>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4472C4"/>
          </w:tcPr>
          <w:p w:rsidR="00854C53" w:rsidRPr="002C224A" w:rsidRDefault="00854C53" w:rsidP="00EF4DC5">
            <w:pPr>
              <w:jc w:val="center"/>
              <w:rPr>
                <w:b/>
                <w:bCs/>
                <w:color w:val="FFFFFF"/>
                <w:sz w:val="24"/>
                <w:szCs w:val="24"/>
              </w:rPr>
            </w:pPr>
            <w:r w:rsidRPr="002C224A">
              <w:rPr>
                <w:b/>
                <w:bCs/>
                <w:color w:val="FFFFFF"/>
                <w:sz w:val="24"/>
                <w:szCs w:val="24"/>
              </w:rPr>
              <w:t>Kapitálové vstupy</w:t>
            </w:r>
          </w:p>
        </w:tc>
        <w:tc>
          <w:tcPr>
            <w:tcW w:w="2585" w:type="dxa"/>
            <w:tcBorders>
              <w:top w:val="single" w:sz="4" w:space="0" w:color="auto"/>
              <w:left w:val="single" w:sz="4" w:space="0" w:color="auto"/>
              <w:bottom w:val="single" w:sz="4" w:space="0" w:color="auto"/>
              <w:right w:val="single" w:sz="4" w:space="0" w:color="auto"/>
            </w:tcBorders>
            <w:shd w:val="clear" w:color="auto" w:fill="4472C4"/>
          </w:tcPr>
          <w:p w:rsidR="00854C53" w:rsidRPr="002C224A" w:rsidRDefault="00854C53" w:rsidP="00EF4DC5">
            <w:pPr>
              <w:jc w:val="center"/>
              <w:rPr>
                <w:b/>
                <w:bCs/>
                <w:color w:val="FFFFFF"/>
                <w:sz w:val="24"/>
                <w:szCs w:val="24"/>
              </w:rPr>
            </w:pPr>
          </w:p>
        </w:tc>
      </w:tr>
      <w:tr w:rsidR="006D67F1" w:rsidRPr="002C224A" w:rsidTr="00165EB0">
        <w:trPr>
          <w:trHeight w:val="730"/>
        </w:trPr>
        <w:tc>
          <w:tcPr>
            <w:tcW w:w="972" w:type="dxa"/>
            <w:vMerge w:val="restart"/>
            <w:tcBorders>
              <w:top w:val="single" w:sz="4" w:space="0" w:color="auto"/>
              <w:left w:val="single" w:sz="4" w:space="0" w:color="auto"/>
              <w:bottom w:val="single" w:sz="4" w:space="0" w:color="auto"/>
              <w:right w:val="single" w:sz="4" w:space="0" w:color="auto"/>
            </w:tcBorders>
            <w:shd w:val="clear" w:color="auto" w:fill="5B9BD5"/>
            <w:noWrap/>
            <w:textDirection w:val="btLr"/>
          </w:tcPr>
          <w:p w:rsidR="006D67F1" w:rsidRPr="002C224A" w:rsidRDefault="003D7EB1" w:rsidP="00EF4DC5">
            <w:pPr>
              <w:jc w:val="center"/>
              <w:rPr>
                <w:b/>
                <w:bCs/>
                <w:color w:val="FFFFFF"/>
                <w:sz w:val="24"/>
                <w:szCs w:val="24"/>
              </w:rPr>
            </w:pPr>
            <w:r>
              <w:rPr>
                <w:b/>
                <w:bCs/>
                <w:color w:val="FFFFFF"/>
                <w:sz w:val="24"/>
                <w:szCs w:val="24"/>
              </w:rPr>
              <w:t>Přidaná hodnota veřejné podpory pro konečného příjemce a ŘO</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5B9BD5"/>
            <w:noWrap/>
            <w:textDirection w:val="btLr"/>
          </w:tcPr>
          <w:p w:rsidR="006D67F1" w:rsidRPr="002C224A" w:rsidRDefault="006D67F1" w:rsidP="00EF4DC5">
            <w:pPr>
              <w:jc w:val="center"/>
              <w:rPr>
                <w:b/>
                <w:bCs/>
                <w:color w:val="FFFFFF"/>
                <w:sz w:val="24"/>
                <w:szCs w:val="24"/>
              </w:rPr>
            </w:pPr>
            <w:r w:rsidRPr="002C224A">
              <w:rPr>
                <w:b/>
                <w:bCs/>
                <w:color w:val="FFFFFF"/>
                <w:sz w:val="24"/>
                <w:szCs w:val="24"/>
              </w:rPr>
              <w:t>Konečný příjemce</w:t>
            </w: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Poskytnutí prostředků na POC a komercializaci výsledků VaV</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Poskytnutí prostředků na POC a komercializaci výsledků VaV</w:t>
            </w:r>
          </w:p>
        </w:tc>
      </w:tr>
      <w:tr w:rsidR="006D67F1" w:rsidRPr="002C224A" w:rsidTr="00165EB0">
        <w:trPr>
          <w:trHeight w:val="487"/>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Flexibilní uvolňování prostředků podle dosažených výsledků a potřeb projektu</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Bez rizika pro</w:t>
            </w:r>
            <w:r w:rsidR="00882D6F">
              <w:rPr>
                <w:b/>
                <w:color w:val="FFFFFF"/>
                <w:sz w:val="20"/>
              </w:rPr>
              <w:t xml:space="preserve"> konečného</w:t>
            </w:r>
            <w:r w:rsidRPr="002C224A">
              <w:rPr>
                <w:b/>
                <w:color w:val="FFFFFF"/>
                <w:sz w:val="20"/>
              </w:rPr>
              <w:t xml:space="preserve"> příjemce</w:t>
            </w:r>
          </w:p>
        </w:tc>
      </w:tr>
      <w:tr w:rsidR="006D67F1" w:rsidRPr="002C224A" w:rsidTr="00165EB0">
        <w:trPr>
          <w:trHeight w:val="461"/>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Platba v předstihu</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Prostředky pro projekty CTT</w:t>
            </w:r>
          </w:p>
        </w:tc>
      </w:tr>
      <w:tr w:rsidR="006D67F1" w:rsidRPr="002C224A" w:rsidTr="00165EB0">
        <w:trPr>
          <w:trHeight w:val="48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noWrap/>
          </w:tcPr>
          <w:p w:rsidR="006D67F1" w:rsidRPr="002C224A" w:rsidRDefault="006D67F1" w:rsidP="00EF4DC5">
            <w:pPr>
              <w:jc w:val="center"/>
              <w:rPr>
                <w:b/>
                <w:color w:val="FFFFFF"/>
                <w:sz w:val="20"/>
              </w:rPr>
            </w:pPr>
            <w:r w:rsidRPr="002C224A">
              <w:rPr>
                <w:b/>
                <w:color w:val="FFFFFF"/>
                <w:sz w:val="20"/>
              </w:rPr>
              <w:t>Vysoký tlak na dosažení ziskovosti projektu – možnost pro úspěšná pracoviště</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p>
        </w:tc>
      </w:tr>
      <w:tr w:rsidR="006D67F1" w:rsidRPr="002C224A" w:rsidTr="00165EB0">
        <w:trPr>
          <w:trHeight w:val="401"/>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noWrap/>
          </w:tcPr>
          <w:p w:rsidR="006D67F1" w:rsidRPr="002C224A" w:rsidRDefault="006D67F1" w:rsidP="00EF4DC5">
            <w:pPr>
              <w:jc w:val="center"/>
              <w:rPr>
                <w:b/>
                <w:color w:val="FFFFFF"/>
                <w:sz w:val="20"/>
              </w:rPr>
            </w:pPr>
            <w:r w:rsidRPr="002C224A">
              <w:rPr>
                <w:b/>
                <w:color w:val="FFFFFF"/>
                <w:sz w:val="20"/>
              </w:rPr>
              <w:t>Budoucí finanční příjmy</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p>
        </w:tc>
      </w:tr>
      <w:tr w:rsidR="006D67F1" w:rsidRPr="002C224A" w:rsidTr="00165EB0">
        <w:trPr>
          <w:trHeight w:val="56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A50943" w:rsidRDefault="006D67F1" w:rsidP="00EF4DC5">
            <w:pPr>
              <w:jc w:val="center"/>
              <w:rPr>
                <w:b/>
                <w:color w:val="FFFFFF"/>
                <w:sz w:val="20"/>
              </w:rPr>
            </w:pPr>
            <w:r w:rsidRPr="002C224A">
              <w:rPr>
                <w:b/>
                <w:color w:val="FFFFFF"/>
                <w:sz w:val="20"/>
              </w:rPr>
              <w:t>Propojení s odbornou asistencí (CTT, CI</w:t>
            </w:r>
            <w:r w:rsidRPr="002C224A">
              <w:rPr>
                <w:rStyle w:val="Znakapoznpodarou"/>
                <w:rFonts w:ascii="Calibri" w:hAnsi="Calibri"/>
                <w:b/>
                <w:color w:val="FFFFFF"/>
              </w:rPr>
              <w:footnoteReference w:id="24"/>
            </w:r>
            <w:r w:rsidRPr="00A50943">
              <w:rPr>
                <w:b/>
                <w:color w:val="FFFFFF"/>
                <w:sz w:val="20"/>
              </w:rPr>
              <w:t>)</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p>
        </w:tc>
      </w:tr>
      <w:tr w:rsidR="006D67F1" w:rsidRPr="002C224A" w:rsidTr="00165EB0">
        <w:trPr>
          <w:trHeight w:val="502"/>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Malé finanční riziko pro</w:t>
            </w:r>
            <w:r w:rsidR="00882D6F">
              <w:rPr>
                <w:b/>
                <w:color w:val="FFFFFF"/>
                <w:sz w:val="20"/>
              </w:rPr>
              <w:t xml:space="preserve"> konečného</w:t>
            </w:r>
            <w:r w:rsidRPr="002C224A">
              <w:rPr>
                <w:b/>
                <w:color w:val="FFFFFF"/>
                <w:sz w:val="20"/>
              </w:rPr>
              <w:t xml:space="preserve"> příjemce – v závislosti na druhu vkladu</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color w:val="FFFFFF"/>
                <w:sz w:val="20"/>
              </w:rPr>
            </w:pPr>
          </w:p>
        </w:tc>
      </w:tr>
      <w:tr w:rsidR="006D67F1" w:rsidRPr="002C224A" w:rsidTr="00165EB0">
        <w:trPr>
          <w:trHeight w:val="512"/>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Propojení s investičním trhem, možnost exitu v seed fondu SC 2.1</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color w:val="FFFFFF"/>
                <w:sz w:val="20"/>
              </w:rPr>
            </w:pPr>
          </w:p>
        </w:tc>
      </w:tr>
      <w:tr w:rsidR="006D67F1" w:rsidRPr="002C224A" w:rsidTr="00165EB0">
        <w:trPr>
          <w:trHeight w:val="56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Možnost vstupu investorů v průběhu a jejich podílu na projektu</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color w:val="FFFFFF"/>
                <w:sz w:val="20"/>
              </w:rPr>
            </w:pPr>
          </w:p>
        </w:tc>
      </w:tr>
      <w:tr w:rsidR="006D67F1" w:rsidRPr="002C224A" w:rsidTr="00165EB0">
        <w:trPr>
          <w:trHeight w:val="74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val="restart"/>
            <w:tcBorders>
              <w:top w:val="single" w:sz="4" w:space="0" w:color="auto"/>
              <w:left w:val="single" w:sz="4" w:space="0" w:color="auto"/>
              <w:bottom w:val="single" w:sz="4" w:space="0" w:color="auto"/>
              <w:right w:val="single" w:sz="4" w:space="0" w:color="auto"/>
            </w:tcBorders>
            <w:shd w:val="clear" w:color="auto" w:fill="5B9BD5"/>
            <w:noWrap/>
            <w:textDirection w:val="btLr"/>
          </w:tcPr>
          <w:p w:rsidR="006D67F1" w:rsidRPr="002C224A" w:rsidRDefault="006D67F1" w:rsidP="00EF4DC5">
            <w:pPr>
              <w:jc w:val="center"/>
              <w:rPr>
                <w:b/>
                <w:bCs/>
                <w:color w:val="FFFFFF"/>
                <w:sz w:val="24"/>
                <w:szCs w:val="24"/>
              </w:rPr>
            </w:pPr>
            <w:r w:rsidRPr="002C224A">
              <w:rPr>
                <w:b/>
                <w:bCs/>
                <w:color w:val="FFFFFF"/>
                <w:sz w:val="24"/>
                <w:szCs w:val="24"/>
              </w:rPr>
              <w:t>ŘO</w:t>
            </w: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Prostředek k tlaku na nastavení institucionálního rámce pro komercializaci a výběr projektů na VO</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Prostředek k tlaku na nastavení institucionálního rámce pro komercializaci a výběr projektů na VO</w:t>
            </w:r>
          </w:p>
        </w:tc>
      </w:tr>
      <w:tr w:rsidR="006D67F1" w:rsidRPr="002C224A" w:rsidTr="00165EB0">
        <w:trPr>
          <w:trHeight w:val="581"/>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noWrap/>
            <w:textDirection w:val="btLr"/>
          </w:tcPr>
          <w:p w:rsidR="006D67F1" w:rsidRPr="002C224A" w:rsidRDefault="006D67F1" w:rsidP="00EF4DC5">
            <w:pPr>
              <w:jc w:val="center"/>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Potenciální příjmy z úspěšných projektů, možnost revolvingu</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p>
        </w:tc>
      </w:tr>
      <w:tr w:rsidR="006D67F1" w:rsidRPr="002C224A" w:rsidTr="00165EB0">
        <w:trPr>
          <w:trHeight w:val="579"/>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left"/>
              <w:rPr>
                <w:b/>
                <w:bCs/>
                <w:color w:val="FFFFFF"/>
                <w:sz w:val="18"/>
                <w:szCs w:val="18"/>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noWrap/>
            <w:textDirection w:val="btLr"/>
          </w:tcPr>
          <w:p w:rsidR="006D67F1" w:rsidRPr="002C224A" w:rsidRDefault="006D67F1" w:rsidP="00EF4DC5">
            <w:pPr>
              <w:jc w:val="center"/>
              <w:rPr>
                <w:b/>
                <w:bCs/>
                <w:color w:val="FFFFFF"/>
                <w:sz w:val="18"/>
                <w:szCs w:val="18"/>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Vyšší kontrola nad efektivním vynakládáním prostředků</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rsidR="006D67F1" w:rsidRPr="002C224A" w:rsidRDefault="006D67F1" w:rsidP="00EF4DC5">
            <w:pPr>
              <w:jc w:val="center"/>
              <w:rPr>
                <w:b/>
                <w:color w:val="FFFFFF"/>
                <w:sz w:val="20"/>
              </w:rPr>
            </w:pPr>
          </w:p>
        </w:tc>
      </w:tr>
      <w:tr w:rsidR="006D67F1" w:rsidRPr="002C224A" w:rsidTr="00165EB0">
        <w:trPr>
          <w:trHeight w:val="315"/>
        </w:trPr>
        <w:tc>
          <w:tcPr>
            <w:tcW w:w="972" w:type="dxa"/>
            <w:vMerge/>
            <w:tcBorders>
              <w:top w:val="single" w:sz="4" w:space="0" w:color="auto"/>
            </w:tcBorders>
            <w:shd w:val="clear" w:color="auto" w:fill="5B9BD5"/>
          </w:tcPr>
          <w:p w:rsidR="006D67F1" w:rsidRPr="002C224A" w:rsidRDefault="006D67F1" w:rsidP="00EF4DC5">
            <w:pPr>
              <w:jc w:val="left"/>
              <w:rPr>
                <w:b/>
                <w:bCs/>
                <w:color w:val="FFFFFF"/>
                <w:sz w:val="18"/>
                <w:szCs w:val="18"/>
              </w:rPr>
            </w:pPr>
          </w:p>
        </w:tc>
        <w:tc>
          <w:tcPr>
            <w:tcW w:w="972" w:type="dxa"/>
            <w:vMerge/>
            <w:tcBorders>
              <w:top w:val="single" w:sz="4" w:space="0" w:color="auto"/>
            </w:tcBorders>
            <w:shd w:val="clear" w:color="auto" w:fill="5B9BD5"/>
            <w:noWrap/>
            <w:textDirection w:val="btLr"/>
          </w:tcPr>
          <w:p w:rsidR="006D67F1" w:rsidRPr="002C224A" w:rsidRDefault="006D67F1" w:rsidP="00EF4DC5">
            <w:pPr>
              <w:jc w:val="center"/>
              <w:rPr>
                <w:b/>
                <w:bCs/>
                <w:color w:val="FFFFFF"/>
                <w:sz w:val="18"/>
                <w:szCs w:val="18"/>
              </w:rPr>
            </w:pPr>
          </w:p>
        </w:tc>
        <w:tc>
          <w:tcPr>
            <w:tcW w:w="3439" w:type="dxa"/>
            <w:tcBorders>
              <w:top w:val="single" w:sz="4" w:space="0" w:color="auto"/>
            </w:tcBorders>
            <w:shd w:val="clear" w:color="auto" w:fill="5B9BD5"/>
          </w:tcPr>
          <w:p w:rsidR="006D67F1" w:rsidRPr="002C224A" w:rsidRDefault="006D67F1" w:rsidP="00EF4DC5">
            <w:pPr>
              <w:jc w:val="center"/>
              <w:rPr>
                <w:b/>
                <w:color w:val="FFFFFF"/>
                <w:sz w:val="20"/>
              </w:rPr>
            </w:pPr>
            <w:r w:rsidRPr="002C224A">
              <w:rPr>
                <w:b/>
                <w:color w:val="FFFFFF"/>
                <w:sz w:val="20"/>
              </w:rPr>
              <w:t>Rychlé čerpání</w:t>
            </w:r>
          </w:p>
        </w:tc>
        <w:tc>
          <w:tcPr>
            <w:tcW w:w="2585" w:type="dxa"/>
            <w:tcBorders>
              <w:top w:val="single" w:sz="4" w:space="0" w:color="auto"/>
            </w:tcBorders>
            <w:shd w:val="clear" w:color="auto" w:fill="5B9BD5"/>
          </w:tcPr>
          <w:p w:rsidR="006D67F1" w:rsidRPr="002C224A" w:rsidRDefault="006D67F1" w:rsidP="00EF4DC5">
            <w:pPr>
              <w:jc w:val="center"/>
              <w:rPr>
                <w:b/>
                <w:color w:val="FFFFFF"/>
                <w:sz w:val="20"/>
              </w:rPr>
            </w:pPr>
          </w:p>
        </w:tc>
      </w:tr>
      <w:tr w:rsidR="006D67F1" w:rsidRPr="002C224A" w:rsidTr="005E1820">
        <w:tblPrEx>
          <w:tblBorders>
            <w:insideH w:val="single" w:sz="4" w:space="0" w:color="auto"/>
            <w:insideV w:val="single" w:sz="4" w:space="0" w:color="auto"/>
          </w:tblBorders>
        </w:tblPrEx>
        <w:trPr>
          <w:trHeight w:val="745"/>
        </w:trPr>
        <w:tc>
          <w:tcPr>
            <w:tcW w:w="972" w:type="dxa"/>
            <w:vMerge w:val="restart"/>
            <w:shd w:val="clear" w:color="auto" w:fill="FF0000"/>
            <w:textDirection w:val="btLr"/>
          </w:tcPr>
          <w:p w:rsidR="006D67F1" w:rsidRPr="002C224A" w:rsidRDefault="006D67F1" w:rsidP="00EF4DC5">
            <w:pPr>
              <w:ind w:left="113" w:right="113"/>
              <w:jc w:val="center"/>
              <w:rPr>
                <w:b/>
                <w:bCs/>
                <w:color w:val="FFFFFF"/>
                <w:sz w:val="24"/>
                <w:szCs w:val="24"/>
              </w:rPr>
            </w:pPr>
            <w:r w:rsidRPr="002C224A">
              <w:rPr>
                <w:b/>
                <w:bCs/>
                <w:color w:val="FFFFFF"/>
                <w:sz w:val="24"/>
                <w:szCs w:val="24"/>
              </w:rPr>
              <w:t>Nevýhody, problémy a rizika</w:t>
            </w:r>
          </w:p>
        </w:tc>
        <w:tc>
          <w:tcPr>
            <w:tcW w:w="972" w:type="dxa"/>
            <w:vMerge w:val="restart"/>
            <w:shd w:val="clear" w:color="auto" w:fill="FF0000"/>
            <w:noWrap/>
            <w:textDirection w:val="btLr"/>
          </w:tcPr>
          <w:p w:rsidR="006D67F1" w:rsidRPr="002C224A" w:rsidRDefault="006D67F1" w:rsidP="00EF4DC5">
            <w:pPr>
              <w:jc w:val="center"/>
              <w:rPr>
                <w:b/>
                <w:bCs/>
                <w:color w:val="FFFFFF"/>
                <w:sz w:val="24"/>
                <w:szCs w:val="24"/>
              </w:rPr>
            </w:pPr>
            <w:r w:rsidRPr="002C224A">
              <w:rPr>
                <w:b/>
                <w:bCs/>
                <w:color w:val="FFFFFF"/>
                <w:sz w:val="24"/>
                <w:szCs w:val="24"/>
              </w:rPr>
              <w:t>Konečný příjemce</w:t>
            </w: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Problém s odborným výběrem projektů a jejich oceněním</w:t>
            </w:r>
          </w:p>
        </w:tc>
        <w:tc>
          <w:tcPr>
            <w:tcW w:w="2585" w:type="dxa"/>
            <w:shd w:val="clear" w:color="auto" w:fill="FF0000"/>
          </w:tcPr>
          <w:p w:rsidR="006D67F1" w:rsidRPr="002C224A" w:rsidRDefault="006D67F1" w:rsidP="00EF4DC5">
            <w:pPr>
              <w:jc w:val="center"/>
              <w:rPr>
                <w:b/>
                <w:color w:val="FFFFFF"/>
                <w:sz w:val="20"/>
              </w:rPr>
            </w:pPr>
            <w:r w:rsidRPr="002C224A">
              <w:rPr>
                <w:b/>
                <w:color w:val="FFFFFF"/>
                <w:sz w:val="20"/>
              </w:rPr>
              <w:t>Problém s odborným a nestranným výběrem projektů v rámci ŘO i VO</w:t>
            </w:r>
          </w:p>
        </w:tc>
      </w:tr>
      <w:tr w:rsidR="006D67F1" w:rsidRPr="002C224A" w:rsidTr="005E1820">
        <w:tblPrEx>
          <w:tblBorders>
            <w:insideH w:val="single" w:sz="4" w:space="0" w:color="auto"/>
            <w:insideV w:val="single" w:sz="4" w:space="0" w:color="auto"/>
          </w:tblBorders>
        </w:tblPrEx>
        <w:trPr>
          <w:trHeight w:val="745"/>
        </w:trPr>
        <w:tc>
          <w:tcPr>
            <w:tcW w:w="972" w:type="dxa"/>
            <w:vMerge/>
            <w:shd w:val="clear" w:color="auto" w:fill="FF0000"/>
            <w:textDirection w:val="btLr"/>
          </w:tcPr>
          <w:p w:rsidR="006D67F1" w:rsidRPr="002C224A" w:rsidRDefault="006D67F1" w:rsidP="00EF4DC5">
            <w:pPr>
              <w:ind w:left="113" w:right="113"/>
              <w:jc w:val="center"/>
              <w:rPr>
                <w:b/>
                <w:bCs/>
                <w:color w:val="FFFFFF"/>
                <w:sz w:val="24"/>
                <w:szCs w:val="24"/>
              </w:rPr>
            </w:pPr>
          </w:p>
        </w:tc>
        <w:tc>
          <w:tcPr>
            <w:tcW w:w="972" w:type="dxa"/>
            <w:vMerge/>
            <w:shd w:val="clear" w:color="auto" w:fill="FF0000"/>
            <w:noWrap/>
            <w:textDirection w:val="btLr"/>
          </w:tcPr>
          <w:p w:rsidR="006D67F1" w:rsidRPr="002C224A" w:rsidRDefault="006D67F1" w:rsidP="00EF4DC5">
            <w:pPr>
              <w:jc w:val="center"/>
              <w:rPr>
                <w:b/>
                <w:bCs/>
                <w:color w:val="FFFFFF"/>
                <w:sz w:val="24"/>
                <w:szCs w:val="24"/>
              </w:rPr>
            </w:pP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Problém se zajištěním odborné asistence v podnikatelské a investiční oblasti</w:t>
            </w:r>
          </w:p>
        </w:tc>
        <w:tc>
          <w:tcPr>
            <w:tcW w:w="2585" w:type="dxa"/>
            <w:shd w:val="clear" w:color="auto" w:fill="FF0000"/>
          </w:tcPr>
          <w:p w:rsidR="006D67F1" w:rsidRPr="002C224A" w:rsidRDefault="006D67F1" w:rsidP="00EF4DC5">
            <w:pPr>
              <w:jc w:val="center"/>
              <w:rPr>
                <w:b/>
                <w:color w:val="FFFFFF"/>
                <w:sz w:val="20"/>
              </w:rPr>
            </w:pPr>
            <w:r w:rsidRPr="002C224A">
              <w:rPr>
                <w:b/>
                <w:color w:val="FFFFFF"/>
                <w:sz w:val="20"/>
              </w:rPr>
              <w:t>Problém se zajištěním odborné asistence v podnikatelské a investiční oblasti</w:t>
            </w:r>
          </w:p>
        </w:tc>
      </w:tr>
      <w:tr w:rsidR="006D67F1" w:rsidRPr="002C224A" w:rsidTr="005E1820">
        <w:tblPrEx>
          <w:tblBorders>
            <w:insideH w:val="single" w:sz="4" w:space="0" w:color="auto"/>
            <w:insideV w:val="single" w:sz="4" w:space="0" w:color="auto"/>
          </w:tblBorders>
        </w:tblPrEx>
        <w:trPr>
          <w:trHeight w:val="488"/>
        </w:trPr>
        <w:tc>
          <w:tcPr>
            <w:tcW w:w="972" w:type="dxa"/>
            <w:vMerge/>
            <w:shd w:val="clear" w:color="auto" w:fill="FF0000"/>
          </w:tcPr>
          <w:p w:rsidR="006D67F1" w:rsidRPr="002C224A" w:rsidRDefault="006D67F1" w:rsidP="00EF4DC5">
            <w:pPr>
              <w:jc w:val="left"/>
              <w:rPr>
                <w:b/>
                <w:bCs/>
                <w:color w:val="000000"/>
                <w:sz w:val="24"/>
                <w:szCs w:val="24"/>
              </w:rPr>
            </w:pPr>
          </w:p>
        </w:tc>
        <w:tc>
          <w:tcPr>
            <w:tcW w:w="972" w:type="dxa"/>
            <w:vMerge/>
            <w:shd w:val="clear" w:color="auto" w:fill="FF0000"/>
            <w:noWrap/>
            <w:textDirection w:val="btLr"/>
          </w:tcPr>
          <w:p w:rsidR="006D67F1" w:rsidRPr="002C224A" w:rsidRDefault="006D67F1" w:rsidP="00EF4DC5">
            <w:pPr>
              <w:jc w:val="center"/>
              <w:rPr>
                <w:b/>
                <w:bCs/>
                <w:color w:val="000000"/>
                <w:sz w:val="24"/>
                <w:szCs w:val="24"/>
              </w:rPr>
            </w:pPr>
          </w:p>
        </w:tc>
        <w:tc>
          <w:tcPr>
            <w:tcW w:w="3439" w:type="dxa"/>
            <w:shd w:val="clear" w:color="auto" w:fill="FF0000"/>
          </w:tcPr>
          <w:p w:rsidR="006D67F1" w:rsidRPr="002C224A" w:rsidRDefault="006D67F1" w:rsidP="00EF4DC5">
            <w:pPr>
              <w:jc w:val="center"/>
              <w:rPr>
                <w:b/>
                <w:color w:val="FFFFFF"/>
                <w:sz w:val="20"/>
              </w:rPr>
            </w:pPr>
          </w:p>
        </w:tc>
        <w:tc>
          <w:tcPr>
            <w:tcW w:w="2585" w:type="dxa"/>
            <w:shd w:val="clear" w:color="auto" w:fill="FF0000"/>
          </w:tcPr>
          <w:p w:rsidR="006D67F1" w:rsidRPr="002C224A" w:rsidRDefault="006D67F1" w:rsidP="00EF4DC5">
            <w:pPr>
              <w:jc w:val="center"/>
              <w:rPr>
                <w:b/>
                <w:color w:val="FFFFFF"/>
                <w:sz w:val="20"/>
              </w:rPr>
            </w:pPr>
            <w:r w:rsidRPr="002C224A">
              <w:rPr>
                <w:b/>
                <w:color w:val="FFFFFF"/>
                <w:sz w:val="20"/>
              </w:rPr>
              <w:t>Neflexibilní plánování projektu</w:t>
            </w:r>
          </w:p>
        </w:tc>
      </w:tr>
      <w:tr w:rsidR="006D67F1" w:rsidRPr="002C224A" w:rsidTr="005E1820">
        <w:tblPrEx>
          <w:tblBorders>
            <w:insideH w:val="single" w:sz="4" w:space="0" w:color="auto"/>
            <w:insideV w:val="single" w:sz="4" w:space="0" w:color="auto"/>
          </w:tblBorders>
        </w:tblPrEx>
        <w:trPr>
          <w:trHeight w:val="462"/>
        </w:trPr>
        <w:tc>
          <w:tcPr>
            <w:tcW w:w="972" w:type="dxa"/>
            <w:vMerge/>
            <w:shd w:val="clear" w:color="auto" w:fill="FF0000"/>
          </w:tcPr>
          <w:p w:rsidR="006D67F1" w:rsidRPr="002C224A" w:rsidRDefault="006D67F1" w:rsidP="00EF4DC5">
            <w:pPr>
              <w:jc w:val="left"/>
              <w:rPr>
                <w:b/>
                <w:bCs/>
                <w:color w:val="000000"/>
                <w:sz w:val="24"/>
                <w:szCs w:val="24"/>
              </w:rPr>
            </w:pPr>
          </w:p>
        </w:tc>
        <w:tc>
          <w:tcPr>
            <w:tcW w:w="972" w:type="dxa"/>
            <w:vMerge/>
            <w:shd w:val="clear" w:color="auto" w:fill="FF0000"/>
            <w:noWrap/>
            <w:textDirection w:val="btLr"/>
          </w:tcPr>
          <w:p w:rsidR="006D67F1" w:rsidRPr="002C224A" w:rsidRDefault="006D67F1" w:rsidP="00EF4DC5">
            <w:pPr>
              <w:jc w:val="center"/>
              <w:rPr>
                <w:b/>
                <w:bCs/>
                <w:color w:val="000000"/>
                <w:sz w:val="24"/>
                <w:szCs w:val="24"/>
              </w:rPr>
            </w:pPr>
          </w:p>
        </w:tc>
        <w:tc>
          <w:tcPr>
            <w:tcW w:w="3439" w:type="dxa"/>
            <w:shd w:val="clear" w:color="auto" w:fill="FF0000"/>
          </w:tcPr>
          <w:p w:rsidR="006D67F1" w:rsidRPr="002C224A" w:rsidRDefault="006D67F1" w:rsidP="00EF4DC5">
            <w:pPr>
              <w:jc w:val="center"/>
              <w:rPr>
                <w:b/>
                <w:color w:val="FFFFFF"/>
                <w:sz w:val="20"/>
              </w:rPr>
            </w:pPr>
          </w:p>
        </w:tc>
        <w:tc>
          <w:tcPr>
            <w:tcW w:w="2585" w:type="dxa"/>
            <w:shd w:val="clear" w:color="auto" w:fill="FF0000"/>
          </w:tcPr>
          <w:p w:rsidR="006D67F1" w:rsidRPr="002C224A" w:rsidRDefault="006D67F1" w:rsidP="00EF4DC5">
            <w:pPr>
              <w:jc w:val="center"/>
              <w:rPr>
                <w:b/>
                <w:color w:val="FFFFFF"/>
                <w:sz w:val="20"/>
              </w:rPr>
            </w:pPr>
            <w:r w:rsidRPr="002C224A">
              <w:rPr>
                <w:b/>
                <w:color w:val="FFFFFF"/>
                <w:sz w:val="20"/>
              </w:rPr>
              <w:t>Nízká motivace k ziskové komercializaci</w:t>
            </w:r>
          </w:p>
        </w:tc>
      </w:tr>
      <w:tr w:rsidR="006D67F1" w:rsidRPr="002C224A" w:rsidTr="005E1820">
        <w:tblPrEx>
          <w:tblBorders>
            <w:insideH w:val="single" w:sz="4" w:space="0" w:color="auto"/>
            <w:insideV w:val="single" w:sz="4" w:space="0" w:color="auto"/>
          </w:tblBorders>
        </w:tblPrEx>
        <w:trPr>
          <w:trHeight w:val="475"/>
        </w:trPr>
        <w:tc>
          <w:tcPr>
            <w:tcW w:w="972" w:type="dxa"/>
            <w:vMerge/>
            <w:shd w:val="clear" w:color="auto" w:fill="FF0000"/>
          </w:tcPr>
          <w:p w:rsidR="006D67F1" w:rsidRPr="002C224A" w:rsidRDefault="006D67F1" w:rsidP="00EF4DC5">
            <w:pPr>
              <w:jc w:val="left"/>
              <w:rPr>
                <w:b/>
                <w:bCs/>
                <w:color w:val="000000"/>
                <w:sz w:val="24"/>
                <w:szCs w:val="24"/>
              </w:rPr>
            </w:pPr>
          </w:p>
        </w:tc>
        <w:tc>
          <w:tcPr>
            <w:tcW w:w="972" w:type="dxa"/>
            <w:vMerge/>
            <w:shd w:val="clear" w:color="auto" w:fill="FF0000"/>
            <w:noWrap/>
            <w:textDirection w:val="btLr"/>
          </w:tcPr>
          <w:p w:rsidR="006D67F1" w:rsidRPr="002C224A" w:rsidRDefault="006D67F1" w:rsidP="00EF4DC5">
            <w:pPr>
              <w:jc w:val="center"/>
              <w:rPr>
                <w:b/>
                <w:bCs/>
                <w:color w:val="000000"/>
                <w:sz w:val="24"/>
                <w:szCs w:val="24"/>
              </w:rPr>
            </w:pPr>
          </w:p>
        </w:tc>
        <w:tc>
          <w:tcPr>
            <w:tcW w:w="3439" w:type="dxa"/>
            <w:shd w:val="clear" w:color="auto" w:fill="FF0000"/>
          </w:tcPr>
          <w:p w:rsidR="006D67F1" w:rsidRPr="002C224A" w:rsidRDefault="006D67F1" w:rsidP="00EF4DC5">
            <w:pPr>
              <w:jc w:val="center"/>
              <w:rPr>
                <w:b/>
                <w:color w:val="FFFFFF"/>
                <w:sz w:val="20"/>
              </w:rPr>
            </w:pPr>
          </w:p>
        </w:tc>
        <w:tc>
          <w:tcPr>
            <w:tcW w:w="2585" w:type="dxa"/>
            <w:shd w:val="clear" w:color="auto" w:fill="FF0000"/>
          </w:tcPr>
          <w:p w:rsidR="006D67F1" w:rsidRPr="002C224A" w:rsidRDefault="006D67F1" w:rsidP="00EF4DC5">
            <w:pPr>
              <w:jc w:val="center"/>
              <w:rPr>
                <w:b/>
                <w:color w:val="FFFFFF"/>
                <w:sz w:val="20"/>
              </w:rPr>
            </w:pPr>
            <w:r w:rsidRPr="002C224A">
              <w:rPr>
                <w:b/>
                <w:color w:val="FFFFFF"/>
                <w:sz w:val="20"/>
              </w:rPr>
              <w:t>Slabé napojení na soukromé investory</w:t>
            </w:r>
          </w:p>
        </w:tc>
      </w:tr>
      <w:tr w:rsidR="006D67F1" w:rsidRPr="002C224A" w:rsidTr="009E4F28">
        <w:tblPrEx>
          <w:tblBorders>
            <w:insideH w:val="single" w:sz="4" w:space="0" w:color="auto"/>
            <w:insideV w:val="single" w:sz="4" w:space="0" w:color="auto"/>
          </w:tblBorders>
        </w:tblPrEx>
        <w:trPr>
          <w:trHeight w:val="544"/>
        </w:trPr>
        <w:tc>
          <w:tcPr>
            <w:tcW w:w="972" w:type="dxa"/>
            <w:vMerge/>
            <w:shd w:val="clear" w:color="auto" w:fill="FF0000"/>
          </w:tcPr>
          <w:p w:rsidR="006D67F1" w:rsidRPr="002C224A" w:rsidRDefault="006D67F1" w:rsidP="00EF4DC5">
            <w:pPr>
              <w:jc w:val="left"/>
              <w:rPr>
                <w:b/>
                <w:bCs/>
                <w:color w:val="000000"/>
                <w:sz w:val="24"/>
                <w:szCs w:val="24"/>
              </w:rPr>
            </w:pPr>
          </w:p>
        </w:tc>
        <w:tc>
          <w:tcPr>
            <w:tcW w:w="972" w:type="dxa"/>
            <w:vMerge w:val="restart"/>
            <w:shd w:val="clear" w:color="auto" w:fill="FF0000"/>
            <w:noWrap/>
            <w:textDirection w:val="btLr"/>
          </w:tcPr>
          <w:p w:rsidR="006D67F1" w:rsidRPr="002C224A" w:rsidRDefault="006D67F1" w:rsidP="00EF4DC5">
            <w:pPr>
              <w:jc w:val="center"/>
              <w:rPr>
                <w:b/>
                <w:bCs/>
                <w:color w:val="FFFFFF"/>
                <w:sz w:val="24"/>
                <w:szCs w:val="24"/>
              </w:rPr>
            </w:pPr>
            <w:r w:rsidRPr="002C224A">
              <w:rPr>
                <w:b/>
                <w:bCs/>
                <w:color w:val="FFFFFF"/>
                <w:sz w:val="24"/>
                <w:szCs w:val="24"/>
              </w:rPr>
              <w:t>ŘO</w:t>
            </w: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Problém s odborným výběrem projektů a jejich oceněním</w:t>
            </w:r>
          </w:p>
        </w:tc>
        <w:tc>
          <w:tcPr>
            <w:tcW w:w="2585" w:type="dxa"/>
            <w:vMerge w:val="restart"/>
            <w:shd w:val="clear" w:color="auto" w:fill="FF0000"/>
          </w:tcPr>
          <w:p w:rsidR="006D67F1" w:rsidRPr="002C224A" w:rsidRDefault="006D67F1" w:rsidP="00EF4DC5">
            <w:pPr>
              <w:jc w:val="center"/>
              <w:rPr>
                <w:b/>
                <w:color w:val="FFFFFF"/>
                <w:sz w:val="20"/>
              </w:rPr>
            </w:pPr>
            <w:r w:rsidRPr="002C224A">
              <w:rPr>
                <w:b/>
                <w:color w:val="FFFFFF"/>
                <w:sz w:val="20"/>
              </w:rPr>
              <w:t>Nízká kontrola nad efektivním vynakládáním prostředků a výběrem projektů</w:t>
            </w:r>
          </w:p>
        </w:tc>
      </w:tr>
      <w:tr w:rsidR="006D67F1" w:rsidRPr="002C224A" w:rsidTr="009E4F28">
        <w:tblPrEx>
          <w:tblBorders>
            <w:insideH w:val="single" w:sz="4" w:space="0" w:color="auto"/>
            <w:insideV w:val="single" w:sz="4" w:space="0" w:color="auto"/>
          </w:tblBorders>
        </w:tblPrEx>
        <w:trPr>
          <w:trHeight w:val="544"/>
        </w:trPr>
        <w:tc>
          <w:tcPr>
            <w:tcW w:w="972" w:type="dxa"/>
            <w:vMerge/>
            <w:shd w:val="clear" w:color="auto" w:fill="FF0000"/>
          </w:tcPr>
          <w:p w:rsidR="006D67F1" w:rsidRPr="002C224A" w:rsidRDefault="006D67F1" w:rsidP="00EF4DC5">
            <w:pPr>
              <w:jc w:val="left"/>
              <w:rPr>
                <w:b/>
                <w:bCs/>
                <w:color w:val="000000"/>
                <w:sz w:val="24"/>
                <w:szCs w:val="24"/>
              </w:rPr>
            </w:pPr>
          </w:p>
        </w:tc>
        <w:tc>
          <w:tcPr>
            <w:tcW w:w="972" w:type="dxa"/>
            <w:vMerge/>
            <w:shd w:val="clear" w:color="auto" w:fill="FF0000"/>
            <w:noWrap/>
            <w:textDirection w:val="btLr"/>
          </w:tcPr>
          <w:p w:rsidR="006D67F1" w:rsidRPr="002C224A" w:rsidRDefault="006D67F1" w:rsidP="00EF4DC5">
            <w:pPr>
              <w:jc w:val="center"/>
              <w:rPr>
                <w:b/>
                <w:bCs/>
                <w:color w:val="FFFFFF"/>
                <w:sz w:val="24"/>
                <w:szCs w:val="24"/>
              </w:rPr>
            </w:pP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Nutnost doplnění odborného zázemí pro vedení projektů</w:t>
            </w:r>
          </w:p>
        </w:tc>
        <w:tc>
          <w:tcPr>
            <w:tcW w:w="2585" w:type="dxa"/>
            <w:vMerge/>
            <w:shd w:val="clear" w:color="auto" w:fill="FF0000"/>
          </w:tcPr>
          <w:p w:rsidR="006D67F1" w:rsidRPr="002C224A" w:rsidRDefault="006D67F1" w:rsidP="00EF4DC5">
            <w:pPr>
              <w:jc w:val="center"/>
              <w:rPr>
                <w:b/>
                <w:color w:val="FFFFFF"/>
                <w:sz w:val="20"/>
              </w:rPr>
            </w:pPr>
          </w:p>
        </w:tc>
      </w:tr>
      <w:tr w:rsidR="006D67F1" w:rsidRPr="002C224A" w:rsidTr="005E1820">
        <w:tblPrEx>
          <w:tblBorders>
            <w:insideH w:val="single" w:sz="4" w:space="0" w:color="auto"/>
            <w:insideV w:val="single" w:sz="4" w:space="0" w:color="auto"/>
          </w:tblBorders>
        </w:tblPrEx>
        <w:trPr>
          <w:trHeight w:val="574"/>
        </w:trPr>
        <w:tc>
          <w:tcPr>
            <w:tcW w:w="972" w:type="dxa"/>
            <w:vMerge/>
            <w:shd w:val="clear" w:color="auto" w:fill="FF0000"/>
          </w:tcPr>
          <w:p w:rsidR="006D67F1" w:rsidRPr="002C224A" w:rsidRDefault="006D67F1" w:rsidP="00EF4DC5">
            <w:pPr>
              <w:jc w:val="left"/>
              <w:rPr>
                <w:b/>
                <w:bCs/>
                <w:color w:val="000000"/>
                <w:sz w:val="18"/>
                <w:szCs w:val="18"/>
              </w:rPr>
            </w:pPr>
          </w:p>
        </w:tc>
        <w:tc>
          <w:tcPr>
            <w:tcW w:w="972" w:type="dxa"/>
            <w:vMerge/>
            <w:shd w:val="clear" w:color="auto" w:fill="FF0000"/>
            <w:noWrap/>
            <w:textDirection w:val="btLr"/>
          </w:tcPr>
          <w:p w:rsidR="006D67F1" w:rsidRPr="002C224A" w:rsidRDefault="006D67F1" w:rsidP="00EF4DC5">
            <w:pPr>
              <w:jc w:val="center"/>
              <w:rPr>
                <w:b/>
                <w:bCs/>
                <w:color w:val="000000"/>
                <w:sz w:val="18"/>
                <w:szCs w:val="18"/>
              </w:rPr>
            </w:pPr>
          </w:p>
        </w:tc>
        <w:tc>
          <w:tcPr>
            <w:tcW w:w="3439" w:type="dxa"/>
            <w:shd w:val="clear" w:color="auto" w:fill="FF0000"/>
          </w:tcPr>
          <w:p w:rsidR="006D67F1" w:rsidRPr="002C224A" w:rsidRDefault="006D67F1" w:rsidP="00114915">
            <w:pPr>
              <w:jc w:val="center"/>
              <w:rPr>
                <w:b/>
                <w:color w:val="FFFFFF"/>
                <w:sz w:val="20"/>
              </w:rPr>
            </w:pPr>
            <w:r w:rsidRPr="002C224A">
              <w:rPr>
                <w:b/>
                <w:color w:val="FFFFFF"/>
                <w:sz w:val="20"/>
              </w:rPr>
              <w:t>Potenciálně nízký revolvingový efekt</w:t>
            </w:r>
          </w:p>
        </w:tc>
        <w:tc>
          <w:tcPr>
            <w:tcW w:w="2585" w:type="dxa"/>
            <w:shd w:val="clear" w:color="auto" w:fill="FF0000"/>
          </w:tcPr>
          <w:p w:rsidR="006D67F1" w:rsidRPr="002C224A" w:rsidRDefault="006D67F1" w:rsidP="00EF4DC5">
            <w:pPr>
              <w:jc w:val="center"/>
              <w:rPr>
                <w:b/>
                <w:color w:val="FFFFFF"/>
                <w:sz w:val="20"/>
              </w:rPr>
            </w:pPr>
            <w:r w:rsidRPr="002C224A">
              <w:rPr>
                <w:b/>
                <w:color w:val="FFFFFF"/>
                <w:sz w:val="20"/>
              </w:rPr>
              <w:t>Nulový revolvingový efekt, omezené zdroje</w:t>
            </w:r>
          </w:p>
        </w:tc>
      </w:tr>
      <w:tr w:rsidR="006D67F1" w:rsidRPr="002C224A"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2C224A" w:rsidRDefault="006D67F1" w:rsidP="00EF4DC5">
            <w:pPr>
              <w:jc w:val="left"/>
              <w:rPr>
                <w:b/>
                <w:bCs/>
                <w:color w:val="000000"/>
                <w:sz w:val="18"/>
                <w:szCs w:val="18"/>
              </w:rPr>
            </w:pPr>
          </w:p>
        </w:tc>
        <w:tc>
          <w:tcPr>
            <w:tcW w:w="972" w:type="dxa"/>
            <w:vMerge/>
            <w:shd w:val="clear" w:color="auto" w:fill="FF0000"/>
            <w:noWrap/>
            <w:textDirection w:val="btLr"/>
          </w:tcPr>
          <w:p w:rsidR="006D67F1" w:rsidRPr="002C224A" w:rsidRDefault="006D67F1" w:rsidP="00EF4DC5">
            <w:pPr>
              <w:jc w:val="center"/>
              <w:rPr>
                <w:b/>
                <w:bCs/>
                <w:color w:val="000000"/>
                <w:sz w:val="18"/>
                <w:szCs w:val="18"/>
              </w:rPr>
            </w:pP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Riziko nedostatečné motivace na straně VO</w:t>
            </w:r>
          </w:p>
        </w:tc>
        <w:tc>
          <w:tcPr>
            <w:tcW w:w="2585" w:type="dxa"/>
            <w:shd w:val="clear" w:color="auto" w:fill="FF0000"/>
          </w:tcPr>
          <w:p w:rsidR="006D67F1" w:rsidRPr="002C224A" w:rsidRDefault="006D67F1" w:rsidP="00EF4DC5">
            <w:pPr>
              <w:keepNext/>
              <w:jc w:val="center"/>
              <w:rPr>
                <w:b/>
                <w:color w:val="FFFFFF"/>
                <w:sz w:val="20"/>
              </w:rPr>
            </w:pPr>
            <w:r w:rsidRPr="002C224A">
              <w:rPr>
                <w:b/>
                <w:color w:val="FFFFFF"/>
                <w:sz w:val="20"/>
              </w:rPr>
              <w:t>Nízká efektivita vzhledem k danému cíli</w:t>
            </w:r>
          </w:p>
        </w:tc>
      </w:tr>
      <w:tr w:rsidR="006D67F1" w:rsidRPr="002C224A"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2C224A" w:rsidRDefault="006D67F1" w:rsidP="00EF4DC5">
            <w:pPr>
              <w:jc w:val="left"/>
              <w:rPr>
                <w:b/>
                <w:bCs/>
                <w:color w:val="000000"/>
                <w:sz w:val="18"/>
                <w:szCs w:val="18"/>
              </w:rPr>
            </w:pPr>
          </w:p>
        </w:tc>
        <w:tc>
          <w:tcPr>
            <w:tcW w:w="972" w:type="dxa"/>
            <w:vMerge/>
            <w:shd w:val="clear" w:color="auto" w:fill="FF0000"/>
            <w:noWrap/>
            <w:textDirection w:val="btLr"/>
          </w:tcPr>
          <w:p w:rsidR="006D67F1" w:rsidRPr="002C224A" w:rsidRDefault="006D67F1" w:rsidP="00EF4DC5">
            <w:pPr>
              <w:jc w:val="center"/>
              <w:rPr>
                <w:b/>
                <w:bCs/>
                <w:color w:val="000000"/>
                <w:sz w:val="18"/>
                <w:szCs w:val="18"/>
              </w:rPr>
            </w:pP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Riziko resistence institucionálních struktur VO vůči převádění projektů do fondů</w:t>
            </w:r>
          </w:p>
        </w:tc>
        <w:tc>
          <w:tcPr>
            <w:tcW w:w="2585" w:type="dxa"/>
            <w:shd w:val="clear" w:color="auto" w:fill="FF0000"/>
          </w:tcPr>
          <w:p w:rsidR="006D67F1" w:rsidRPr="002C224A" w:rsidRDefault="006D67F1" w:rsidP="00EF4DC5">
            <w:pPr>
              <w:keepNext/>
              <w:jc w:val="center"/>
              <w:rPr>
                <w:b/>
                <w:color w:val="FFFFFF"/>
                <w:sz w:val="20"/>
              </w:rPr>
            </w:pPr>
            <w:r w:rsidRPr="002C224A">
              <w:rPr>
                <w:b/>
                <w:color w:val="FFFFFF"/>
                <w:sz w:val="20"/>
              </w:rPr>
              <w:t>Menší synergie s nástrojem v SC 2.1</w:t>
            </w:r>
          </w:p>
        </w:tc>
      </w:tr>
      <w:tr w:rsidR="006D67F1" w:rsidRPr="002C224A"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2C224A" w:rsidRDefault="006D67F1" w:rsidP="00EF4DC5">
            <w:pPr>
              <w:jc w:val="left"/>
              <w:rPr>
                <w:b/>
                <w:bCs/>
                <w:color w:val="000000"/>
                <w:sz w:val="18"/>
                <w:szCs w:val="18"/>
              </w:rPr>
            </w:pPr>
          </w:p>
        </w:tc>
        <w:tc>
          <w:tcPr>
            <w:tcW w:w="972" w:type="dxa"/>
            <w:vMerge/>
            <w:shd w:val="clear" w:color="auto" w:fill="FF0000"/>
            <w:noWrap/>
            <w:textDirection w:val="btLr"/>
          </w:tcPr>
          <w:p w:rsidR="006D67F1" w:rsidRPr="002C224A" w:rsidRDefault="006D67F1" w:rsidP="00EF4DC5">
            <w:pPr>
              <w:jc w:val="center"/>
              <w:rPr>
                <w:b/>
                <w:bCs/>
                <w:color w:val="000000"/>
                <w:sz w:val="18"/>
                <w:szCs w:val="18"/>
              </w:rPr>
            </w:pP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Dlouhý čas nutný na přípravu</w:t>
            </w:r>
          </w:p>
        </w:tc>
        <w:tc>
          <w:tcPr>
            <w:tcW w:w="2585" w:type="dxa"/>
            <w:shd w:val="clear" w:color="auto" w:fill="FF0000"/>
          </w:tcPr>
          <w:p w:rsidR="006D67F1" w:rsidRPr="002C224A" w:rsidRDefault="006D67F1" w:rsidP="00EF4DC5">
            <w:pPr>
              <w:keepNext/>
              <w:jc w:val="center"/>
              <w:rPr>
                <w:b/>
                <w:color w:val="FFFFFF"/>
                <w:sz w:val="20"/>
              </w:rPr>
            </w:pPr>
          </w:p>
        </w:tc>
      </w:tr>
      <w:tr w:rsidR="006D67F1" w:rsidRPr="002C224A"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2C224A" w:rsidRDefault="006D67F1" w:rsidP="00EF4DC5">
            <w:pPr>
              <w:jc w:val="left"/>
              <w:rPr>
                <w:b/>
                <w:bCs/>
                <w:color w:val="000000"/>
                <w:sz w:val="18"/>
                <w:szCs w:val="18"/>
              </w:rPr>
            </w:pPr>
          </w:p>
        </w:tc>
        <w:tc>
          <w:tcPr>
            <w:tcW w:w="972" w:type="dxa"/>
            <w:vMerge/>
            <w:shd w:val="clear" w:color="auto" w:fill="FF0000"/>
            <w:noWrap/>
            <w:textDirection w:val="btLr"/>
          </w:tcPr>
          <w:p w:rsidR="006D67F1" w:rsidRPr="002C224A" w:rsidRDefault="006D67F1" w:rsidP="00EF4DC5">
            <w:pPr>
              <w:jc w:val="center"/>
              <w:rPr>
                <w:b/>
                <w:bCs/>
                <w:color w:val="000000"/>
                <w:sz w:val="18"/>
                <w:szCs w:val="18"/>
              </w:rPr>
            </w:pPr>
          </w:p>
        </w:tc>
        <w:tc>
          <w:tcPr>
            <w:tcW w:w="3439" w:type="dxa"/>
            <w:shd w:val="clear" w:color="auto" w:fill="FF0000"/>
          </w:tcPr>
          <w:p w:rsidR="006D67F1" w:rsidRPr="002C224A" w:rsidRDefault="006D67F1" w:rsidP="00EF4DC5">
            <w:pPr>
              <w:jc w:val="center"/>
              <w:rPr>
                <w:b/>
                <w:color w:val="FFFFFF"/>
                <w:sz w:val="20"/>
              </w:rPr>
            </w:pPr>
            <w:r w:rsidRPr="002C224A">
              <w:rPr>
                <w:b/>
                <w:color w:val="FFFFFF"/>
                <w:sz w:val="20"/>
              </w:rPr>
              <w:t>Výrazně vyšší přípravné a správní náklady nástroje</w:t>
            </w:r>
          </w:p>
        </w:tc>
        <w:tc>
          <w:tcPr>
            <w:tcW w:w="2585" w:type="dxa"/>
            <w:shd w:val="clear" w:color="auto" w:fill="FF0000"/>
          </w:tcPr>
          <w:p w:rsidR="006D67F1" w:rsidRPr="002C224A" w:rsidRDefault="006D67F1" w:rsidP="00EF4DC5">
            <w:pPr>
              <w:keepNext/>
              <w:jc w:val="center"/>
              <w:rPr>
                <w:b/>
                <w:color w:val="FFFFFF"/>
                <w:sz w:val="20"/>
              </w:rPr>
            </w:pPr>
          </w:p>
        </w:tc>
      </w:tr>
    </w:tbl>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p w:rsidR="006D67F1" w:rsidRPr="002C224A" w:rsidRDefault="006D67F1" w:rsidP="008074B1"/>
    <w:tbl>
      <w:tblPr>
        <w:tblW w:w="7859" w:type="dxa"/>
        <w:tblInd w:w="613" w:type="dxa"/>
        <w:tblBorders>
          <w:insideH w:val="single" w:sz="4" w:space="0" w:color="auto"/>
          <w:insideV w:val="single" w:sz="4" w:space="0" w:color="auto"/>
        </w:tblBorders>
        <w:tblLook w:val="00A0" w:firstRow="1" w:lastRow="0" w:firstColumn="1" w:lastColumn="0" w:noHBand="0" w:noVBand="0"/>
      </w:tblPr>
      <w:tblGrid>
        <w:gridCol w:w="1905"/>
        <w:gridCol w:w="3119"/>
        <w:gridCol w:w="2835"/>
      </w:tblGrid>
      <w:tr w:rsidR="006D67F1" w:rsidRPr="002C224A" w:rsidTr="00165EB0">
        <w:tc>
          <w:tcPr>
            <w:tcW w:w="1905" w:type="dxa"/>
            <w:shd w:val="clear" w:color="auto" w:fill="4F81BD"/>
          </w:tcPr>
          <w:p w:rsidR="006D67F1" w:rsidRPr="002C224A" w:rsidRDefault="006D67F1" w:rsidP="00EF4DC5">
            <w:pPr>
              <w:pStyle w:val="Highlight2"/>
              <w:jc w:val="center"/>
              <w:rPr>
                <w:rFonts w:ascii="Calibri" w:hAnsi="Calibri" w:cs="Calibri"/>
                <w:color w:val="FFFFFF"/>
                <w:sz w:val="22"/>
                <w:szCs w:val="22"/>
              </w:rPr>
            </w:pPr>
            <w:r w:rsidRPr="002C224A">
              <w:rPr>
                <w:rFonts w:ascii="Calibri" w:hAnsi="Calibri" w:cs="Calibri"/>
                <w:color w:val="FFFFFF"/>
                <w:sz w:val="22"/>
                <w:szCs w:val="22"/>
                <w:lang w:eastAsia="cs-CZ"/>
              </w:rPr>
              <w:t>Tržní selhání</w:t>
            </w:r>
          </w:p>
        </w:tc>
        <w:tc>
          <w:tcPr>
            <w:tcW w:w="3119" w:type="dxa"/>
            <w:shd w:val="clear" w:color="auto" w:fill="4F81BD"/>
          </w:tcPr>
          <w:p w:rsidR="006D67F1" w:rsidRPr="002C224A" w:rsidRDefault="006D67F1" w:rsidP="00EF4DC5">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Kapitálové vstupy</w:t>
            </w:r>
          </w:p>
        </w:tc>
        <w:tc>
          <w:tcPr>
            <w:tcW w:w="2835" w:type="dxa"/>
            <w:shd w:val="clear" w:color="auto" w:fill="4F81BD"/>
          </w:tcPr>
          <w:p w:rsidR="006D67F1" w:rsidRPr="002C224A" w:rsidRDefault="006D67F1" w:rsidP="00EF4DC5">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165EB0">
        <w:tc>
          <w:tcPr>
            <w:tcW w:w="1905" w:type="dxa"/>
          </w:tcPr>
          <w:p w:rsidR="006D67F1" w:rsidRPr="002C224A" w:rsidRDefault="006D67F1" w:rsidP="00EF4DC5">
            <w:pPr>
              <w:pStyle w:val="Highlight2"/>
              <w:jc w:val="left"/>
              <w:rPr>
                <w:rFonts w:ascii="Calibri" w:hAnsi="Calibri" w:cs="Calibri"/>
              </w:rPr>
            </w:pPr>
            <w:r w:rsidRPr="002C224A">
              <w:rPr>
                <w:rFonts w:ascii="Calibri" w:hAnsi="Calibri" w:cs="Calibri"/>
                <w:bCs/>
                <w:color w:val="000000"/>
                <w:lang w:eastAsia="cs-CZ"/>
              </w:rPr>
              <w:t>Nedostatek finančních prostředků na projekty komercializace VaV</w:t>
            </w:r>
          </w:p>
        </w:tc>
        <w:tc>
          <w:tcPr>
            <w:tcW w:w="3119"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Poskytuje prostředky flexibilně dle dosažených výsledků a potřeb projektu do omezení disponibilních prostředků fondu. Umožňuje přístup soukromému kapitálu</w:t>
            </w:r>
          </w:p>
        </w:tc>
        <w:tc>
          <w:tcPr>
            <w:tcW w:w="2835"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Poskytuje prostředky na základě schváleného plánu projektu a předem daných aktivit, regulatorní omezení</w:t>
            </w:r>
          </w:p>
        </w:tc>
      </w:tr>
      <w:tr w:rsidR="006D67F1" w:rsidRPr="002C224A" w:rsidTr="00165EB0">
        <w:tc>
          <w:tcPr>
            <w:tcW w:w="1905" w:type="dxa"/>
          </w:tcPr>
          <w:p w:rsidR="006D67F1" w:rsidRPr="002C224A" w:rsidRDefault="006D67F1" w:rsidP="00EF4DC5">
            <w:pPr>
              <w:pStyle w:val="Highlight2"/>
              <w:jc w:val="left"/>
              <w:rPr>
                <w:rFonts w:ascii="Calibri" w:hAnsi="Calibri" w:cs="Calibri"/>
                <w:bCs/>
                <w:color w:val="000000"/>
                <w:lang w:eastAsia="cs-CZ"/>
              </w:rPr>
            </w:pPr>
            <w:r w:rsidRPr="002C224A">
              <w:rPr>
                <w:rFonts w:ascii="Calibri" w:hAnsi="Calibri" w:cs="Calibri"/>
                <w:bCs/>
                <w:color w:val="000000"/>
                <w:lang w:eastAsia="cs-CZ"/>
              </w:rPr>
              <w:t>Motivace k ziskovému dotažení projektu</w:t>
            </w:r>
          </w:p>
        </w:tc>
        <w:tc>
          <w:tcPr>
            <w:tcW w:w="3119"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Subjekty motivovány dalšími prostředky na základě investičního rozhodnutí po úspěšném naplnění daných kroků, motivace ziskem v rámci exitu či dalšího fungování spin-off</w:t>
            </w:r>
          </w:p>
          <w:p w:rsidR="006D67F1" w:rsidRPr="002C224A" w:rsidRDefault="006D67F1" w:rsidP="00EF4DC5">
            <w:pPr>
              <w:pStyle w:val="Highlight2"/>
              <w:jc w:val="center"/>
              <w:rPr>
                <w:rFonts w:ascii="Calibri" w:hAnsi="Calibri" w:cs="Calibri"/>
                <w:b w:val="0"/>
                <w:color w:val="000000"/>
                <w:lang w:eastAsia="cs-CZ"/>
              </w:rPr>
            </w:pPr>
          </w:p>
        </w:tc>
        <w:tc>
          <w:tcPr>
            <w:tcW w:w="2835"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Nízká motivace k aktivitě nad rámec zadání grantu, motivuje potenciál zisku projektu</w:t>
            </w:r>
          </w:p>
        </w:tc>
      </w:tr>
      <w:tr w:rsidR="006D67F1" w:rsidRPr="002C224A" w:rsidTr="00165EB0">
        <w:tblPrEx>
          <w:tblCellMar>
            <w:top w:w="28" w:type="dxa"/>
            <w:left w:w="28" w:type="dxa"/>
            <w:bottom w:w="28" w:type="dxa"/>
            <w:right w:w="28" w:type="dxa"/>
          </w:tblCellMar>
        </w:tblPrEx>
        <w:tc>
          <w:tcPr>
            <w:tcW w:w="1905" w:type="dxa"/>
            <w:shd w:val="clear" w:color="auto" w:fill="FFFFFF"/>
            <w:vAlign w:val="center"/>
          </w:tcPr>
          <w:p w:rsidR="006D67F1" w:rsidRPr="002C224A" w:rsidRDefault="006D67F1" w:rsidP="00EF4DC5">
            <w:pPr>
              <w:pStyle w:val="Highlight2"/>
              <w:jc w:val="left"/>
              <w:rPr>
                <w:rFonts w:ascii="Calibri" w:hAnsi="Calibri" w:cs="Calibri"/>
                <w:bCs/>
                <w:color w:val="000000"/>
                <w:lang w:eastAsia="cs-CZ"/>
              </w:rPr>
            </w:pPr>
            <w:r w:rsidRPr="002C224A">
              <w:rPr>
                <w:rFonts w:ascii="Calibri" w:hAnsi="Calibri" w:cs="Calibri"/>
                <w:bCs/>
                <w:color w:val="000000"/>
                <w:lang w:eastAsia="cs-CZ"/>
              </w:rPr>
              <w:t>Institucionální bariéry VO</w:t>
            </w:r>
          </w:p>
        </w:tc>
        <w:tc>
          <w:tcPr>
            <w:tcW w:w="3119" w:type="dxa"/>
            <w:shd w:val="clear" w:color="auto" w:fill="FFFFFF"/>
            <w:vAlign w:val="center"/>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Zvyšuje kontrolní úlohu ŘO a investiční dohled v rámci fondu</w:t>
            </w:r>
          </w:p>
        </w:tc>
        <w:tc>
          <w:tcPr>
            <w:tcW w:w="2835" w:type="dxa"/>
            <w:shd w:val="clear" w:color="auto" w:fill="FFFFFF"/>
            <w:vAlign w:val="center"/>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Kontrolovány jen tabulkové výstupy dle zadání grantů</w:t>
            </w:r>
          </w:p>
        </w:tc>
      </w:tr>
      <w:tr w:rsidR="006D67F1" w:rsidRPr="002C224A" w:rsidTr="00165EB0">
        <w:tc>
          <w:tcPr>
            <w:tcW w:w="1905" w:type="dxa"/>
          </w:tcPr>
          <w:p w:rsidR="006D67F1" w:rsidRPr="002C224A" w:rsidRDefault="006D67F1" w:rsidP="00EF4DC5">
            <w:pPr>
              <w:pStyle w:val="Highlight2"/>
              <w:jc w:val="left"/>
              <w:rPr>
                <w:rFonts w:ascii="Calibri" w:hAnsi="Calibri" w:cs="Calibri"/>
                <w:color w:val="auto"/>
                <w:szCs w:val="20"/>
              </w:rPr>
            </w:pPr>
            <w:r w:rsidRPr="002C224A">
              <w:rPr>
                <w:rFonts w:ascii="Calibri" w:hAnsi="Calibri" w:cs="Calibri"/>
                <w:bCs/>
                <w:color w:val="000000"/>
                <w:lang w:eastAsia="cs-CZ"/>
              </w:rPr>
              <w:t xml:space="preserve">Odborná asistence podnikatelského a </w:t>
            </w:r>
            <w:r w:rsidRPr="002C224A">
              <w:rPr>
                <w:rFonts w:ascii="Calibri" w:hAnsi="Calibri" w:cs="Calibri"/>
                <w:bCs/>
                <w:color w:val="000000"/>
                <w:lang w:eastAsia="cs-CZ"/>
              </w:rPr>
              <w:lastRenderedPageBreak/>
              <w:t>investičního know-how</w:t>
            </w:r>
          </w:p>
        </w:tc>
        <w:tc>
          <w:tcPr>
            <w:tcW w:w="3119" w:type="dxa"/>
          </w:tcPr>
          <w:p w:rsidR="006D67F1" w:rsidRPr="002C224A" w:rsidRDefault="006D67F1" w:rsidP="00EF4DC5">
            <w:pPr>
              <w:pStyle w:val="Highlight2"/>
              <w:jc w:val="center"/>
              <w:rPr>
                <w:rFonts w:ascii="Calibri" w:hAnsi="Calibri" w:cs="Calibri"/>
                <w:b w:val="0"/>
                <w:color w:val="auto"/>
                <w:szCs w:val="20"/>
              </w:rPr>
            </w:pPr>
            <w:r w:rsidRPr="002C224A">
              <w:rPr>
                <w:rFonts w:ascii="Calibri" w:hAnsi="Calibri" w:cs="Calibri"/>
                <w:b w:val="0"/>
                <w:color w:val="auto"/>
                <w:szCs w:val="20"/>
              </w:rPr>
              <w:lastRenderedPageBreak/>
              <w:t>Úzké propojení s existující infrastrukturou (CTT, CI)</w:t>
            </w:r>
          </w:p>
        </w:tc>
        <w:tc>
          <w:tcPr>
            <w:tcW w:w="2835" w:type="dxa"/>
          </w:tcPr>
          <w:p w:rsidR="006D67F1" w:rsidRPr="002C224A" w:rsidRDefault="006D67F1" w:rsidP="00EF4DC5">
            <w:pPr>
              <w:pStyle w:val="Highlight2"/>
              <w:jc w:val="center"/>
              <w:rPr>
                <w:rFonts w:ascii="Calibri" w:hAnsi="Calibri" w:cs="Calibri"/>
                <w:b w:val="0"/>
                <w:color w:val="auto"/>
                <w:szCs w:val="20"/>
              </w:rPr>
            </w:pPr>
            <w:r w:rsidRPr="002C224A">
              <w:rPr>
                <w:rFonts w:ascii="Calibri" w:hAnsi="Calibri" w:cs="Calibri"/>
                <w:b w:val="0"/>
                <w:color w:val="auto"/>
                <w:szCs w:val="20"/>
              </w:rPr>
              <w:t>Projekty využívají služeb CTT</w:t>
            </w:r>
          </w:p>
        </w:tc>
      </w:tr>
      <w:tr w:rsidR="006D67F1" w:rsidRPr="002C224A" w:rsidTr="00165EB0">
        <w:tc>
          <w:tcPr>
            <w:tcW w:w="1905" w:type="dxa"/>
          </w:tcPr>
          <w:p w:rsidR="006D67F1" w:rsidRPr="002C224A" w:rsidRDefault="006D67F1" w:rsidP="00EF4DC5">
            <w:pPr>
              <w:pStyle w:val="Highlight2"/>
              <w:jc w:val="left"/>
              <w:rPr>
                <w:rFonts w:ascii="Calibri" w:hAnsi="Calibri" w:cs="Calibri"/>
              </w:rPr>
            </w:pPr>
            <w:r w:rsidRPr="002C224A">
              <w:rPr>
                <w:rFonts w:ascii="Calibri" w:hAnsi="Calibri" w:cs="Calibri"/>
                <w:color w:val="auto"/>
                <w:szCs w:val="20"/>
              </w:rPr>
              <w:lastRenderedPageBreak/>
              <w:t>Navázání na investiční trh, exity</w:t>
            </w:r>
          </w:p>
        </w:tc>
        <w:tc>
          <w:tcPr>
            <w:tcW w:w="3119" w:type="dxa"/>
          </w:tcPr>
          <w:p w:rsidR="006D67F1" w:rsidRPr="002C224A" w:rsidRDefault="006D67F1" w:rsidP="007D693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Snadnější možnosti investičních vstupů, možnost exitu v rámci fondu</w:t>
            </w:r>
            <w:r w:rsidR="0050701C" w:rsidRPr="002C224A">
              <w:rPr>
                <w:rFonts w:ascii="Calibri" w:hAnsi="Calibri" w:cs="Calibri"/>
                <w:b w:val="0"/>
                <w:color w:val="000000"/>
                <w:lang w:eastAsia="cs-CZ"/>
              </w:rPr>
              <w:t xml:space="preserve"> rizikového kapitálu</w:t>
            </w:r>
            <w:r w:rsidR="00854C53" w:rsidRPr="002C224A">
              <w:rPr>
                <w:rFonts w:ascii="Calibri" w:hAnsi="Calibri" w:cs="Calibri"/>
                <w:b w:val="0"/>
                <w:color w:val="000000"/>
                <w:lang w:eastAsia="cs-CZ"/>
              </w:rPr>
              <w:t xml:space="preserve"> v</w:t>
            </w:r>
            <w:r w:rsidRPr="002C224A">
              <w:rPr>
                <w:rFonts w:ascii="Calibri" w:hAnsi="Calibri" w:cs="Calibri"/>
                <w:b w:val="0"/>
                <w:color w:val="000000"/>
                <w:lang w:eastAsia="cs-CZ"/>
              </w:rPr>
              <w:t xml:space="preserve"> SC 2.1</w:t>
            </w:r>
          </w:p>
        </w:tc>
        <w:tc>
          <w:tcPr>
            <w:tcW w:w="2835"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Grantové fungování nepodporuje následný přechod do tržního prostředí</w:t>
            </w:r>
          </w:p>
        </w:tc>
      </w:tr>
      <w:tr w:rsidR="006D67F1" w:rsidRPr="002C224A" w:rsidTr="00165EB0">
        <w:trPr>
          <w:trHeight w:val="1474"/>
        </w:trPr>
        <w:tc>
          <w:tcPr>
            <w:tcW w:w="1905" w:type="dxa"/>
          </w:tcPr>
          <w:p w:rsidR="006D67F1" w:rsidRPr="002C224A" w:rsidRDefault="006D67F1" w:rsidP="00EF4DC5">
            <w:pPr>
              <w:rPr>
                <w:b/>
                <w:sz w:val="20"/>
              </w:rPr>
            </w:pPr>
            <w:r w:rsidRPr="002C224A">
              <w:rPr>
                <w:b/>
                <w:sz w:val="20"/>
              </w:rPr>
              <w:t>Informační asymetrie, přístupnost investičnímu trhu</w:t>
            </w:r>
          </w:p>
        </w:tc>
        <w:tc>
          <w:tcPr>
            <w:tcW w:w="3119" w:type="dxa"/>
          </w:tcPr>
          <w:p w:rsidR="006D67F1" w:rsidRPr="002C224A" w:rsidRDefault="006D67F1" w:rsidP="005C1D3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Spolupráce s investiční společností výrazně snižuje informační asymetrii mezi</w:t>
            </w:r>
            <w:r w:rsidR="00882D6F">
              <w:rPr>
                <w:rFonts w:ascii="Calibri" w:hAnsi="Calibri" w:cs="Calibri"/>
                <w:b w:val="0"/>
                <w:bCs/>
                <w:color w:val="000000"/>
                <w:lang w:eastAsia="cs-CZ"/>
              </w:rPr>
              <w:t xml:space="preserve"> konečným</w:t>
            </w:r>
            <w:r w:rsidRPr="002C224A">
              <w:rPr>
                <w:rFonts w:ascii="Calibri" w:hAnsi="Calibri" w:cs="Calibri"/>
                <w:b w:val="0"/>
                <w:bCs/>
                <w:color w:val="000000"/>
                <w:lang w:eastAsia="cs-CZ"/>
              </w:rPr>
              <w:t xml:space="preserve"> příjemcem a trhem kapitálu. Významné pro proces další komercializace záměru.</w:t>
            </w:r>
          </w:p>
          <w:p w:rsidR="006D67F1" w:rsidRPr="002C224A" w:rsidRDefault="006D67F1" w:rsidP="005C1D31">
            <w:pPr>
              <w:pStyle w:val="Highlight2"/>
              <w:jc w:val="center"/>
              <w:rPr>
                <w:rFonts w:ascii="Calibri" w:hAnsi="Calibri" w:cs="Calibri"/>
                <w:b w:val="0"/>
                <w:bCs/>
                <w:color w:val="000000"/>
                <w:lang w:eastAsia="cs-CZ"/>
              </w:rPr>
            </w:pPr>
          </w:p>
        </w:tc>
        <w:tc>
          <w:tcPr>
            <w:tcW w:w="2835" w:type="dxa"/>
          </w:tcPr>
          <w:p w:rsidR="006D67F1" w:rsidRPr="002C224A" w:rsidRDefault="006D67F1" w:rsidP="00EF4DC5">
            <w:pPr>
              <w:rPr>
                <w:color w:val="000000"/>
                <w:sz w:val="20"/>
              </w:rPr>
            </w:pPr>
            <w:r w:rsidRPr="002C224A">
              <w:rPr>
                <w:color w:val="000000"/>
                <w:sz w:val="20"/>
              </w:rPr>
              <w:t>Bez významného vlivu</w:t>
            </w:r>
          </w:p>
        </w:tc>
      </w:tr>
      <w:tr w:rsidR="006D67F1" w:rsidRPr="002C224A" w:rsidTr="00165EB0">
        <w:trPr>
          <w:trHeight w:val="1474"/>
        </w:trPr>
        <w:tc>
          <w:tcPr>
            <w:tcW w:w="1905" w:type="dxa"/>
          </w:tcPr>
          <w:p w:rsidR="006D67F1" w:rsidRPr="002C224A" w:rsidRDefault="006D67F1" w:rsidP="00EF4DC5">
            <w:pPr>
              <w:rPr>
                <w:b/>
                <w:sz w:val="20"/>
              </w:rPr>
            </w:pPr>
            <w:r w:rsidRPr="002C224A">
              <w:rPr>
                <w:b/>
                <w:sz w:val="20"/>
              </w:rPr>
              <w:t>Právní rámec, regulace VO</w:t>
            </w:r>
          </w:p>
        </w:tc>
        <w:tc>
          <w:tcPr>
            <w:tcW w:w="3119" w:type="dxa"/>
          </w:tcPr>
          <w:p w:rsidR="006D67F1" w:rsidRPr="002C224A" w:rsidRDefault="006D67F1" w:rsidP="00EF4DC5">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Vyčlenění duševního vlastnictví z majetku instituce do separátní entity zjednodušuje financování a další nakládání s předmětným nehmotným majetkem</w:t>
            </w:r>
          </w:p>
        </w:tc>
        <w:tc>
          <w:tcPr>
            <w:tcW w:w="2835" w:type="dxa"/>
          </w:tcPr>
          <w:p w:rsidR="006D67F1" w:rsidRPr="002C224A" w:rsidRDefault="006D67F1" w:rsidP="00EF4DC5">
            <w:pPr>
              <w:rPr>
                <w:color w:val="000000"/>
                <w:sz w:val="20"/>
              </w:rPr>
            </w:pPr>
            <w:r w:rsidRPr="002C224A">
              <w:rPr>
                <w:color w:val="000000"/>
                <w:sz w:val="20"/>
              </w:rPr>
              <w:t>Bez významného vlivu</w:t>
            </w:r>
          </w:p>
        </w:tc>
      </w:tr>
      <w:tr w:rsidR="006D67F1" w:rsidRPr="002C224A" w:rsidTr="00165EB0">
        <w:trPr>
          <w:trHeight w:val="1474"/>
        </w:trPr>
        <w:tc>
          <w:tcPr>
            <w:tcW w:w="1905" w:type="dxa"/>
          </w:tcPr>
          <w:p w:rsidR="006D67F1" w:rsidRPr="002C224A" w:rsidRDefault="006D67F1" w:rsidP="00EF4DC5">
            <w:pPr>
              <w:rPr>
                <w:b/>
                <w:sz w:val="20"/>
              </w:rPr>
            </w:pPr>
            <w:r w:rsidRPr="002C224A">
              <w:rPr>
                <w:b/>
                <w:sz w:val="20"/>
              </w:rPr>
              <w:t>Celkový efekt na Investiční aktivitu a absorpci v SC</w:t>
            </w:r>
          </w:p>
        </w:tc>
        <w:tc>
          <w:tcPr>
            <w:tcW w:w="3119" w:type="dxa"/>
          </w:tcPr>
          <w:p w:rsidR="006D67F1" w:rsidRPr="002C224A" w:rsidRDefault="006D67F1" w:rsidP="00EF4DC5">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Pozitivní efekt zpřístupnění flexibilního financování a vzájemné motivace subjektů s možností revolvingu zvýší ziskovou aktivitu v této oblasti a tlak na rozvoj institucí</w:t>
            </w:r>
          </w:p>
        </w:tc>
        <w:tc>
          <w:tcPr>
            <w:tcW w:w="2835" w:type="dxa"/>
          </w:tcPr>
          <w:p w:rsidR="006D67F1" w:rsidRPr="002C224A" w:rsidRDefault="006D67F1" w:rsidP="00EF4DC5">
            <w:pPr>
              <w:rPr>
                <w:color w:val="000000"/>
                <w:sz w:val="20"/>
              </w:rPr>
            </w:pPr>
            <w:r w:rsidRPr="002C224A">
              <w:rPr>
                <w:color w:val="000000"/>
                <w:sz w:val="20"/>
              </w:rPr>
              <w:t>Nástroj poskytne dostatečné zdroje, avšak bez revolvingového efektu a dostatečné motivace a flexibility pro dotažení projektů do úspěšné komercializace.</w:t>
            </w:r>
          </w:p>
          <w:p w:rsidR="006D67F1" w:rsidRPr="002C224A" w:rsidRDefault="006D67F1" w:rsidP="00EF4DC5">
            <w:pPr>
              <w:rPr>
                <w:color w:val="000000"/>
                <w:sz w:val="20"/>
              </w:rPr>
            </w:pPr>
          </w:p>
          <w:p w:rsidR="006D67F1" w:rsidRPr="002C224A" w:rsidRDefault="006D67F1" w:rsidP="00EF4DC5">
            <w:pPr>
              <w:rPr>
                <w:color w:val="000000"/>
                <w:sz w:val="20"/>
              </w:rPr>
            </w:pPr>
          </w:p>
        </w:tc>
      </w:tr>
      <w:tr w:rsidR="006D67F1" w:rsidRPr="002C224A" w:rsidTr="00165EB0">
        <w:tc>
          <w:tcPr>
            <w:tcW w:w="1905" w:type="dxa"/>
          </w:tcPr>
          <w:p w:rsidR="006D67F1" w:rsidRPr="002C224A" w:rsidRDefault="006D67F1" w:rsidP="00EF4DC5">
            <w:pPr>
              <w:pStyle w:val="Highlight2"/>
              <w:jc w:val="left"/>
              <w:rPr>
                <w:rFonts w:ascii="Calibri" w:hAnsi="Calibri" w:cs="Calibri"/>
                <w:bCs/>
                <w:color w:val="000000"/>
                <w:lang w:eastAsia="cs-CZ"/>
              </w:rPr>
            </w:pPr>
            <w:r w:rsidRPr="002C224A">
              <w:rPr>
                <w:rFonts w:ascii="Calibri" w:hAnsi="Calibri" w:cs="Calibri"/>
                <w:bCs/>
                <w:color w:val="000000"/>
                <w:lang w:eastAsia="cs-CZ"/>
              </w:rPr>
              <w:t>Efekt na narušení tržního prostředí</w:t>
            </w:r>
          </w:p>
        </w:tc>
        <w:tc>
          <w:tcPr>
            <w:tcW w:w="3119"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color w:val="000000"/>
                <w:lang w:eastAsia="cs-CZ"/>
              </w:rPr>
              <w:t>Vzhledem k</w:t>
            </w:r>
            <w:r w:rsidR="00882D6F">
              <w:rPr>
                <w:rFonts w:ascii="Calibri" w:hAnsi="Calibri" w:cs="Calibri"/>
                <w:b w:val="0"/>
                <w:color w:val="000000"/>
                <w:lang w:eastAsia="cs-CZ"/>
              </w:rPr>
              <w:t> </w:t>
            </w:r>
            <w:r w:rsidRPr="002C224A">
              <w:rPr>
                <w:rFonts w:ascii="Calibri" w:hAnsi="Calibri" w:cs="Calibri"/>
                <w:b w:val="0"/>
                <w:color w:val="000000"/>
                <w:lang w:eastAsia="cs-CZ"/>
              </w:rPr>
              <w:t>typu</w:t>
            </w:r>
            <w:r w:rsidR="00882D6F">
              <w:rPr>
                <w:rFonts w:ascii="Calibri" w:hAnsi="Calibri" w:cs="Calibri"/>
                <w:b w:val="0"/>
                <w:color w:val="000000"/>
                <w:lang w:eastAsia="cs-CZ"/>
              </w:rPr>
              <w:t xml:space="preserve"> konečných</w:t>
            </w:r>
            <w:r w:rsidRPr="002C224A">
              <w:rPr>
                <w:rFonts w:ascii="Calibri" w:hAnsi="Calibri" w:cs="Calibri"/>
                <w:b w:val="0"/>
                <w:color w:val="000000"/>
                <w:lang w:eastAsia="cs-CZ"/>
              </w:rPr>
              <w:t xml:space="preserve"> příjemců a projektů nemá negativní vliv na tržní prostředí, mělo by přispět k rozvoji trhu komercializace VaV na více tržních principech</w:t>
            </w:r>
          </w:p>
        </w:tc>
        <w:tc>
          <w:tcPr>
            <w:tcW w:w="2835" w:type="dxa"/>
          </w:tcPr>
          <w:p w:rsidR="006D67F1" w:rsidRPr="002C224A" w:rsidRDefault="006D67F1" w:rsidP="00EF4DC5">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Charakter grantové podpory a hodnocení výsledků přispívá k netržnímu chování</w:t>
            </w:r>
          </w:p>
        </w:tc>
      </w:tr>
    </w:tbl>
    <w:p w:rsidR="006D67F1" w:rsidRPr="002C224A" w:rsidRDefault="006D67F1" w:rsidP="008074B1">
      <w:pPr>
        <w:pStyle w:val="Titulek"/>
      </w:pPr>
      <w:r w:rsidRPr="002C224A">
        <w:t xml:space="preserve">Tabulka </w:t>
      </w:r>
      <w:r w:rsidR="007834DB" w:rsidRPr="002C224A">
        <w:t>1</w:t>
      </w:r>
      <w:r w:rsidR="00C4105E">
        <w:t>5</w:t>
      </w:r>
      <w:r w:rsidR="007834DB" w:rsidRPr="002C224A">
        <w:t xml:space="preserve"> </w:t>
      </w:r>
      <w:r w:rsidRPr="002C224A">
        <w:t>– Přidaná hodnota podpory pro cíle SC 1.</w:t>
      </w:r>
      <w:r w:rsidR="00186A32" w:rsidRPr="002C224A">
        <w:t>2</w:t>
      </w:r>
      <w:r w:rsidRPr="002C224A">
        <w:t xml:space="preserve"> OP PIK a vliv na tržní prostředí</w:t>
      </w:r>
      <w:r w:rsidR="002266A6" w:rsidRPr="002C224A">
        <w:t xml:space="preserve"> </w:t>
      </w:r>
    </w:p>
    <w:p w:rsidR="006D67F1" w:rsidRPr="002C224A" w:rsidRDefault="006D67F1" w:rsidP="008074B1">
      <w:pPr>
        <w:pStyle w:val="Highlight3"/>
        <w:rPr>
          <w:rFonts w:ascii="Calibri" w:hAnsi="Calibri"/>
        </w:rPr>
      </w:pPr>
    </w:p>
    <w:p w:rsidR="006D67F1" w:rsidRPr="002C224A" w:rsidRDefault="006D67F1" w:rsidP="008074B1">
      <w:r w:rsidRPr="00A50943">
        <w:t xml:space="preserve">Na základě tohoto porovnání docházíme k názoru, že v rámci cílů SC </w:t>
      </w:r>
      <w:smartTag w:uri="urn:schemas-microsoft-com:office:smarttags" w:element="metricconverter">
        <w:smartTagPr>
          <w:attr w:name="ProductID" w:val="1.2 a"/>
        </w:smartTagPr>
        <w:r w:rsidRPr="00A50943">
          <w:t>1.2 a</w:t>
        </w:r>
      </w:smartTag>
      <w:r w:rsidRPr="00A50943">
        <w:t xml:space="preserve"> identifikovaných bariér komercializace VaV je efektivní fo</w:t>
      </w:r>
      <w:r w:rsidRPr="002C224A">
        <w:t>rmou podpory nástroj kapitálových vstupů. Ten sice sdílí s dotačním nástrojem některá rizika a problémy, přináší však v mnoha oblastech oproti dotaci významnou přidanou hodnotu zejména v posledních fázi samotné komercializace, bez zřejmých komparativních nevýhod z hlediska podpory projektů a absorpční kapacity.</w:t>
      </w:r>
    </w:p>
    <w:p w:rsidR="006D67F1" w:rsidRPr="002C224A" w:rsidRDefault="006D67F1" w:rsidP="008074B1"/>
    <w:p w:rsidR="006D67F1" w:rsidRPr="002C224A" w:rsidRDefault="006D67F1" w:rsidP="008074B1">
      <w:pPr>
        <w:pStyle w:val="Nadpis4"/>
        <w:rPr>
          <w:rFonts w:ascii="Calibri" w:hAnsi="Calibri"/>
        </w:rPr>
      </w:pPr>
      <w:r w:rsidRPr="002C224A">
        <w:rPr>
          <w:rFonts w:ascii="Calibri" w:hAnsi="Calibri"/>
        </w:rPr>
        <w:t>Soulad s jinými formami veřejných intervencí</w:t>
      </w:r>
    </w:p>
    <w:p w:rsidR="006D67F1" w:rsidRPr="00A50943" w:rsidRDefault="006D67F1" w:rsidP="008074B1"/>
    <w:p w:rsidR="006D67F1" w:rsidRPr="002C224A" w:rsidRDefault="006D67F1" w:rsidP="00114C5B">
      <w:r w:rsidRPr="002C224A">
        <w:t xml:space="preserve">Pre-seed fond OP PIK bude navazovat na realizovanou podporu v rámci OP VaVpI (zejména pre-seed a podpora vzniku CTT) a TAČR GAMA, které přispěly k vytvoření základních infrastruktur a procesů k výběru a podpoře komercializačních projektů na veřejných VO. Finanční podpora relevantního podprogramu 1 TAČR GAMA v grantové podobě je v současnosti navržena do roku </w:t>
      </w:r>
      <w:smartTag w:uri="urn:schemas-microsoft-com:office:smarttags" w:element="metricconverter">
        <w:smartTagPr>
          <w:attr w:name="ProductID" w:val="2016, a"/>
        </w:smartTagPr>
        <w:r w:rsidRPr="002C224A">
          <w:t>2016,</w:t>
        </w:r>
        <w:r w:rsidR="002266A6" w:rsidRPr="002C224A">
          <w:t xml:space="preserve"> </w:t>
        </w:r>
        <w:r w:rsidRPr="002C224A">
          <w:t>a</w:t>
        </w:r>
      </w:smartTag>
      <w:r w:rsidRPr="002C224A">
        <w:t xml:space="preserve"> to pouze v případě, že v ČR nedojde k souběžnému financování projektů se shodným předmětem podpory v rámci OP PIK. Překryv fungování v totožných oblastech je tedy vyloučen, naopak by mělo vzhledem k očekávanému času přípravy nástroje v OP PIK dojít k plynulému navázání. Projekty podpořené do určité fáze v minulých programech podpory mohou být v případě odůvodněného potenciálu zařazeny i do pre-seed fondu OP PIK.</w:t>
      </w:r>
    </w:p>
    <w:p w:rsidR="006D67F1" w:rsidRPr="002C224A" w:rsidRDefault="006D67F1" w:rsidP="00114C5B"/>
    <w:p w:rsidR="006D67F1" w:rsidRPr="002C224A" w:rsidRDefault="006D67F1" w:rsidP="00114C5B">
      <w:r w:rsidRPr="002C224A">
        <w:t>Klíčovou synergií je spolupráce s podpůrnými službami pro komercializaci VaV (CTT a další infrastruktury) a začínající podnikatele (CzechInvest</w:t>
      </w:r>
      <w:r w:rsidR="001E08E2">
        <w:t>/API</w:t>
      </w:r>
      <w:r w:rsidRPr="002C224A">
        <w:t>, SC 2.1).</w:t>
      </w:r>
    </w:p>
    <w:p w:rsidR="006D67F1" w:rsidRPr="002C224A" w:rsidRDefault="006D67F1" w:rsidP="00114C5B"/>
    <w:p w:rsidR="006D67F1" w:rsidRPr="002C224A" w:rsidRDefault="006D67F1" w:rsidP="00114C5B">
      <w:pPr>
        <w:rPr>
          <w:b/>
        </w:rPr>
      </w:pPr>
      <w:r w:rsidRPr="002C224A">
        <w:t>Další klíčovou synergii znamená podpora rizikovému kapitálu v SC 2.1.</w:t>
      </w:r>
    </w:p>
    <w:p w:rsidR="006D67F1" w:rsidRPr="002C224A" w:rsidRDefault="006D67F1" w:rsidP="008074B1">
      <w:pPr>
        <w:pStyle w:val="Nadpis4"/>
        <w:rPr>
          <w:rFonts w:ascii="Calibri" w:hAnsi="Calibri"/>
        </w:rPr>
      </w:pPr>
      <w:r w:rsidRPr="002C224A">
        <w:rPr>
          <w:rFonts w:ascii="Calibri" w:hAnsi="Calibri"/>
        </w:rPr>
        <w:t>Možné řešení veřejné podpory</w:t>
      </w:r>
    </w:p>
    <w:p w:rsidR="006D67F1" w:rsidRPr="00A50943" w:rsidRDefault="006D67F1" w:rsidP="008074B1"/>
    <w:p w:rsidR="006D67F1" w:rsidRPr="002C224A" w:rsidRDefault="006701AB" w:rsidP="008074B1">
      <w:r w:rsidRPr="002C224A">
        <w:t xml:space="preserve">Veřejná podpora je předpokládána zejména na úrovni konečných příjemců. </w:t>
      </w:r>
      <w:r w:rsidR="006D67F1" w:rsidRPr="002C224A">
        <w:t>Z důvodu předpokládaného většího rozsahu projektů (projektem je komercializace portfolia výsledků VaV daní organizace) není uvažováno o veřejné podpoře de minimis. K řešení veřejné podpory proto bude využito Obecné nařízení o blokových výjimkách č. 651/2014, případně Rámec pro státní podporu výzkumu, vývoje a inovací.</w:t>
      </w:r>
    </w:p>
    <w:p w:rsidR="006701AB" w:rsidRPr="002C224A" w:rsidRDefault="006701AB" w:rsidP="008074B1"/>
    <w:p w:rsidR="006701AB" w:rsidRPr="002C224A" w:rsidRDefault="006701AB" w:rsidP="008074B1">
      <w:r w:rsidRPr="002C224A">
        <w:t>V případě zapojení soukromých investorů do finančního nástroje je předpokládána veřejná podpora ve formě preferenčního odměňování (nadproporční dělba zisku).</w:t>
      </w:r>
    </w:p>
    <w:p w:rsidR="006D67F1" w:rsidRPr="002C224A" w:rsidRDefault="006D67F1" w:rsidP="008074B1">
      <w:pPr>
        <w:rPr>
          <w:b/>
        </w:rPr>
      </w:pPr>
    </w:p>
    <w:p w:rsidR="006D67F1" w:rsidRPr="002C224A" w:rsidRDefault="006D67F1" w:rsidP="008074B1">
      <w:pPr>
        <w:pStyle w:val="Nadpis3"/>
        <w:rPr>
          <w:rFonts w:ascii="Calibri" w:hAnsi="Calibri"/>
        </w:rPr>
      </w:pPr>
      <w:bookmarkStart w:id="27" w:name="_Toc421534284"/>
      <w:r w:rsidRPr="002C224A">
        <w:rPr>
          <w:rFonts w:ascii="Calibri" w:hAnsi="Calibri"/>
        </w:rPr>
        <w:t>Odhad dodatečných veřejných a soukromých zdrojů</w:t>
      </w:r>
      <w:bookmarkEnd w:id="27"/>
    </w:p>
    <w:p w:rsidR="006D67F1" w:rsidRPr="002C224A" w:rsidRDefault="006D67F1" w:rsidP="008074B1">
      <w:pPr>
        <w:pStyle w:val="Nadpis4"/>
        <w:rPr>
          <w:rFonts w:ascii="Calibri" w:hAnsi="Calibri"/>
        </w:rPr>
      </w:pPr>
      <w:r w:rsidRPr="002C224A">
        <w:rPr>
          <w:rFonts w:ascii="Calibri" w:hAnsi="Calibri"/>
        </w:rPr>
        <w:t>Spolufinancování ze soukromých zdrojů až na úroveň konečného příjemce</w:t>
      </w:r>
    </w:p>
    <w:p w:rsidR="003B6DE3" w:rsidRPr="002C224A" w:rsidRDefault="003B6DE3" w:rsidP="003B6DE3">
      <w:r w:rsidRPr="00A50943">
        <w:t>V rámci nástroje pre-seed fondu OP PIK navrhujeme poskytovat až 100 % potřebných finančních prostředků ze zdrojů ESIF. Spolufinancování konečného příjemce bude primárně probíhat formou vložení oceněného nehmotného majetku. Lze uvažova</w:t>
      </w:r>
      <w:r w:rsidRPr="002C224A">
        <w:t>t též o menší míře přímé finanční spoluúčasti konečných příjemců, která by podpořila racionální přístup k projektu a nebyla demotivační pro vstup veřejné VO do fondu.</w:t>
      </w:r>
    </w:p>
    <w:p w:rsidR="003B6DE3" w:rsidRPr="002C224A" w:rsidRDefault="003B6DE3" w:rsidP="003B6DE3"/>
    <w:p w:rsidR="003B6DE3" w:rsidRPr="002C224A" w:rsidRDefault="003B6DE3" w:rsidP="003B6DE3">
      <w:r w:rsidRPr="002C224A">
        <w:t>Ve sledované velmi rané fázi rozvoje podnikatelského záměru nepokládáme za realistický velký zájem ze strany soukromých investorů o vstup přímo na úrovni fondu</w:t>
      </w:r>
      <w:r w:rsidR="00825517">
        <w:t>, případně do jednotlivých projektů v této úvodní fázi.</w:t>
      </w:r>
      <w:r w:rsidRPr="002C224A">
        <w:t xml:space="preserve"> </w:t>
      </w:r>
      <w:r w:rsidR="00825517">
        <w:t>K</w:t>
      </w:r>
      <w:r w:rsidRPr="002C224A">
        <w:t xml:space="preserve">onzervativní </w:t>
      </w:r>
      <w:r w:rsidR="00825517">
        <w:t>očekávání</w:t>
      </w:r>
      <w:r w:rsidR="00825517" w:rsidRPr="002C224A">
        <w:t xml:space="preserve"> </w:t>
      </w:r>
      <w:r w:rsidRPr="002C224A">
        <w:t xml:space="preserve">fungování FN </w:t>
      </w:r>
      <w:r w:rsidR="00825517">
        <w:t>tedy</w:t>
      </w:r>
      <w:r w:rsidRPr="002C224A">
        <w:t xml:space="preserve"> nepočítá</w:t>
      </w:r>
      <w:r w:rsidR="00825517">
        <w:t xml:space="preserve"> se soukromým spolufinancováním</w:t>
      </w:r>
      <w:r w:rsidRPr="002C224A">
        <w:t xml:space="preserve">, nicméně tato možnost </w:t>
      </w:r>
      <w:r w:rsidR="00825517">
        <w:t>bude</w:t>
      </w:r>
      <w:r w:rsidRPr="002C224A">
        <w:t xml:space="preserve"> zachována. Naopak </w:t>
      </w:r>
      <w:r w:rsidRPr="008366D3">
        <w:rPr>
          <w:b/>
        </w:rPr>
        <w:t>klíčovou roli budou mít soukromé investice ve fázi exitu fondu</w:t>
      </w:r>
      <w:r w:rsidR="006C16E0" w:rsidRPr="008366D3">
        <w:t>, kdy by měly komercionalizované výsledky ve formě spin-off či duševního vlastnictví navázat významné soukromé prostředky</w:t>
      </w:r>
      <w:r w:rsidRPr="008366D3">
        <w:t>.</w:t>
      </w:r>
    </w:p>
    <w:p w:rsidR="003B6DE3" w:rsidRPr="002C224A" w:rsidRDefault="003B6DE3" w:rsidP="003B6DE3">
      <w:pPr>
        <w:pStyle w:val="Nadpis4"/>
        <w:rPr>
          <w:rFonts w:ascii="Calibri" w:hAnsi="Calibri"/>
        </w:rPr>
      </w:pPr>
      <w:r w:rsidRPr="002C224A">
        <w:rPr>
          <w:rFonts w:ascii="Calibri" w:hAnsi="Calibri"/>
        </w:rPr>
        <w:t>Identifikace klíčových subjektů</w:t>
      </w:r>
    </w:p>
    <w:p w:rsidR="003B6DE3" w:rsidRPr="00A50943" w:rsidRDefault="003B6DE3" w:rsidP="003B6DE3">
      <w:r w:rsidRPr="00A50943">
        <w:t>Konečnými příjemci podpory budou veřejné výzkumné organizace prostřednictvím vytvořeného fondu a jejich podílu. Příjemci podpory budou sami odpovědní za samotnou realizaci fáze proof-of-concept/pre-seed</w:t>
      </w:r>
    </w:p>
    <w:p w:rsidR="003B6DE3" w:rsidRPr="002C224A" w:rsidRDefault="003B6DE3" w:rsidP="003B6DE3">
      <w:pPr>
        <w:pStyle w:val="Nadpis4"/>
        <w:rPr>
          <w:rFonts w:ascii="Calibri" w:hAnsi="Calibri"/>
        </w:rPr>
      </w:pPr>
      <w:r w:rsidRPr="002C224A">
        <w:rPr>
          <w:rFonts w:ascii="Calibri" w:hAnsi="Calibri"/>
        </w:rPr>
        <w:t>Odhad dodatečných zdrojů, který potenciálně finanční nástroj přiláká – očekávaný pákový efekt</w:t>
      </w:r>
    </w:p>
    <w:p w:rsidR="003B6DE3" w:rsidRPr="00A50943" w:rsidRDefault="003B6DE3" w:rsidP="003B6DE3"/>
    <w:p w:rsidR="003B6DE3" w:rsidRPr="002C224A" w:rsidRDefault="003B6DE3" w:rsidP="003B6DE3">
      <w:r w:rsidRPr="00A50943">
        <w:t>Přímý pákový efekt nástroje kapitálových vstupů je závislý na míře spolufinancování ze strany soukromých investorů na úrovni fondu. Vzhledem k tomu, že se nepředpokládá zapojení soukromých investorů př</w:t>
      </w:r>
      <w:r w:rsidRPr="002C224A">
        <w:t xml:space="preserve">ed fází exitu, </w:t>
      </w:r>
      <w:r w:rsidR="008B0001" w:rsidRPr="008366D3">
        <w:rPr>
          <w:b/>
        </w:rPr>
        <w:t>má očekáváný</w:t>
      </w:r>
      <w:r w:rsidRPr="008366D3">
        <w:rPr>
          <w:b/>
        </w:rPr>
        <w:t xml:space="preserve"> </w:t>
      </w:r>
      <w:r w:rsidR="008B0001" w:rsidRPr="008366D3">
        <w:rPr>
          <w:b/>
        </w:rPr>
        <w:t xml:space="preserve">přímý </w:t>
      </w:r>
      <w:r w:rsidRPr="008366D3">
        <w:rPr>
          <w:b/>
        </w:rPr>
        <w:t>pákový efekt hodnotu 1</w:t>
      </w:r>
      <w:r w:rsidR="00D507F5" w:rsidRPr="008366D3">
        <w:rPr>
          <w:b/>
        </w:rPr>
        <w:t xml:space="preserve"> – do čehož nicméně nejsou započítány soukromé investice ve fázi exitu</w:t>
      </w:r>
      <w:r w:rsidR="00D507F5">
        <w:t>.</w:t>
      </w:r>
    </w:p>
    <w:p w:rsidR="003B6DE3" w:rsidRPr="002C224A" w:rsidRDefault="003B6DE3" w:rsidP="003B6DE3"/>
    <w:p w:rsidR="003B6DE3" w:rsidRPr="002C224A" w:rsidRDefault="003B6DE3" w:rsidP="003B6DE3">
      <w:pPr>
        <w:pStyle w:val="Nadpis4"/>
        <w:rPr>
          <w:rFonts w:ascii="Calibri" w:hAnsi="Calibri"/>
        </w:rPr>
      </w:pPr>
      <w:r w:rsidRPr="002C224A">
        <w:rPr>
          <w:rFonts w:ascii="Calibri" w:hAnsi="Calibri"/>
        </w:rPr>
        <w:t>Posouzení potřeby a úroveň preferenčního odměňování</w:t>
      </w:r>
    </w:p>
    <w:p w:rsidR="003B6DE3" w:rsidRPr="00A50943" w:rsidRDefault="003B6DE3" w:rsidP="003B6DE3"/>
    <w:p w:rsidR="003B6DE3" w:rsidRPr="002C224A" w:rsidRDefault="003B6DE3" w:rsidP="002C224A">
      <w:r w:rsidRPr="002C224A">
        <w:t>Zavedení preferenčního odměňování pokládáme v rámci pre-seed fondu OP PIK za vhodné pro potenciální zapojení soukromých investorů – které však není primárním cílem SC 1.2. Případné zájemce je nicméně s ohledem na výrazně rizikové zaměření fondu vhodné motivovat preferenčním nastavením obdobně kapitálovému nástroji v SC 2.1</w:t>
      </w:r>
      <w:r w:rsidR="006355B6" w:rsidRPr="002C224A">
        <w:t xml:space="preserve"> – </w:t>
      </w:r>
      <w:r w:rsidR="006355B6" w:rsidRPr="002C224A">
        <w:rPr>
          <w:b/>
        </w:rPr>
        <w:t xml:space="preserve">formou </w:t>
      </w:r>
      <w:r w:rsidRPr="002C224A">
        <w:rPr>
          <w:b/>
        </w:rPr>
        <w:t xml:space="preserve">preferenční dělení zisku vůči soukromému investorovi </w:t>
      </w:r>
      <w:r w:rsidRPr="00A50943">
        <w:t>v příp</w:t>
      </w:r>
      <w:r w:rsidRPr="002C224A">
        <w:t>adě, že výnos úspěšného projektu přesáhne stanovenou základní mez.</w:t>
      </w:r>
      <w:r w:rsidR="00FF3302">
        <w:t xml:space="preserve"> </w:t>
      </w:r>
      <w:r w:rsidR="00FF3302">
        <w:rPr>
          <w:b/>
        </w:rPr>
        <w:lastRenderedPageBreak/>
        <w:t>Aplikovatelnou variantou je preferenční nastavení formou opce</w:t>
      </w:r>
      <w:r w:rsidR="00FF3302" w:rsidRPr="008366D3">
        <w:t xml:space="preserve"> - spo</w:t>
      </w:r>
      <w:r w:rsidR="00FF3302">
        <w:t>luinvestor by získal právo odkoupit od finančního nástroje vlastnický podíl v cílové společnosti za předem dohodnutou cenu.</w:t>
      </w:r>
    </w:p>
    <w:p w:rsidR="003B6DE3" w:rsidRPr="002C224A" w:rsidRDefault="003B6DE3" w:rsidP="003B6DE3">
      <w:pPr>
        <w:pStyle w:val="Odstavecseseznamem1"/>
        <w:ind w:left="0"/>
      </w:pPr>
    </w:p>
    <w:p w:rsidR="003B6DE3" w:rsidRPr="002C224A" w:rsidRDefault="003B6DE3" w:rsidP="003B6DE3">
      <w:pPr>
        <w:pStyle w:val="Odstavecseseznamem1"/>
        <w:ind w:left="0"/>
      </w:pPr>
      <w:r w:rsidRPr="002C224A">
        <w:t>V rámci vztahu s konečným příjemcem není preferenční odměňování navrhováno.</w:t>
      </w:r>
    </w:p>
    <w:p w:rsidR="006D67F1" w:rsidRPr="002C224A" w:rsidRDefault="006D67F1" w:rsidP="008074B1"/>
    <w:p w:rsidR="006D67F1" w:rsidRPr="002C224A" w:rsidRDefault="006D67F1" w:rsidP="002433DA">
      <w:pPr>
        <w:pStyle w:val="Nadpis2"/>
        <w:rPr>
          <w:rFonts w:ascii="Calibri" w:hAnsi="Calibri"/>
        </w:rPr>
      </w:pPr>
      <w:bookmarkStart w:id="28" w:name="_Toc417543391"/>
      <w:bookmarkStart w:id="29" w:name="_Toc417543392"/>
      <w:bookmarkStart w:id="30" w:name="_Toc417543393"/>
      <w:bookmarkStart w:id="31" w:name="_Toc417543394"/>
      <w:bookmarkStart w:id="32" w:name="_Toc417543396"/>
      <w:bookmarkStart w:id="33" w:name="_Toc417543397"/>
      <w:bookmarkStart w:id="34" w:name="_Toc417543398"/>
      <w:bookmarkStart w:id="35" w:name="_Toc417543399"/>
      <w:bookmarkStart w:id="36" w:name="_Toc417543400"/>
      <w:bookmarkStart w:id="37" w:name="_Toc417543401"/>
      <w:bookmarkStart w:id="38" w:name="_Toc417543402"/>
      <w:bookmarkStart w:id="39" w:name="_Toc417543403"/>
      <w:bookmarkStart w:id="40" w:name="_Toc417543404"/>
      <w:bookmarkStart w:id="41" w:name="_Toc417543405"/>
      <w:bookmarkStart w:id="42" w:name="_Toc417543406"/>
      <w:bookmarkStart w:id="43" w:name="_Toc417543407"/>
      <w:bookmarkStart w:id="44" w:name="_Toc417543408"/>
      <w:bookmarkStart w:id="45" w:name="_Toc417543409"/>
      <w:bookmarkStart w:id="46" w:name="_Toc417543410"/>
      <w:bookmarkStart w:id="47" w:name="_Toc417543411"/>
      <w:bookmarkStart w:id="48" w:name="_Toc417543412"/>
      <w:bookmarkStart w:id="49" w:name="_Toc417543413"/>
      <w:bookmarkStart w:id="50" w:name="_Toc417543414"/>
      <w:bookmarkStart w:id="51" w:name="_Toc417543415"/>
      <w:bookmarkStart w:id="52" w:name="_Toc417543417"/>
      <w:bookmarkStart w:id="53" w:name="_Toc417543418"/>
      <w:bookmarkStart w:id="54" w:name="_Toc417543419"/>
      <w:bookmarkStart w:id="55" w:name="_Toc417543420"/>
      <w:bookmarkStart w:id="56" w:name="_Toc417543422"/>
      <w:bookmarkStart w:id="57" w:name="_Toc417543423"/>
      <w:bookmarkStart w:id="58" w:name="_Toc417543424"/>
      <w:bookmarkStart w:id="59" w:name="_Toc417543529"/>
      <w:bookmarkStart w:id="60" w:name="_Toc416909214"/>
      <w:bookmarkStart w:id="61" w:name="_Toc417543648"/>
      <w:bookmarkStart w:id="62" w:name="_Toc416909215"/>
      <w:bookmarkStart w:id="63" w:name="_Toc417543649"/>
      <w:bookmarkStart w:id="64" w:name="_Toc417543650"/>
      <w:bookmarkStart w:id="65" w:name="_Toc417543665"/>
      <w:bookmarkStart w:id="66" w:name="_Toc417543666"/>
      <w:bookmarkStart w:id="67" w:name="_Toc417543667"/>
      <w:bookmarkStart w:id="68" w:name="_Toc417543668"/>
      <w:bookmarkStart w:id="69" w:name="_Toc417543670"/>
      <w:bookmarkStart w:id="70" w:name="_Toc417543672"/>
      <w:bookmarkStart w:id="71" w:name="_Toc417543674"/>
      <w:bookmarkStart w:id="72" w:name="_Toc417543676"/>
      <w:bookmarkStart w:id="73" w:name="_Toc417543678"/>
      <w:bookmarkStart w:id="74" w:name="_Toc417543681"/>
      <w:bookmarkStart w:id="75" w:name="_Toc417543683"/>
      <w:bookmarkStart w:id="76" w:name="_Toc417543685"/>
      <w:bookmarkStart w:id="77" w:name="_Toc417543686"/>
      <w:bookmarkStart w:id="78" w:name="_Toc417543689"/>
      <w:bookmarkStart w:id="79" w:name="_Toc417543690"/>
      <w:bookmarkStart w:id="80" w:name="_Toc417543693"/>
      <w:bookmarkStart w:id="81" w:name="_Toc417543696"/>
      <w:bookmarkStart w:id="82" w:name="_Toc417543702"/>
      <w:bookmarkStart w:id="83" w:name="_Toc417543707"/>
      <w:bookmarkStart w:id="84" w:name="_Toc417543709"/>
      <w:bookmarkStart w:id="85" w:name="_Toc417543711"/>
      <w:bookmarkStart w:id="86" w:name="_Toc417543713"/>
      <w:bookmarkStart w:id="87" w:name="_Toc417543715"/>
      <w:bookmarkStart w:id="88" w:name="_Toc417543717"/>
      <w:bookmarkStart w:id="89" w:name="_Toc417543720"/>
      <w:bookmarkStart w:id="90" w:name="_Toc417543722"/>
      <w:bookmarkStart w:id="91" w:name="_Toc417543728"/>
      <w:bookmarkStart w:id="92" w:name="_Toc417543730"/>
      <w:bookmarkStart w:id="93" w:name="_Toc417543746"/>
      <w:bookmarkStart w:id="94" w:name="_Toc417543761"/>
      <w:bookmarkStart w:id="95" w:name="_Toc417543771"/>
      <w:bookmarkStart w:id="96" w:name="_Toc417543781"/>
      <w:bookmarkStart w:id="97" w:name="_Toc417543796"/>
      <w:bookmarkStart w:id="98" w:name="_Toc417543806"/>
      <w:bookmarkStart w:id="99" w:name="_Toc417543816"/>
      <w:bookmarkStart w:id="100" w:name="_Toc417543826"/>
      <w:bookmarkStart w:id="101" w:name="_Toc417543836"/>
      <w:bookmarkStart w:id="102" w:name="_Toc417543856"/>
      <w:bookmarkStart w:id="103" w:name="_Toc417543866"/>
      <w:bookmarkStart w:id="104" w:name="_Toc416383560"/>
      <w:bookmarkStart w:id="105" w:name="_Toc416447542"/>
      <w:bookmarkStart w:id="106" w:name="_Toc416383561"/>
      <w:bookmarkStart w:id="107" w:name="_Toc416447543"/>
      <w:bookmarkStart w:id="108" w:name="_Toc416383562"/>
      <w:bookmarkStart w:id="109" w:name="_Toc416447544"/>
      <w:bookmarkStart w:id="110" w:name="_Toc416383563"/>
      <w:bookmarkStart w:id="111" w:name="_Toc416447545"/>
      <w:bookmarkStart w:id="112" w:name="_Toc416383564"/>
      <w:bookmarkStart w:id="113" w:name="_Toc416447546"/>
      <w:bookmarkStart w:id="114" w:name="_Toc416383565"/>
      <w:bookmarkStart w:id="115" w:name="_Toc416447547"/>
      <w:bookmarkStart w:id="116" w:name="_Toc416383566"/>
      <w:bookmarkStart w:id="117" w:name="_Toc416447548"/>
      <w:bookmarkStart w:id="118" w:name="_Toc416383567"/>
      <w:bookmarkStart w:id="119" w:name="_Toc416447549"/>
      <w:bookmarkStart w:id="120" w:name="_Toc416383568"/>
      <w:bookmarkStart w:id="121" w:name="_Toc416447550"/>
      <w:bookmarkStart w:id="122" w:name="_Toc416383569"/>
      <w:bookmarkStart w:id="123" w:name="_Toc416447551"/>
      <w:bookmarkStart w:id="124" w:name="_Toc416383570"/>
      <w:bookmarkStart w:id="125" w:name="_Toc416447552"/>
      <w:bookmarkStart w:id="126" w:name="_Toc416383571"/>
      <w:bookmarkStart w:id="127" w:name="_Toc416447553"/>
      <w:bookmarkStart w:id="128" w:name="_Toc416383572"/>
      <w:bookmarkStart w:id="129" w:name="_Toc416447554"/>
      <w:bookmarkStart w:id="130" w:name="_Toc416383573"/>
      <w:bookmarkStart w:id="131" w:name="_Toc416447555"/>
      <w:bookmarkStart w:id="132" w:name="_Toc416383574"/>
      <w:bookmarkStart w:id="133" w:name="_Toc416447556"/>
      <w:bookmarkStart w:id="134" w:name="_Toc416383575"/>
      <w:bookmarkStart w:id="135" w:name="_Toc416447557"/>
      <w:bookmarkStart w:id="136" w:name="_Toc416383576"/>
      <w:bookmarkStart w:id="137" w:name="_Toc416447558"/>
      <w:bookmarkStart w:id="138" w:name="_Toc416383577"/>
      <w:bookmarkStart w:id="139" w:name="_Toc416447559"/>
      <w:bookmarkStart w:id="140" w:name="_Toc416383578"/>
      <w:bookmarkStart w:id="141" w:name="_Toc416447560"/>
      <w:bookmarkStart w:id="142" w:name="_Toc416383579"/>
      <w:bookmarkStart w:id="143" w:name="_Toc416447561"/>
      <w:bookmarkStart w:id="144" w:name="_Toc416383580"/>
      <w:bookmarkStart w:id="145" w:name="_Toc416447562"/>
      <w:bookmarkStart w:id="146" w:name="_Toc416383581"/>
      <w:bookmarkStart w:id="147" w:name="_Toc416447563"/>
      <w:bookmarkStart w:id="148" w:name="_Toc416383582"/>
      <w:bookmarkStart w:id="149" w:name="_Toc416447564"/>
      <w:bookmarkStart w:id="150" w:name="_Toc416383583"/>
      <w:bookmarkStart w:id="151" w:name="_Toc416447565"/>
      <w:bookmarkStart w:id="152" w:name="_Toc416383584"/>
      <w:bookmarkStart w:id="153" w:name="_Toc416447566"/>
      <w:bookmarkStart w:id="154" w:name="_Toc416383585"/>
      <w:bookmarkStart w:id="155" w:name="_Toc416447567"/>
      <w:bookmarkStart w:id="156" w:name="_Toc416383586"/>
      <w:bookmarkStart w:id="157" w:name="_Toc416447568"/>
      <w:bookmarkStart w:id="158" w:name="_Toc416383587"/>
      <w:bookmarkStart w:id="159" w:name="_Toc416447569"/>
      <w:bookmarkStart w:id="160" w:name="_Toc416383588"/>
      <w:bookmarkStart w:id="161" w:name="_Toc416447570"/>
      <w:bookmarkStart w:id="162" w:name="_Toc416383589"/>
      <w:bookmarkStart w:id="163" w:name="_Toc416447571"/>
      <w:bookmarkStart w:id="164" w:name="_Toc416383590"/>
      <w:bookmarkStart w:id="165" w:name="_Toc416447572"/>
      <w:bookmarkStart w:id="166" w:name="_Toc416383591"/>
      <w:bookmarkStart w:id="167" w:name="_Toc416447573"/>
      <w:bookmarkStart w:id="168" w:name="_Toc416383592"/>
      <w:bookmarkStart w:id="169" w:name="_Toc416447574"/>
      <w:bookmarkStart w:id="170" w:name="_Toc416383593"/>
      <w:bookmarkStart w:id="171" w:name="_Toc416447575"/>
      <w:bookmarkStart w:id="172" w:name="_Toc416383594"/>
      <w:bookmarkStart w:id="173" w:name="_Toc416447576"/>
      <w:bookmarkStart w:id="174" w:name="_Toc416383595"/>
      <w:bookmarkStart w:id="175" w:name="_Toc416447577"/>
      <w:bookmarkStart w:id="176" w:name="_Toc416383596"/>
      <w:bookmarkStart w:id="177" w:name="_Toc416447578"/>
      <w:bookmarkStart w:id="178" w:name="_Toc416383597"/>
      <w:bookmarkStart w:id="179" w:name="_Toc416447579"/>
      <w:bookmarkStart w:id="180" w:name="_Toc416383598"/>
      <w:bookmarkStart w:id="181" w:name="_Toc416447580"/>
      <w:bookmarkStart w:id="182" w:name="_Toc416383599"/>
      <w:bookmarkStart w:id="183" w:name="_Toc416447581"/>
      <w:bookmarkStart w:id="184" w:name="_Toc416383600"/>
      <w:bookmarkStart w:id="185" w:name="_Toc416447582"/>
      <w:bookmarkStart w:id="186" w:name="_Toc416383601"/>
      <w:bookmarkStart w:id="187" w:name="_Toc416447583"/>
      <w:bookmarkStart w:id="188" w:name="_Toc416383602"/>
      <w:bookmarkStart w:id="189" w:name="_Toc416447584"/>
      <w:bookmarkStart w:id="190" w:name="_Toc416383603"/>
      <w:bookmarkStart w:id="191" w:name="_Toc416447585"/>
      <w:bookmarkStart w:id="192" w:name="_Toc416383604"/>
      <w:bookmarkStart w:id="193" w:name="_Toc416447586"/>
      <w:bookmarkStart w:id="194" w:name="_Toc416383605"/>
      <w:bookmarkStart w:id="195" w:name="_Toc416447587"/>
      <w:bookmarkStart w:id="196" w:name="_Toc416383606"/>
      <w:bookmarkStart w:id="197" w:name="_Toc416447588"/>
      <w:bookmarkStart w:id="198" w:name="_Toc416383607"/>
      <w:bookmarkStart w:id="199" w:name="_Toc416447589"/>
      <w:bookmarkStart w:id="200" w:name="_Toc416383608"/>
      <w:bookmarkStart w:id="201" w:name="_Toc416447590"/>
      <w:bookmarkStart w:id="202" w:name="_Toc416383609"/>
      <w:bookmarkStart w:id="203" w:name="_Toc416447591"/>
      <w:bookmarkStart w:id="204" w:name="_Toc416383610"/>
      <w:bookmarkStart w:id="205" w:name="_Toc416447592"/>
      <w:bookmarkStart w:id="206" w:name="_Toc416383611"/>
      <w:bookmarkStart w:id="207" w:name="_Toc416447593"/>
      <w:bookmarkStart w:id="208" w:name="_Toc416383613"/>
      <w:bookmarkStart w:id="209" w:name="_Toc416447595"/>
      <w:bookmarkStart w:id="210" w:name="_Toc416383614"/>
      <w:bookmarkStart w:id="211" w:name="_Toc416447596"/>
      <w:bookmarkStart w:id="212" w:name="_Toc416383615"/>
      <w:bookmarkStart w:id="213" w:name="_Toc416447597"/>
      <w:bookmarkStart w:id="214" w:name="_Toc416383616"/>
      <w:bookmarkStart w:id="215" w:name="_Toc416447598"/>
      <w:bookmarkStart w:id="216" w:name="_Toc416383617"/>
      <w:bookmarkStart w:id="217" w:name="_Toc416447599"/>
      <w:bookmarkStart w:id="218" w:name="_Toc416383618"/>
      <w:bookmarkStart w:id="219" w:name="_Toc416447600"/>
      <w:bookmarkStart w:id="220" w:name="_Toc416383619"/>
      <w:bookmarkStart w:id="221" w:name="_Toc416447601"/>
      <w:bookmarkStart w:id="222" w:name="_Toc416383620"/>
      <w:bookmarkStart w:id="223" w:name="_Toc416447602"/>
      <w:bookmarkStart w:id="224" w:name="_Toc416383621"/>
      <w:bookmarkStart w:id="225" w:name="_Toc416447603"/>
      <w:bookmarkStart w:id="226" w:name="_Toc416383622"/>
      <w:bookmarkStart w:id="227" w:name="_Toc416447604"/>
      <w:bookmarkStart w:id="228" w:name="_Toc416383623"/>
      <w:bookmarkStart w:id="229" w:name="_Toc416447605"/>
      <w:bookmarkStart w:id="230" w:name="_Toc416383624"/>
      <w:bookmarkStart w:id="231" w:name="_Toc416447606"/>
      <w:bookmarkStart w:id="232" w:name="_Toc416383625"/>
      <w:bookmarkStart w:id="233" w:name="_Toc416447607"/>
      <w:bookmarkStart w:id="234" w:name="_Toc416383626"/>
      <w:bookmarkStart w:id="235" w:name="_Toc416447608"/>
      <w:bookmarkStart w:id="236" w:name="_Toc416383627"/>
      <w:bookmarkStart w:id="237" w:name="_Toc416447609"/>
      <w:bookmarkStart w:id="238" w:name="_Toc417543868"/>
      <w:bookmarkStart w:id="239" w:name="_Toc417543874"/>
      <w:bookmarkStart w:id="240" w:name="_Toc417543880"/>
      <w:bookmarkStart w:id="241" w:name="_Toc417543894"/>
      <w:bookmarkStart w:id="242" w:name="_Toc417543895"/>
      <w:bookmarkStart w:id="243" w:name="_Toc417543896"/>
      <w:bookmarkStart w:id="244" w:name="_Toc417543903"/>
      <w:bookmarkStart w:id="245" w:name="_Toc417543907"/>
      <w:bookmarkStart w:id="246" w:name="_Toc417543911"/>
      <w:bookmarkStart w:id="247" w:name="_Toc417543912"/>
      <w:bookmarkStart w:id="248" w:name="_Toc417543918"/>
      <w:bookmarkStart w:id="249" w:name="_Toc417543919"/>
      <w:bookmarkStart w:id="250" w:name="_Toc417543920"/>
      <w:bookmarkStart w:id="251" w:name="_Toc417543929"/>
      <w:bookmarkStart w:id="252" w:name="_Toc417543931"/>
      <w:bookmarkStart w:id="253" w:name="_Toc417543950"/>
      <w:bookmarkStart w:id="254" w:name="_Toc417543951"/>
      <w:bookmarkStart w:id="255" w:name="_Toc417543952"/>
      <w:bookmarkStart w:id="256" w:name="_Toc416383631"/>
      <w:bookmarkStart w:id="257" w:name="_Toc416447613"/>
      <w:bookmarkStart w:id="258" w:name="_Toc416383632"/>
      <w:bookmarkStart w:id="259" w:name="_Toc416447614"/>
      <w:bookmarkStart w:id="260" w:name="_Toc416383633"/>
      <w:bookmarkStart w:id="261" w:name="_Toc416447615"/>
      <w:bookmarkStart w:id="262" w:name="_Toc416383634"/>
      <w:bookmarkStart w:id="263" w:name="_Toc416447616"/>
      <w:bookmarkStart w:id="264" w:name="_Toc416383635"/>
      <w:bookmarkStart w:id="265" w:name="_Toc416447617"/>
      <w:bookmarkStart w:id="266" w:name="_Toc416383636"/>
      <w:bookmarkStart w:id="267" w:name="_Toc416447618"/>
      <w:bookmarkStart w:id="268" w:name="_Toc416383637"/>
      <w:bookmarkStart w:id="269" w:name="_Toc416447619"/>
      <w:bookmarkStart w:id="270" w:name="_Toc416383638"/>
      <w:bookmarkStart w:id="271" w:name="_Toc416447620"/>
      <w:bookmarkStart w:id="272" w:name="_Toc416383639"/>
      <w:bookmarkStart w:id="273" w:name="_Toc416447621"/>
      <w:bookmarkStart w:id="274" w:name="_Toc416383640"/>
      <w:bookmarkStart w:id="275" w:name="_Toc416447622"/>
      <w:bookmarkStart w:id="276" w:name="_Toc416383641"/>
      <w:bookmarkStart w:id="277" w:name="_Toc416447623"/>
      <w:bookmarkStart w:id="278" w:name="_Toc416383642"/>
      <w:bookmarkStart w:id="279" w:name="_Toc416447624"/>
      <w:bookmarkStart w:id="280" w:name="_Toc416383643"/>
      <w:bookmarkStart w:id="281" w:name="_Toc416447625"/>
      <w:bookmarkStart w:id="282" w:name="_Toc416383644"/>
      <w:bookmarkStart w:id="283" w:name="_Toc416447626"/>
      <w:bookmarkStart w:id="284" w:name="_Toc416383645"/>
      <w:bookmarkStart w:id="285" w:name="_Toc416447627"/>
      <w:bookmarkStart w:id="286" w:name="_Toc416383646"/>
      <w:bookmarkStart w:id="287" w:name="_Toc416447628"/>
      <w:bookmarkStart w:id="288" w:name="_Toc416383647"/>
      <w:bookmarkStart w:id="289" w:name="_Toc416447629"/>
      <w:bookmarkStart w:id="290" w:name="_Toc413824141"/>
      <w:bookmarkStart w:id="291" w:name="_Toc413831124"/>
      <w:bookmarkStart w:id="292" w:name="_Toc413831154"/>
      <w:bookmarkStart w:id="293" w:name="_Toc417543954"/>
      <w:bookmarkStart w:id="294" w:name="_Toc417543956"/>
      <w:bookmarkStart w:id="295" w:name="_Toc416383649"/>
      <w:bookmarkStart w:id="296" w:name="_Toc416447631"/>
      <w:bookmarkStart w:id="297" w:name="_Toc416383650"/>
      <w:bookmarkStart w:id="298" w:name="_Toc416447632"/>
      <w:bookmarkStart w:id="299" w:name="_Toc416383651"/>
      <w:bookmarkStart w:id="300" w:name="_Toc416447633"/>
      <w:bookmarkStart w:id="301" w:name="_Toc416383652"/>
      <w:bookmarkStart w:id="302" w:name="_Toc416447634"/>
      <w:bookmarkStart w:id="303" w:name="_Toc416383653"/>
      <w:bookmarkStart w:id="304" w:name="_Toc416447635"/>
      <w:bookmarkStart w:id="305" w:name="_Toc416383654"/>
      <w:bookmarkStart w:id="306" w:name="_Toc416447636"/>
      <w:bookmarkStart w:id="307" w:name="_Toc416383655"/>
      <w:bookmarkStart w:id="308" w:name="_Toc416447637"/>
      <w:bookmarkStart w:id="309" w:name="_Toc416383656"/>
      <w:bookmarkStart w:id="310" w:name="_Toc416447638"/>
      <w:bookmarkStart w:id="311" w:name="_Toc416383657"/>
      <w:bookmarkStart w:id="312" w:name="_Toc416447639"/>
      <w:bookmarkStart w:id="313" w:name="_Toc416383658"/>
      <w:bookmarkStart w:id="314" w:name="_Toc416447640"/>
      <w:bookmarkStart w:id="315" w:name="_Toc416383659"/>
      <w:bookmarkStart w:id="316" w:name="_Toc416447641"/>
      <w:bookmarkStart w:id="317" w:name="_Toc416383660"/>
      <w:bookmarkStart w:id="318" w:name="_Toc416447642"/>
      <w:bookmarkStart w:id="319" w:name="_Toc416383661"/>
      <w:bookmarkStart w:id="320" w:name="_Toc416447643"/>
      <w:bookmarkStart w:id="321" w:name="_Toc416383662"/>
      <w:bookmarkStart w:id="322" w:name="_Toc416447644"/>
      <w:bookmarkStart w:id="323" w:name="_Toc416383663"/>
      <w:bookmarkStart w:id="324" w:name="_Toc416447645"/>
      <w:bookmarkStart w:id="325" w:name="_Toc416383664"/>
      <w:bookmarkStart w:id="326" w:name="_Toc416447646"/>
      <w:bookmarkStart w:id="327" w:name="_Toc416383665"/>
      <w:bookmarkStart w:id="328" w:name="_Toc416447647"/>
      <w:bookmarkStart w:id="329" w:name="_Toc416383666"/>
      <w:bookmarkStart w:id="330" w:name="_Toc416447648"/>
      <w:bookmarkStart w:id="331" w:name="_Toc416383667"/>
      <w:bookmarkStart w:id="332" w:name="_Toc416447649"/>
      <w:bookmarkStart w:id="333" w:name="_Toc416383668"/>
      <w:bookmarkStart w:id="334" w:name="_Toc416447650"/>
      <w:bookmarkStart w:id="335" w:name="_Toc416383669"/>
      <w:bookmarkStart w:id="336" w:name="_Toc416447651"/>
      <w:bookmarkStart w:id="337" w:name="_Toc416383670"/>
      <w:bookmarkStart w:id="338" w:name="_Toc416447652"/>
      <w:bookmarkStart w:id="339" w:name="_Toc416383671"/>
      <w:bookmarkStart w:id="340" w:name="_Toc416447653"/>
      <w:bookmarkStart w:id="341" w:name="_Toc416383672"/>
      <w:bookmarkStart w:id="342" w:name="_Toc416447654"/>
      <w:bookmarkStart w:id="343" w:name="_Toc416383673"/>
      <w:bookmarkStart w:id="344" w:name="_Toc416447655"/>
      <w:bookmarkStart w:id="345" w:name="_Toc416383674"/>
      <w:bookmarkStart w:id="346" w:name="_Toc416447656"/>
      <w:bookmarkStart w:id="347" w:name="_Toc416383675"/>
      <w:bookmarkStart w:id="348" w:name="_Toc416447657"/>
      <w:bookmarkStart w:id="349" w:name="_Toc416383676"/>
      <w:bookmarkStart w:id="350" w:name="_Toc416447658"/>
      <w:bookmarkStart w:id="351" w:name="_Toc416383677"/>
      <w:bookmarkStart w:id="352" w:name="_Toc416447659"/>
      <w:bookmarkStart w:id="353" w:name="_Toc416383678"/>
      <w:bookmarkStart w:id="354" w:name="_Toc416447660"/>
      <w:bookmarkStart w:id="355" w:name="_Toc416383679"/>
      <w:bookmarkStart w:id="356" w:name="_Toc416447661"/>
      <w:bookmarkStart w:id="357" w:name="_Toc416383680"/>
      <w:bookmarkStart w:id="358" w:name="_Toc416447662"/>
      <w:bookmarkStart w:id="359" w:name="_Toc416383681"/>
      <w:bookmarkStart w:id="360" w:name="_Toc416447663"/>
      <w:bookmarkStart w:id="361" w:name="_Toc417543957"/>
      <w:bookmarkStart w:id="362" w:name="_Toc417543958"/>
      <w:bookmarkStart w:id="363" w:name="_Toc417543966"/>
      <w:bookmarkStart w:id="364" w:name="_Toc417543967"/>
      <w:bookmarkStart w:id="365" w:name="_Toc417543970"/>
      <w:bookmarkStart w:id="366" w:name="_Toc417543973"/>
      <w:bookmarkStart w:id="367" w:name="_Toc417543976"/>
      <w:bookmarkStart w:id="368" w:name="_Toc417543978"/>
      <w:bookmarkStart w:id="369" w:name="_Toc417543980"/>
      <w:bookmarkStart w:id="370" w:name="_Toc417543981"/>
      <w:bookmarkStart w:id="371" w:name="_Toc417543983"/>
      <w:bookmarkStart w:id="372" w:name="_Toc417543985"/>
      <w:bookmarkStart w:id="373" w:name="_Toc417543987"/>
      <w:bookmarkStart w:id="374" w:name="_Toc417543989"/>
      <w:bookmarkStart w:id="375" w:name="_Toc417543991"/>
      <w:bookmarkStart w:id="376" w:name="_Toc417543992"/>
      <w:bookmarkStart w:id="377" w:name="_Toc417543994"/>
      <w:bookmarkStart w:id="378" w:name="_Toc417543995"/>
      <w:bookmarkStart w:id="379" w:name="_Toc417543998"/>
      <w:bookmarkStart w:id="380" w:name="_Toc417543999"/>
      <w:bookmarkStart w:id="381" w:name="_Toc417544000"/>
      <w:bookmarkStart w:id="382" w:name="_Toc417544002"/>
      <w:bookmarkStart w:id="383" w:name="_Toc417544004"/>
      <w:bookmarkStart w:id="384" w:name="_Toc417544005"/>
      <w:bookmarkStart w:id="385" w:name="_Toc417544008"/>
      <w:bookmarkStart w:id="386" w:name="_Toc417544009"/>
      <w:bookmarkStart w:id="387" w:name="_Toc417544010"/>
      <w:bookmarkStart w:id="388" w:name="_Toc417544011"/>
      <w:bookmarkStart w:id="389" w:name="_Toc417544012"/>
      <w:bookmarkStart w:id="390" w:name="_Toc417544013"/>
      <w:bookmarkStart w:id="391" w:name="_Toc417544014"/>
      <w:bookmarkStart w:id="392" w:name="_Toc417544015"/>
      <w:bookmarkStart w:id="393" w:name="_Toc417544016"/>
      <w:bookmarkStart w:id="394" w:name="_Toc417544019"/>
      <w:bookmarkStart w:id="395" w:name="_Toc417544021"/>
      <w:bookmarkStart w:id="396" w:name="_Toc417544023"/>
      <w:bookmarkStart w:id="397" w:name="_Toc417544025"/>
      <w:bookmarkStart w:id="398" w:name="_Toc417544027"/>
      <w:bookmarkStart w:id="399" w:name="_Toc417544028"/>
      <w:bookmarkStart w:id="400" w:name="_Toc417544029"/>
      <w:bookmarkStart w:id="401" w:name="_Toc417544031"/>
      <w:bookmarkStart w:id="402" w:name="_Toc417544032"/>
      <w:bookmarkStart w:id="403" w:name="_Toc417544034"/>
      <w:bookmarkStart w:id="404" w:name="_Toc417544036"/>
      <w:bookmarkStart w:id="405" w:name="_Toc417544037"/>
      <w:bookmarkStart w:id="406" w:name="_Toc417544038"/>
      <w:bookmarkStart w:id="407" w:name="_Toc417544039"/>
      <w:bookmarkStart w:id="408" w:name="_Toc417544040"/>
      <w:bookmarkStart w:id="409" w:name="_Toc417544042"/>
      <w:bookmarkStart w:id="410" w:name="_Toc417544044"/>
      <w:bookmarkStart w:id="411" w:name="_Toc417544046"/>
      <w:bookmarkStart w:id="412" w:name="_Toc417544047"/>
      <w:bookmarkStart w:id="413" w:name="_Toc417544048"/>
      <w:bookmarkStart w:id="414" w:name="_Toc417544049"/>
      <w:bookmarkStart w:id="415" w:name="_Toc417544050"/>
      <w:bookmarkStart w:id="416" w:name="_Toc417544051"/>
      <w:bookmarkStart w:id="417" w:name="_Toc417544052"/>
      <w:bookmarkStart w:id="418" w:name="_Toc417544053"/>
      <w:bookmarkStart w:id="419" w:name="_Toc417544055"/>
      <w:bookmarkStart w:id="420" w:name="_Toc417544057"/>
      <w:bookmarkStart w:id="421" w:name="_Toc417544059"/>
      <w:bookmarkStart w:id="422" w:name="_Toc417544060"/>
      <w:bookmarkStart w:id="423" w:name="_Toc417544061"/>
      <w:bookmarkStart w:id="424" w:name="_Toc417544063"/>
      <w:bookmarkStart w:id="425" w:name="_Toc417544065"/>
      <w:bookmarkStart w:id="426" w:name="_Toc417544066"/>
      <w:bookmarkStart w:id="427" w:name="_Toc417544069"/>
      <w:bookmarkStart w:id="428" w:name="_Toc417544071"/>
      <w:bookmarkStart w:id="429" w:name="_Toc416383687"/>
      <w:bookmarkStart w:id="430" w:name="_Toc416447669"/>
      <w:bookmarkStart w:id="431" w:name="_Toc416383688"/>
      <w:bookmarkStart w:id="432" w:name="_Toc416447670"/>
      <w:bookmarkStart w:id="433" w:name="_Toc416383689"/>
      <w:bookmarkStart w:id="434" w:name="_Toc416447671"/>
      <w:bookmarkStart w:id="435" w:name="_Toc416383690"/>
      <w:bookmarkStart w:id="436" w:name="_Toc416447672"/>
      <w:bookmarkStart w:id="437" w:name="_Toc416383691"/>
      <w:bookmarkStart w:id="438" w:name="_Toc416447673"/>
      <w:bookmarkStart w:id="439" w:name="_Toc416383692"/>
      <w:bookmarkStart w:id="440" w:name="_Toc416447674"/>
      <w:bookmarkStart w:id="441" w:name="_Toc417544072"/>
      <w:bookmarkStart w:id="442" w:name="_Toc417544073"/>
      <w:bookmarkStart w:id="443" w:name="_Toc417544075"/>
      <w:bookmarkStart w:id="444" w:name="_Toc417544076"/>
      <w:bookmarkStart w:id="445" w:name="_Toc417544077"/>
      <w:bookmarkStart w:id="446" w:name="_Toc417544079"/>
      <w:bookmarkStart w:id="447" w:name="_Toc417544082"/>
      <w:bookmarkStart w:id="448" w:name="_Toc417544083"/>
      <w:bookmarkStart w:id="449" w:name="_Toc417544084"/>
      <w:bookmarkStart w:id="450" w:name="_Toc417544085"/>
      <w:bookmarkStart w:id="451" w:name="_Toc417544087"/>
      <w:bookmarkStart w:id="452" w:name="_Toc417544088"/>
      <w:bookmarkStart w:id="453" w:name="_Toc417544093"/>
      <w:bookmarkStart w:id="454" w:name="_Toc417544105"/>
      <w:bookmarkStart w:id="455" w:name="_Toc417544111"/>
      <w:bookmarkStart w:id="456" w:name="_Toc417544117"/>
      <w:bookmarkStart w:id="457" w:name="_Toc417544123"/>
      <w:bookmarkStart w:id="458" w:name="_Toc417544129"/>
      <w:bookmarkStart w:id="459" w:name="_Toc417544135"/>
      <w:bookmarkStart w:id="460" w:name="_Toc417544141"/>
      <w:bookmarkStart w:id="461" w:name="_Toc417544147"/>
      <w:bookmarkStart w:id="462" w:name="_Toc417544159"/>
      <w:bookmarkStart w:id="463" w:name="_Toc417544165"/>
      <w:bookmarkStart w:id="464" w:name="_Toc417544171"/>
      <w:bookmarkStart w:id="465" w:name="_Toc417544177"/>
      <w:bookmarkStart w:id="466" w:name="_Toc417544183"/>
      <w:bookmarkStart w:id="467" w:name="_Toc417544189"/>
      <w:bookmarkStart w:id="468" w:name="_Toc417544197"/>
      <w:bookmarkStart w:id="469" w:name="_Toc417544198"/>
      <w:bookmarkStart w:id="470" w:name="_Toc417544199"/>
      <w:bookmarkStart w:id="471" w:name="_Toc417544200"/>
      <w:bookmarkStart w:id="472" w:name="_Toc417544253"/>
      <w:bookmarkStart w:id="473" w:name="_Toc417544256"/>
      <w:bookmarkStart w:id="474" w:name="_Toc417544257"/>
      <w:bookmarkStart w:id="475" w:name="_Toc417544259"/>
      <w:bookmarkStart w:id="476" w:name="_Toc417544260"/>
      <w:bookmarkStart w:id="477" w:name="_Toc417544261"/>
      <w:bookmarkStart w:id="478" w:name="_Toc417544263"/>
      <w:bookmarkStart w:id="479" w:name="_Toc417544264"/>
      <w:bookmarkStart w:id="480" w:name="_Toc417544265"/>
      <w:bookmarkStart w:id="481" w:name="_Toc417544267"/>
      <w:bookmarkStart w:id="482" w:name="_Toc417544269"/>
      <w:bookmarkStart w:id="483" w:name="_Toc417544270"/>
      <w:bookmarkStart w:id="484" w:name="_Toc417544271"/>
      <w:bookmarkStart w:id="485" w:name="_Toc417544272"/>
      <w:bookmarkStart w:id="486" w:name="_Toc417544273"/>
      <w:bookmarkStart w:id="487" w:name="_Toc417544274"/>
      <w:bookmarkStart w:id="488" w:name="_Toc417544275"/>
      <w:bookmarkStart w:id="489" w:name="_Toc417544276"/>
      <w:bookmarkStart w:id="490" w:name="_Toc417544277"/>
      <w:bookmarkStart w:id="491" w:name="_Toc417544278"/>
      <w:bookmarkStart w:id="492" w:name="_Toc417544281"/>
      <w:bookmarkStart w:id="493" w:name="_Toc417544282"/>
      <w:bookmarkStart w:id="494" w:name="_Toc417544284"/>
      <w:bookmarkStart w:id="495" w:name="_Toc417544285"/>
      <w:bookmarkStart w:id="496" w:name="_Toc417544287"/>
      <w:bookmarkStart w:id="497" w:name="_Toc417544288"/>
      <w:bookmarkStart w:id="498" w:name="_Toc417544290"/>
      <w:bookmarkStart w:id="499" w:name="_Toc417544292"/>
      <w:bookmarkStart w:id="500" w:name="_Toc417544293"/>
      <w:bookmarkStart w:id="501" w:name="_Toc417544302"/>
      <w:bookmarkStart w:id="502" w:name="_Toc417544305"/>
      <w:bookmarkStart w:id="503" w:name="_Toc417544308"/>
      <w:bookmarkStart w:id="504" w:name="_Toc417544311"/>
      <w:bookmarkStart w:id="505" w:name="_Toc417544313"/>
      <w:bookmarkStart w:id="506" w:name="_Toc416383697"/>
      <w:bookmarkStart w:id="507" w:name="_Toc416447679"/>
      <w:bookmarkStart w:id="508" w:name="_Toc417544314"/>
      <w:bookmarkStart w:id="509" w:name="_Toc417544316"/>
      <w:bookmarkStart w:id="510" w:name="_Toc417544318"/>
      <w:bookmarkStart w:id="511" w:name="_Toc417544320"/>
      <w:bookmarkStart w:id="512" w:name="_Toc417544323"/>
      <w:bookmarkStart w:id="513" w:name="_Toc417544325"/>
      <w:bookmarkStart w:id="514" w:name="_Toc417544327"/>
      <w:bookmarkStart w:id="515" w:name="_Toc417544328"/>
      <w:bookmarkStart w:id="516" w:name="_Toc417544329"/>
      <w:bookmarkStart w:id="517" w:name="_Toc417544331"/>
      <w:bookmarkStart w:id="518" w:name="_Toc417544332"/>
      <w:bookmarkStart w:id="519" w:name="_Toc417544333"/>
      <w:bookmarkStart w:id="520" w:name="_Toc417544335"/>
      <w:bookmarkStart w:id="521" w:name="_Toc417544337"/>
      <w:bookmarkStart w:id="522" w:name="_Toc417544339"/>
      <w:bookmarkStart w:id="523" w:name="_Toc417544342"/>
      <w:bookmarkStart w:id="524" w:name="_Toc417544344"/>
      <w:bookmarkStart w:id="525" w:name="_Toc417544346"/>
      <w:bookmarkStart w:id="526" w:name="_Toc417544348"/>
      <w:bookmarkStart w:id="527" w:name="_Toc417544349"/>
      <w:bookmarkStart w:id="528" w:name="_Toc416447682"/>
      <w:bookmarkStart w:id="529" w:name="_Toc416447689"/>
      <w:bookmarkStart w:id="530" w:name="_Toc417544351"/>
      <w:bookmarkStart w:id="531" w:name="_Toc417544352"/>
      <w:bookmarkStart w:id="532" w:name="_Toc417544354"/>
      <w:bookmarkStart w:id="533" w:name="_Toc417544356"/>
      <w:bookmarkStart w:id="534" w:name="_Toc417544358"/>
      <w:bookmarkStart w:id="535" w:name="_Toc417544360"/>
      <w:bookmarkStart w:id="536" w:name="_Toc417544362"/>
      <w:bookmarkStart w:id="537" w:name="_Toc417544364"/>
      <w:bookmarkStart w:id="538" w:name="_Toc417544366"/>
      <w:bookmarkStart w:id="539" w:name="_Toc416383700"/>
      <w:bookmarkStart w:id="540" w:name="_Toc416447691"/>
      <w:bookmarkStart w:id="541" w:name="_Toc416383701"/>
      <w:bookmarkStart w:id="542" w:name="_Toc416447692"/>
      <w:bookmarkStart w:id="543" w:name="_Toc416383702"/>
      <w:bookmarkStart w:id="544" w:name="_Toc416447693"/>
      <w:bookmarkStart w:id="545" w:name="_Toc416383703"/>
      <w:bookmarkStart w:id="546" w:name="_Toc416447694"/>
      <w:bookmarkStart w:id="547" w:name="_Toc416383704"/>
      <w:bookmarkStart w:id="548" w:name="_Toc416447695"/>
      <w:bookmarkStart w:id="549" w:name="_Toc416383705"/>
      <w:bookmarkStart w:id="550" w:name="_Toc416447696"/>
      <w:bookmarkStart w:id="551" w:name="_Toc416383706"/>
      <w:bookmarkStart w:id="552" w:name="_Toc416447697"/>
      <w:bookmarkStart w:id="553" w:name="_Toc416383707"/>
      <w:bookmarkStart w:id="554" w:name="_Toc416447698"/>
      <w:bookmarkStart w:id="555" w:name="_Toc416383708"/>
      <w:bookmarkStart w:id="556" w:name="_Toc416447699"/>
      <w:bookmarkStart w:id="557" w:name="_Toc416383709"/>
      <w:bookmarkStart w:id="558" w:name="_Toc416447700"/>
      <w:bookmarkStart w:id="559" w:name="_Toc416383710"/>
      <w:bookmarkStart w:id="560" w:name="_Toc416447701"/>
      <w:bookmarkStart w:id="561" w:name="_Toc416383711"/>
      <w:bookmarkStart w:id="562" w:name="_Toc416447702"/>
      <w:bookmarkStart w:id="563" w:name="_Toc416383712"/>
      <w:bookmarkStart w:id="564" w:name="_Toc416447703"/>
      <w:bookmarkStart w:id="565" w:name="_Toc416383713"/>
      <w:bookmarkStart w:id="566" w:name="_Toc416447704"/>
      <w:bookmarkStart w:id="567" w:name="_Toc416383714"/>
      <w:bookmarkStart w:id="568" w:name="_Toc416447705"/>
      <w:bookmarkStart w:id="569" w:name="_Toc416383715"/>
      <w:bookmarkStart w:id="570" w:name="_Toc416447706"/>
      <w:bookmarkStart w:id="571" w:name="_Toc416383716"/>
      <w:bookmarkStart w:id="572" w:name="_Toc416447707"/>
      <w:bookmarkStart w:id="573" w:name="_Toc417544368"/>
      <w:bookmarkStart w:id="574" w:name="_Toc417544369"/>
      <w:bookmarkStart w:id="575" w:name="_Toc417544370"/>
      <w:bookmarkStart w:id="576" w:name="_Toc417544372"/>
      <w:bookmarkStart w:id="577" w:name="_Toc417544374"/>
      <w:bookmarkStart w:id="578" w:name="_Toc417544376"/>
      <w:bookmarkStart w:id="579" w:name="_Toc417544378"/>
      <w:bookmarkStart w:id="580" w:name="_Toc417544381"/>
      <w:bookmarkStart w:id="581" w:name="_Toc417544383"/>
      <w:bookmarkStart w:id="582" w:name="_Toc417544385"/>
      <w:bookmarkStart w:id="583" w:name="_Toc417544390"/>
      <w:bookmarkStart w:id="584" w:name="_Toc417544400"/>
      <w:bookmarkStart w:id="585" w:name="_Toc417544405"/>
      <w:bookmarkStart w:id="586" w:name="_Toc417544410"/>
      <w:bookmarkStart w:id="587" w:name="_Toc417544415"/>
      <w:bookmarkStart w:id="588" w:name="_Toc417544420"/>
      <w:bookmarkStart w:id="589" w:name="_Toc417544425"/>
      <w:bookmarkStart w:id="590" w:name="_Toc417544430"/>
      <w:bookmarkStart w:id="591" w:name="_Toc417544435"/>
      <w:bookmarkStart w:id="592" w:name="_Toc417544440"/>
      <w:bookmarkStart w:id="593" w:name="_Toc417544445"/>
      <w:bookmarkStart w:id="594" w:name="_Toc417544450"/>
      <w:bookmarkStart w:id="595" w:name="_Toc417544455"/>
      <w:bookmarkStart w:id="596" w:name="_Toc417544465"/>
      <w:bookmarkStart w:id="597" w:name="_Toc417544470"/>
      <w:bookmarkStart w:id="598" w:name="_Toc417544475"/>
      <w:bookmarkStart w:id="599" w:name="_Toc417544480"/>
      <w:bookmarkStart w:id="600" w:name="_Toc417544485"/>
      <w:bookmarkStart w:id="601" w:name="_Toc417544490"/>
      <w:bookmarkStart w:id="602" w:name="_Toc417544495"/>
      <w:bookmarkStart w:id="603" w:name="_Toc417544500"/>
      <w:bookmarkStart w:id="604" w:name="_Toc417544505"/>
      <w:bookmarkStart w:id="605" w:name="_Toc417544506"/>
      <w:bookmarkStart w:id="606" w:name="_Toc417544507"/>
      <w:bookmarkStart w:id="607" w:name="_Toc417544508"/>
      <w:bookmarkStart w:id="608" w:name="_Toc417544509"/>
      <w:bookmarkStart w:id="609" w:name="_Toc417544510"/>
      <w:bookmarkStart w:id="610" w:name="_Toc417544511"/>
      <w:bookmarkStart w:id="611" w:name="_Toc417544512"/>
      <w:bookmarkStart w:id="612" w:name="_Toc417544513"/>
      <w:bookmarkStart w:id="613" w:name="_Toc417544514"/>
      <w:bookmarkStart w:id="614" w:name="_Toc417544515"/>
      <w:bookmarkStart w:id="615" w:name="_Toc417544516"/>
      <w:bookmarkStart w:id="616" w:name="_Toc417544517"/>
      <w:bookmarkStart w:id="617" w:name="_Toc417544518"/>
      <w:bookmarkStart w:id="618" w:name="_Toc417544519"/>
      <w:bookmarkStart w:id="619" w:name="_Toc417544520"/>
      <w:bookmarkStart w:id="620" w:name="_Toc417544521"/>
      <w:bookmarkStart w:id="621" w:name="_Toc417544522"/>
      <w:bookmarkStart w:id="622" w:name="_Toc417544523"/>
      <w:bookmarkStart w:id="623" w:name="_Toc417544524"/>
      <w:bookmarkStart w:id="624" w:name="_Toc417544525"/>
      <w:bookmarkStart w:id="625" w:name="_Toc417544526"/>
      <w:bookmarkStart w:id="626" w:name="_Toc417544527"/>
      <w:bookmarkStart w:id="627" w:name="_Toc417544528"/>
      <w:bookmarkStart w:id="628" w:name="_Toc417544529"/>
      <w:bookmarkStart w:id="629" w:name="_Toc417544531"/>
      <w:bookmarkStart w:id="630" w:name="_Toc417544568"/>
      <w:bookmarkStart w:id="631" w:name="_Toc417544570"/>
      <w:bookmarkStart w:id="632" w:name="_Toc417544572"/>
      <w:bookmarkStart w:id="633" w:name="_Toc417544573"/>
      <w:bookmarkStart w:id="634" w:name="_Toc417544575"/>
      <w:bookmarkStart w:id="635" w:name="_Toc417544576"/>
      <w:bookmarkStart w:id="636" w:name="_Toc417544578"/>
      <w:bookmarkStart w:id="637" w:name="_Toc417544579"/>
      <w:bookmarkStart w:id="638" w:name="_Toc417544580"/>
      <w:bookmarkStart w:id="639" w:name="_Toc417544581"/>
      <w:bookmarkStart w:id="640" w:name="_Toc417544583"/>
      <w:bookmarkStart w:id="641" w:name="_Toc417544584"/>
      <w:bookmarkStart w:id="642" w:name="_Toc417544585"/>
      <w:bookmarkStart w:id="643" w:name="_Toc417544586"/>
      <w:bookmarkStart w:id="644" w:name="_Toc417544588"/>
      <w:bookmarkStart w:id="645" w:name="_Toc417544589"/>
      <w:bookmarkStart w:id="646" w:name="_Toc417544590"/>
      <w:bookmarkStart w:id="647" w:name="_Toc417544591"/>
      <w:bookmarkStart w:id="648" w:name="_Toc417544592"/>
      <w:bookmarkStart w:id="649" w:name="_Toc417544595"/>
      <w:bookmarkStart w:id="650" w:name="_Toc417544596"/>
      <w:bookmarkStart w:id="651" w:name="_Toc417544598"/>
      <w:bookmarkStart w:id="652" w:name="_Toc417544599"/>
      <w:bookmarkStart w:id="653" w:name="_Toc417544601"/>
      <w:bookmarkStart w:id="654" w:name="_Toc417544602"/>
      <w:bookmarkStart w:id="655" w:name="_Toc417544603"/>
      <w:bookmarkStart w:id="656" w:name="_Toc417544605"/>
      <w:bookmarkStart w:id="657" w:name="_Toc417544607"/>
      <w:bookmarkStart w:id="658" w:name="_Toc417544608"/>
      <w:bookmarkStart w:id="659" w:name="_Toc416383720"/>
      <w:bookmarkStart w:id="660" w:name="_Toc416447710"/>
      <w:bookmarkStart w:id="661" w:name="_Toc416383721"/>
      <w:bookmarkStart w:id="662" w:name="_Toc416447711"/>
      <w:bookmarkStart w:id="663" w:name="_Toc416383722"/>
      <w:bookmarkStart w:id="664" w:name="_Toc416447712"/>
      <w:bookmarkStart w:id="665" w:name="_Toc416383723"/>
      <w:bookmarkStart w:id="666" w:name="_Toc416447713"/>
      <w:bookmarkStart w:id="667" w:name="_Toc416383724"/>
      <w:bookmarkStart w:id="668" w:name="_Toc416447714"/>
      <w:bookmarkStart w:id="669" w:name="_Toc416800434"/>
      <w:bookmarkStart w:id="670" w:name="_Toc42153428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2C224A">
        <w:rPr>
          <w:rFonts w:ascii="Calibri" w:hAnsi="Calibri"/>
        </w:rPr>
        <w:t>Specifický cíl 2.1 – Zvýšit konkurenceschopnost začínajících a rozvojových MSP</w:t>
      </w:r>
      <w:bookmarkEnd w:id="669"/>
      <w:bookmarkEnd w:id="670"/>
    </w:p>
    <w:p w:rsidR="006D67F1" w:rsidRPr="002C224A" w:rsidRDefault="006D67F1" w:rsidP="002413B6">
      <w:pPr>
        <w:pStyle w:val="Nadpis3"/>
        <w:rPr>
          <w:rFonts w:ascii="Calibri" w:hAnsi="Calibri"/>
        </w:rPr>
      </w:pPr>
      <w:bookmarkStart w:id="671" w:name="_Toc416800435"/>
      <w:bookmarkStart w:id="672" w:name="_Toc421534286"/>
      <w:r w:rsidRPr="002C224A">
        <w:rPr>
          <w:rFonts w:ascii="Calibri" w:hAnsi="Calibri"/>
        </w:rPr>
        <w:t>Zaměření specifického cíle</w:t>
      </w:r>
      <w:bookmarkEnd w:id="671"/>
      <w:bookmarkEnd w:id="672"/>
    </w:p>
    <w:p w:rsidR="006D67F1" w:rsidRPr="00A50943" w:rsidRDefault="006D67F1" w:rsidP="00F74B06">
      <w:pPr>
        <w:pStyle w:val="Neslovannadpisy"/>
      </w:pPr>
      <w:r w:rsidRPr="00A50943">
        <w:t>Podporované aktivity:</w:t>
      </w:r>
    </w:p>
    <w:p w:rsidR="006D67F1" w:rsidRPr="002C224A" w:rsidRDefault="006D67F1" w:rsidP="002433DA">
      <w:pPr>
        <w:pStyle w:val="Odstavecseseznamem1"/>
        <w:numPr>
          <w:ilvl w:val="0"/>
          <w:numId w:val="7"/>
        </w:numPr>
      </w:pPr>
      <w:r w:rsidRPr="002C224A">
        <w:t>Realizace podnikatelských záměrů začínajících podniků (do 3 let) a rozvojových podniků prostřednictvím vhodných finančních nástrojů a dotací MSP zejména pro mikropodniky</w:t>
      </w:r>
    </w:p>
    <w:p w:rsidR="006D67F1" w:rsidRPr="002C224A" w:rsidRDefault="006D67F1" w:rsidP="002433DA">
      <w:pPr>
        <w:pStyle w:val="Odstavecseseznamem1"/>
        <w:numPr>
          <w:ilvl w:val="0"/>
          <w:numId w:val="7"/>
        </w:numPr>
      </w:pPr>
      <w:r w:rsidRPr="002C224A">
        <w:t>Poskytování poradenských služeb a služeb pro začínající podniky na celém území ČR s výjimkou území hl. města Prahy (např. prostřednictvím podnikatelských inkubátorů)</w:t>
      </w:r>
    </w:p>
    <w:p w:rsidR="006D67F1" w:rsidRPr="002C224A" w:rsidRDefault="006D67F1" w:rsidP="0059147B"/>
    <w:p w:rsidR="006D67F1" w:rsidRPr="002C224A" w:rsidRDefault="006D67F1" w:rsidP="001E77F4">
      <w:pPr>
        <w:pStyle w:val="Neslovannadpisy"/>
      </w:pPr>
      <w:r w:rsidRPr="002C224A">
        <w:t>Cílová skupina konečných příjemců:</w:t>
      </w:r>
    </w:p>
    <w:p w:rsidR="006D67F1" w:rsidRPr="002C224A" w:rsidRDefault="006D67F1" w:rsidP="001E77F4">
      <w:r w:rsidRPr="002C224A">
        <w:t>Podnikatelské subjekty (malé a střední podniky) ve výrobě a službách, provozovatelé inovační infrastruktury jako jsou podnikatelské inkubátory, vědeckotechnické parky a inovační centra (pouze pro aktivity poskytování poradenských služeb a služeb pro začínající podniky); v rámci tohoto specifického cíle budou příjemci podpory nezemědělští podnikatelé s výstupem projektu mimo položky obsažené v dodatku Smlouvy (o EU), zároveň budou podporovány projekty zemědělských podnikatelů zaměřené na podnikatelské poradenství (nikoliv poradenství do zemědělské činnosti).</w:t>
      </w:r>
    </w:p>
    <w:p w:rsidR="006D67F1" w:rsidRPr="002C224A" w:rsidRDefault="006D67F1" w:rsidP="001E77F4"/>
    <w:p w:rsidR="006D67F1" w:rsidRPr="002C224A" w:rsidRDefault="006D67F1" w:rsidP="001E77F4">
      <w:pPr>
        <w:pStyle w:val="Neslovannadpisy"/>
      </w:pPr>
      <w:r w:rsidRPr="002C224A">
        <w:t>Cílové území:</w:t>
      </w:r>
    </w:p>
    <w:p w:rsidR="006D67F1" w:rsidRPr="002C224A" w:rsidRDefault="006D67F1" w:rsidP="001E77F4">
      <w:r w:rsidRPr="002C224A">
        <w:t>Území České republiky, mimo území hl. města Prahy.</w:t>
      </w:r>
    </w:p>
    <w:p w:rsidR="006D67F1" w:rsidRPr="002C224A" w:rsidRDefault="006D67F1" w:rsidP="001E77F4"/>
    <w:p w:rsidR="006D67F1" w:rsidRPr="002C224A" w:rsidRDefault="006D67F1" w:rsidP="004F6974">
      <w:pPr>
        <w:pStyle w:val="Neslovannadpisy"/>
      </w:pPr>
      <w:r w:rsidRPr="002C224A">
        <w:t>Výběr aktivit k posouzení vhodnosti finančního nástroje</w:t>
      </w:r>
    </w:p>
    <w:p w:rsidR="006D67F1" w:rsidRPr="002C224A" w:rsidRDefault="006D67F1" w:rsidP="001E77F4">
      <w:r w:rsidRPr="002C224A">
        <w:t>Cíl SC 2.1 realizace podnikatelských záměrů a rozvoje podniků je ze své definice široce vhodným pro uplatnění finančních nástrojů. Výjimkou je oblast poradenských služeb a služeb pro začínající podniky, což jsou aktivity neinvestičního charakteru, které však mohou synergicky napomoci efektivnější realizaci projektů podpořených finančními nástroji.</w:t>
      </w:r>
    </w:p>
    <w:p w:rsidR="006D67F1" w:rsidRPr="002C224A" w:rsidRDefault="006D67F1" w:rsidP="001E77F4"/>
    <w:p w:rsidR="006D67F1" w:rsidRPr="002C224A" w:rsidRDefault="006D67F1" w:rsidP="002433DA">
      <w:pPr>
        <w:pStyle w:val="Nadpis3"/>
        <w:rPr>
          <w:rFonts w:ascii="Calibri" w:hAnsi="Calibri"/>
        </w:rPr>
      </w:pPr>
      <w:bookmarkStart w:id="673" w:name="_Toc417544611"/>
      <w:bookmarkStart w:id="674" w:name="_Toc416800436"/>
      <w:bookmarkStart w:id="675" w:name="_Toc421534287"/>
      <w:bookmarkEnd w:id="673"/>
      <w:r w:rsidRPr="002C224A">
        <w:rPr>
          <w:rFonts w:ascii="Calibri" w:hAnsi="Calibri"/>
        </w:rPr>
        <w:t>Analýza selhání trhu</w:t>
      </w:r>
      <w:bookmarkStart w:id="676" w:name="RANGE!F22"/>
      <w:bookmarkStart w:id="677" w:name="RANGE!G22"/>
      <w:bookmarkStart w:id="678" w:name="RANGE!H22"/>
      <w:bookmarkStart w:id="679" w:name="RANGE!I22"/>
      <w:bookmarkStart w:id="680" w:name="RANGE!J22"/>
      <w:bookmarkStart w:id="681" w:name="RANGE!K22"/>
      <w:bookmarkStart w:id="682" w:name="RANGE!L22"/>
      <w:bookmarkStart w:id="683" w:name="RANGE!M22"/>
      <w:bookmarkStart w:id="684" w:name="RANGE!N22"/>
      <w:bookmarkStart w:id="685" w:name="RANGE!F23"/>
      <w:bookmarkStart w:id="686" w:name="RANGE!H23"/>
      <w:bookmarkStart w:id="687" w:name="RANGE!I23"/>
      <w:bookmarkStart w:id="688" w:name="RANGE!J23"/>
      <w:bookmarkStart w:id="689" w:name="RANGE!K23"/>
      <w:bookmarkStart w:id="690" w:name="RANGE!L23"/>
      <w:bookmarkStart w:id="691" w:name="RANGE!M23"/>
      <w:bookmarkStart w:id="692" w:name="RANGE!N23"/>
      <w:bookmarkStart w:id="693" w:name="RANGE!F24"/>
      <w:bookmarkStart w:id="694" w:name="RANGE!H24"/>
      <w:bookmarkStart w:id="695" w:name="RANGE!I24"/>
      <w:bookmarkStart w:id="696" w:name="RANGE!J24"/>
      <w:bookmarkStart w:id="697" w:name="RANGE!K24"/>
      <w:bookmarkStart w:id="698" w:name="RANGE!L24"/>
      <w:bookmarkStart w:id="699" w:name="RANGE!M24"/>
      <w:bookmarkStart w:id="700" w:name="RANGE!N24"/>
      <w:bookmarkStart w:id="701" w:name="RANGE!F25"/>
      <w:bookmarkStart w:id="702" w:name="RANGE!H25"/>
      <w:bookmarkStart w:id="703" w:name="RANGE!I25"/>
      <w:bookmarkStart w:id="704" w:name="RANGE!J25"/>
      <w:bookmarkStart w:id="705" w:name="RANGE!K25"/>
      <w:bookmarkStart w:id="706" w:name="RANGE!L25"/>
      <w:bookmarkStart w:id="707" w:name="RANGE!M25"/>
      <w:bookmarkStart w:id="708" w:name="RANGE!N25"/>
      <w:bookmarkStart w:id="709" w:name="RANGE!F26"/>
      <w:bookmarkStart w:id="710" w:name="RANGE!G26"/>
      <w:bookmarkStart w:id="711" w:name="RANGE!H26"/>
      <w:bookmarkStart w:id="712" w:name="RANGE!I26"/>
      <w:bookmarkStart w:id="713" w:name="RANGE!J26"/>
      <w:bookmarkStart w:id="714" w:name="RANGE!K26"/>
      <w:bookmarkStart w:id="715" w:name="RANGE!L26"/>
      <w:bookmarkStart w:id="716" w:name="RANGE!M26"/>
      <w:bookmarkStart w:id="717" w:name="RANGE!N26"/>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6D67F1" w:rsidRPr="002C224A" w:rsidRDefault="006D67F1" w:rsidP="00875E68">
      <w:pPr>
        <w:pStyle w:val="Nadpis4"/>
        <w:rPr>
          <w:rFonts w:ascii="Calibri" w:hAnsi="Calibri"/>
        </w:rPr>
      </w:pPr>
      <w:r w:rsidRPr="002C224A">
        <w:rPr>
          <w:rFonts w:ascii="Calibri" w:hAnsi="Calibri"/>
        </w:rPr>
        <w:t>Tržní analýza</w:t>
      </w:r>
    </w:p>
    <w:p w:rsidR="006D67F1" w:rsidRPr="00A50943" w:rsidRDefault="006D67F1" w:rsidP="000C77DB"/>
    <w:p w:rsidR="006D67F1" w:rsidRPr="002C224A" w:rsidRDefault="006D67F1" w:rsidP="000C77DB">
      <w:r w:rsidRPr="002C224A">
        <w:t xml:space="preserve">Počet malých a středních podnikatelů se v ČR dlouhodobě pohybuje kolem </w:t>
      </w:r>
      <w:smartTag w:uri="urn:schemas-microsoft-com:office:smarttags" w:element="metricconverter">
        <w:smartTagPr>
          <w:attr w:name="ProductID" w:val="1 mil"/>
        </w:smartTagPr>
        <w:r w:rsidRPr="002C224A">
          <w:t>1 mil</w:t>
        </w:r>
      </w:smartTag>
      <w:r w:rsidRPr="002C224A">
        <w:t xml:space="preserve">. </w:t>
      </w:r>
      <w:r w:rsidRPr="002C224A">
        <w:rPr>
          <w:b/>
        </w:rPr>
        <w:t>Jejich investiční aktivita dosáhla v roce 2013 hodnoty 321 mld. Kč</w:t>
      </w:r>
      <w:r w:rsidRPr="002C224A">
        <w:t xml:space="preserve"> a výrazně meziročně poklesla již ve druhém roce v řadě. S těmito výsledky korespondují i data OECD k podnikatelským úvěrům MSP. </w:t>
      </w:r>
      <w:r w:rsidRPr="002C224A">
        <w:rPr>
          <w:b/>
        </w:rPr>
        <w:t>V roce 2013 poklesly úvěry českým MSP ze 129 mld. Kč na 87 mld. Kč.</w:t>
      </w:r>
      <w:r w:rsidRPr="002C224A">
        <w:t xml:space="preserve"> Tyto propady jsou úzce provázány s recesí v ČR v roce 2013. Od roku 2014 vykazuje ČR nízký růst a pomalou obnovu hospodářské aktivity, je zde tedy předpoklad postupného růstu objemu na straně investic i úvěrů MSP. Negativní dopady hospodářských otřesů po roce 2007 jsou nicméně z vývoje podnikatelských úvěrů jasně patrné.</w:t>
      </w:r>
    </w:p>
    <w:p w:rsidR="006D67F1" w:rsidRPr="002C224A" w:rsidRDefault="007A3F34" w:rsidP="006F771D">
      <w:pPr>
        <w:pStyle w:val="Titulek"/>
        <w:keepNext/>
        <w:jc w:val="left"/>
      </w:pPr>
      <w:r w:rsidRPr="002C224A">
        <w:rPr>
          <w:noProof/>
          <w:lang w:eastAsia="cs-CZ"/>
        </w:rPr>
        <w:lastRenderedPageBreak/>
        <w:drawing>
          <wp:inline distT="0" distB="0" distL="0" distR="0" wp14:anchorId="300E2CCD" wp14:editId="2AD986BF">
            <wp:extent cx="5133975" cy="3267075"/>
            <wp:effectExtent l="0" t="0" r="0" b="0"/>
            <wp:docPr id="14" name="obj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67F1" w:rsidRPr="002C224A" w:rsidRDefault="00293517" w:rsidP="009C2B56">
      <w:pPr>
        <w:pStyle w:val="Titulek"/>
      </w:pPr>
      <w:r>
        <w:t>Obrázek</w:t>
      </w:r>
      <w:r w:rsidRPr="002C224A">
        <w:t xml:space="preserve"> </w:t>
      </w:r>
      <w:r>
        <w:t>11</w:t>
      </w:r>
      <w:r w:rsidR="006D67F1" w:rsidRPr="002C224A">
        <w:t>: Vývoj investic MSP 2009-2013</w:t>
      </w:r>
    </w:p>
    <w:p w:rsidR="006D67F1" w:rsidRPr="002C224A" w:rsidRDefault="006D67F1" w:rsidP="009C2B56">
      <w:pPr>
        <w:pStyle w:val="Titulek"/>
      </w:pPr>
      <w:r w:rsidRPr="002C224A">
        <w:t>Zdroj: Zpráva o vývoji MSP 2013, MPO</w:t>
      </w:r>
    </w:p>
    <w:p w:rsidR="006D67F1" w:rsidRPr="002C224A" w:rsidRDefault="006D67F1" w:rsidP="006F771D">
      <w:pPr>
        <w:pStyle w:val="Titulek"/>
        <w:keepNext/>
      </w:pPr>
    </w:p>
    <w:p w:rsidR="006D67F1" w:rsidRPr="002C224A" w:rsidRDefault="007A3F34" w:rsidP="006F771D">
      <w:pPr>
        <w:pStyle w:val="Titulek"/>
        <w:keepNext/>
      </w:pPr>
      <w:r w:rsidRPr="002C224A">
        <w:rPr>
          <w:noProof/>
          <w:lang w:eastAsia="cs-CZ"/>
        </w:rPr>
        <w:drawing>
          <wp:inline distT="0" distB="0" distL="0" distR="0" wp14:anchorId="761311CB" wp14:editId="549E92BA">
            <wp:extent cx="5219700" cy="3124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124200"/>
                    </a:xfrm>
                    <a:prstGeom prst="rect">
                      <a:avLst/>
                    </a:prstGeom>
                    <a:noFill/>
                    <a:ln>
                      <a:noFill/>
                    </a:ln>
                  </pic:spPr>
                </pic:pic>
              </a:graphicData>
            </a:graphic>
          </wp:inline>
        </w:drawing>
      </w:r>
    </w:p>
    <w:p w:rsidR="006D67F1" w:rsidRPr="002C224A" w:rsidRDefault="00293517" w:rsidP="006F771D">
      <w:pPr>
        <w:pStyle w:val="Titulek"/>
        <w:keepNext/>
      </w:pPr>
      <w:r>
        <w:t>Obrázek</w:t>
      </w:r>
      <w:r w:rsidRPr="002C224A">
        <w:t xml:space="preserve"> </w:t>
      </w:r>
      <w:r>
        <w:t>12</w:t>
      </w:r>
      <w:r w:rsidR="006D67F1" w:rsidRPr="002C224A">
        <w:t>: Vývoj úvěrů MSP v ČR 2007-</w:t>
      </w:r>
      <w:smartTag w:uri="urn:schemas-microsoft-com:office:smarttags" w:element="metricconverter">
        <w:smartTagPr>
          <w:attr w:name="ProductID" w:val="2014, mil"/>
        </w:smartTagPr>
        <w:r w:rsidR="006D67F1" w:rsidRPr="002C224A">
          <w:t>2014, mil</w:t>
        </w:r>
      </w:smartTag>
      <w:r w:rsidR="006D67F1" w:rsidRPr="002C224A">
        <w:t>. CZK</w:t>
      </w:r>
      <w:r w:rsidR="006D67F1" w:rsidRPr="002C224A">
        <w:rPr>
          <w:rStyle w:val="Znakapoznpodarou"/>
          <w:rFonts w:ascii="Calibri" w:hAnsi="Calibri"/>
        </w:rPr>
        <w:footnoteReference w:id="25"/>
      </w:r>
    </w:p>
    <w:p w:rsidR="006D67F1" w:rsidRPr="002C224A" w:rsidRDefault="006D67F1" w:rsidP="006F771D">
      <w:pPr>
        <w:pStyle w:val="Titulek"/>
        <w:keepNext/>
      </w:pPr>
      <w:r w:rsidRPr="002C224A">
        <w:t>Zdroj: ČNB, OECD</w:t>
      </w:r>
    </w:p>
    <w:p w:rsidR="006D67F1" w:rsidRPr="00A50943" w:rsidRDefault="006D67F1" w:rsidP="000C77DB"/>
    <w:p w:rsidR="006D67F1" w:rsidRPr="002C224A" w:rsidRDefault="006D67F1" w:rsidP="00113153">
      <w:r w:rsidRPr="002C224A">
        <w:rPr>
          <w:b/>
        </w:rPr>
        <w:t xml:space="preserve">Nabídku zdrojů a dostupnost financování ovlivnila též veřejná podpora formou programů realizovaných Českomoravskou záruční a rozvojovou bankou (ČMZRB). </w:t>
      </w:r>
      <w:r w:rsidRPr="002C224A">
        <w:t>V rámci OP PI byly v programech Start, Záruka a Progres v období 2007-2013 poskytnuty zvýhodněné úvěry ve výši 3,9 mld. Kč a záruky ve výši 11,5 mld. Kč, které na sebe navázaly další soukromé zdroje. V národním programu záruka bylo dle aktuálních dat ČMZRB v letech 2009-2014 poskytnuto 15,8 mld. Kč záruk.</w:t>
      </w:r>
      <w:r w:rsidR="002266A6" w:rsidRPr="002C224A">
        <w:t xml:space="preserve"> </w:t>
      </w:r>
    </w:p>
    <w:p w:rsidR="00FB0134" w:rsidRPr="002C224A" w:rsidRDefault="00FB0134" w:rsidP="00113153"/>
    <w:tbl>
      <w:tblPr>
        <w:tblW w:w="9591" w:type="dxa"/>
        <w:tblInd w:w="93" w:type="dxa"/>
        <w:tblLayout w:type="fixed"/>
        <w:tblLook w:val="00A0" w:firstRow="1" w:lastRow="0" w:firstColumn="1" w:lastColumn="0" w:noHBand="0" w:noVBand="0"/>
      </w:tblPr>
      <w:tblGrid>
        <w:gridCol w:w="2564"/>
        <w:gridCol w:w="995"/>
        <w:gridCol w:w="861"/>
        <w:gridCol w:w="862"/>
        <w:gridCol w:w="862"/>
        <w:gridCol w:w="861"/>
        <w:gridCol w:w="862"/>
        <w:gridCol w:w="862"/>
        <w:gridCol w:w="862"/>
      </w:tblGrid>
      <w:tr w:rsidR="006D67F1" w:rsidRPr="002C224A" w:rsidTr="00B813BC">
        <w:trPr>
          <w:trHeight w:val="270"/>
        </w:trPr>
        <w:tc>
          <w:tcPr>
            <w:tcW w:w="2564" w:type="dxa"/>
            <w:tcBorders>
              <w:top w:val="single" w:sz="8" w:space="0" w:color="auto"/>
              <w:left w:val="nil"/>
              <w:bottom w:val="single" w:sz="8" w:space="0" w:color="auto"/>
              <w:right w:val="nil"/>
            </w:tcBorders>
            <w:shd w:val="clear" w:color="000000" w:fill="95B3D7"/>
            <w:noWrap/>
            <w:vAlign w:val="center"/>
          </w:tcPr>
          <w:p w:rsidR="006D67F1" w:rsidRPr="002C224A" w:rsidRDefault="006D67F1" w:rsidP="00B813BC">
            <w:pPr>
              <w:rPr>
                <w:rFonts w:cs="Arial"/>
                <w:b/>
                <w:bCs/>
                <w:color w:val="000000"/>
                <w:sz w:val="16"/>
                <w:szCs w:val="16"/>
                <w:lang w:eastAsia="en-GB"/>
              </w:rPr>
            </w:pPr>
            <w:r w:rsidRPr="002C224A">
              <w:rPr>
                <w:rFonts w:cs="Arial"/>
                <w:b/>
                <w:bCs/>
                <w:color w:val="000000"/>
                <w:sz w:val="16"/>
                <w:szCs w:val="16"/>
                <w:lang w:eastAsia="en-GB"/>
              </w:rPr>
              <w:lastRenderedPageBreak/>
              <w:t>Indikátory</w:t>
            </w:r>
          </w:p>
        </w:tc>
        <w:tc>
          <w:tcPr>
            <w:tcW w:w="995" w:type="dxa"/>
            <w:tcBorders>
              <w:top w:val="single" w:sz="8" w:space="0" w:color="auto"/>
              <w:left w:val="nil"/>
              <w:bottom w:val="single" w:sz="8" w:space="0" w:color="auto"/>
              <w:right w:val="nil"/>
            </w:tcBorders>
            <w:shd w:val="clear" w:color="000000" w:fill="95B3D7"/>
            <w:noWrap/>
            <w:vAlign w:val="center"/>
          </w:tcPr>
          <w:p w:rsidR="006D67F1" w:rsidRPr="002C224A" w:rsidRDefault="006D67F1" w:rsidP="00B813BC">
            <w:pPr>
              <w:rPr>
                <w:rFonts w:cs="Arial"/>
                <w:b/>
                <w:bCs/>
                <w:color w:val="000000"/>
                <w:sz w:val="16"/>
                <w:szCs w:val="16"/>
                <w:lang w:eastAsia="en-GB"/>
              </w:rPr>
            </w:pPr>
            <w:r w:rsidRPr="002C224A">
              <w:rPr>
                <w:rFonts w:cs="Arial"/>
                <w:b/>
                <w:bCs/>
                <w:color w:val="000000"/>
                <w:sz w:val="16"/>
                <w:szCs w:val="16"/>
                <w:lang w:eastAsia="en-GB"/>
              </w:rPr>
              <w:t>Jednotky</w:t>
            </w:r>
          </w:p>
        </w:tc>
        <w:tc>
          <w:tcPr>
            <w:tcW w:w="861" w:type="dxa"/>
            <w:tcBorders>
              <w:top w:val="single" w:sz="8" w:space="0" w:color="auto"/>
              <w:left w:val="nil"/>
              <w:bottom w:val="single" w:sz="8" w:space="0" w:color="auto"/>
              <w:right w:val="nil"/>
            </w:tcBorders>
            <w:shd w:val="clear" w:color="000000" w:fill="95B3D7"/>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2007</w:t>
            </w:r>
          </w:p>
        </w:tc>
        <w:tc>
          <w:tcPr>
            <w:tcW w:w="862" w:type="dxa"/>
            <w:tcBorders>
              <w:top w:val="single" w:sz="8" w:space="0" w:color="auto"/>
              <w:left w:val="nil"/>
              <w:bottom w:val="single" w:sz="8" w:space="0" w:color="auto"/>
              <w:right w:val="nil"/>
            </w:tcBorders>
            <w:shd w:val="clear" w:color="000000" w:fill="95B3D7"/>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2008</w:t>
            </w:r>
          </w:p>
        </w:tc>
        <w:tc>
          <w:tcPr>
            <w:tcW w:w="862" w:type="dxa"/>
            <w:tcBorders>
              <w:top w:val="single" w:sz="8" w:space="0" w:color="auto"/>
              <w:left w:val="nil"/>
              <w:bottom w:val="single" w:sz="8" w:space="0" w:color="auto"/>
              <w:right w:val="nil"/>
            </w:tcBorders>
            <w:shd w:val="clear" w:color="000000" w:fill="95B3D7"/>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2009</w:t>
            </w:r>
          </w:p>
        </w:tc>
        <w:tc>
          <w:tcPr>
            <w:tcW w:w="861" w:type="dxa"/>
            <w:tcBorders>
              <w:top w:val="single" w:sz="8" w:space="0" w:color="auto"/>
              <w:left w:val="nil"/>
              <w:bottom w:val="single" w:sz="8" w:space="0" w:color="auto"/>
              <w:right w:val="nil"/>
            </w:tcBorders>
            <w:shd w:val="clear" w:color="000000" w:fill="95B3D7"/>
            <w:noWrap/>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2010</w:t>
            </w:r>
          </w:p>
        </w:tc>
        <w:tc>
          <w:tcPr>
            <w:tcW w:w="862" w:type="dxa"/>
            <w:tcBorders>
              <w:top w:val="single" w:sz="8" w:space="0" w:color="auto"/>
              <w:left w:val="nil"/>
              <w:bottom w:val="single" w:sz="8" w:space="0" w:color="auto"/>
              <w:right w:val="nil"/>
            </w:tcBorders>
            <w:shd w:val="clear" w:color="000000" w:fill="95B3D7"/>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2011</w:t>
            </w:r>
          </w:p>
        </w:tc>
        <w:tc>
          <w:tcPr>
            <w:tcW w:w="862" w:type="dxa"/>
            <w:tcBorders>
              <w:top w:val="single" w:sz="8" w:space="0" w:color="auto"/>
              <w:left w:val="nil"/>
              <w:bottom w:val="single" w:sz="8" w:space="0" w:color="auto"/>
              <w:right w:val="nil"/>
            </w:tcBorders>
            <w:shd w:val="clear" w:color="000000" w:fill="95B3D7"/>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2012</w:t>
            </w:r>
          </w:p>
        </w:tc>
        <w:tc>
          <w:tcPr>
            <w:tcW w:w="862" w:type="dxa"/>
            <w:tcBorders>
              <w:top w:val="single" w:sz="8" w:space="0" w:color="auto"/>
              <w:left w:val="nil"/>
              <w:bottom w:val="single" w:sz="8" w:space="0" w:color="auto"/>
              <w:right w:val="nil"/>
            </w:tcBorders>
            <w:shd w:val="clear" w:color="000000" w:fill="95B3D7"/>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2013</w:t>
            </w:r>
          </w:p>
        </w:tc>
      </w:tr>
      <w:tr w:rsidR="006D67F1" w:rsidRPr="002C224A" w:rsidTr="00B813BC">
        <w:trPr>
          <w:trHeight w:val="270"/>
        </w:trPr>
        <w:tc>
          <w:tcPr>
            <w:tcW w:w="2564" w:type="dxa"/>
            <w:tcBorders>
              <w:top w:val="nil"/>
              <w:left w:val="nil"/>
              <w:bottom w:val="single" w:sz="8" w:space="0" w:color="auto"/>
              <w:right w:val="nil"/>
            </w:tcBorders>
            <w:shd w:val="clear" w:color="000000" w:fill="B8CCE4"/>
            <w:noWrap/>
            <w:vAlign w:val="center"/>
          </w:tcPr>
          <w:p w:rsidR="006D67F1" w:rsidRPr="002C224A" w:rsidRDefault="006D67F1" w:rsidP="00B813BC">
            <w:pPr>
              <w:rPr>
                <w:rFonts w:cs="Arial"/>
                <w:b/>
                <w:bCs/>
                <w:color w:val="000000"/>
                <w:sz w:val="16"/>
                <w:szCs w:val="16"/>
                <w:lang w:eastAsia="en-GB"/>
              </w:rPr>
            </w:pPr>
          </w:p>
        </w:tc>
        <w:tc>
          <w:tcPr>
            <w:tcW w:w="995" w:type="dxa"/>
            <w:tcBorders>
              <w:top w:val="nil"/>
              <w:left w:val="nil"/>
              <w:bottom w:val="single" w:sz="8" w:space="0" w:color="auto"/>
              <w:right w:val="nil"/>
            </w:tcBorders>
            <w:shd w:val="clear" w:color="000000" w:fill="B8CCE4"/>
            <w:noWrap/>
            <w:vAlign w:val="center"/>
          </w:tcPr>
          <w:p w:rsidR="006D67F1" w:rsidRPr="002C224A" w:rsidRDefault="006D67F1" w:rsidP="00B813BC">
            <w:pPr>
              <w:rPr>
                <w:rFonts w:cs="Arial"/>
                <w:b/>
                <w:bCs/>
                <w:color w:val="000000"/>
                <w:sz w:val="16"/>
                <w:szCs w:val="16"/>
                <w:lang w:eastAsia="en-GB"/>
              </w:rPr>
            </w:pPr>
            <w:r w:rsidRPr="002C224A">
              <w:rPr>
                <w:rFonts w:cs="Arial"/>
                <w:b/>
                <w:bCs/>
                <w:color w:val="000000"/>
                <w:sz w:val="16"/>
                <w:szCs w:val="16"/>
                <w:lang w:eastAsia="en-GB"/>
              </w:rPr>
              <w:t> </w:t>
            </w:r>
          </w:p>
        </w:tc>
        <w:tc>
          <w:tcPr>
            <w:tcW w:w="861" w:type="dxa"/>
            <w:tcBorders>
              <w:top w:val="nil"/>
              <w:left w:val="nil"/>
              <w:bottom w:val="single" w:sz="8" w:space="0" w:color="auto"/>
              <w:right w:val="nil"/>
            </w:tcBorders>
            <w:shd w:val="clear" w:color="000000" w:fill="B8CCE4"/>
            <w:noWrap/>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 </w:t>
            </w:r>
          </w:p>
        </w:tc>
        <w:tc>
          <w:tcPr>
            <w:tcW w:w="862" w:type="dxa"/>
            <w:tcBorders>
              <w:top w:val="nil"/>
              <w:left w:val="nil"/>
              <w:bottom w:val="single" w:sz="8" w:space="0" w:color="auto"/>
              <w:right w:val="nil"/>
            </w:tcBorders>
            <w:shd w:val="clear" w:color="000000" w:fill="B8CCE4"/>
            <w:noWrap/>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 </w:t>
            </w:r>
          </w:p>
        </w:tc>
        <w:tc>
          <w:tcPr>
            <w:tcW w:w="862" w:type="dxa"/>
            <w:tcBorders>
              <w:top w:val="nil"/>
              <w:left w:val="nil"/>
              <w:bottom w:val="single" w:sz="8" w:space="0" w:color="auto"/>
              <w:right w:val="nil"/>
            </w:tcBorders>
            <w:shd w:val="clear" w:color="000000" w:fill="B8CCE4"/>
            <w:noWrap/>
            <w:vAlign w:val="center"/>
          </w:tcPr>
          <w:p w:rsidR="006D67F1" w:rsidRPr="002C224A" w:rsidRDefault="006D67F1" w:rsidP="00B813BC">
            <w:pPr>
              <w:jc w:val="center"/>
              <w:rPr>
                <w:rFonts w:cs="Arial"/>
                <w:b/>
                <w:bCs/>
                <w:color w:val="000000"/>
                <w:sz w:val="16"/>
                <w:szCs w:val="16"/>
                <w:lang w:eastAsia="en-GB"/>
              </w:rPr>
            </w:pPr>
            <w:r w:rsidRPr="002C224A">
              <w:rPr>
                <w:rFonts w:cs="Arial"/>
                <w:b/>
                <w:bCs/>
                <w:color w:val="000000"/>
                <w:sz w:val="16"/>
                <w:szCs w:val="16"/>
                <w:lang w:eastAsia="en-GB"/>
              </w:rPr>
              <w:t> </w:t>
            </w:r>
          </w:p>
        </w:tc>
        <w:tc>
          <w:tcPr>
            <w:tcW w:w="861" w:type="dxa"/>
            <w:tcBorders>
              <w:top w:val="nil"/>
              <w:left w:val="nil"/>
              <w:bottom w:val="single" w:sz="8" w:space="0" w:color="auto"/>
              <w:right w:val="nil"/>
            </w:tcBorders>
            <w:shd w:val="clear" w:color="000000" w:fill="B8CCE4"/>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 </w:t>
            </w:r>
          </w:p>
        </w:tc>
      </w:tr>
      <w:tr w:rsidR="006D67F1" w:rsidRPr="002C224A" w:rsidTr="00B813BC">
        <w:trPr>
          <w:trHeight w:val="255"/>
        </w:trPr>
        <w:tc>
          <w:tcPr>
            <w:tcW w:w="2564" w:type="dxa"/>
            <w:tcBorders>
              <w:top w:val="nil"/>
              <w:left w:val="nil"/>
              <w:bottom w:val="nil"/>
              <w:right w:val="nil"/>
            </w:tcBorders>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Nové podnikatelské úvěry, MSP (toky)</w:t>
            </w:r>
          </w:p>
        </w:tc>
        <w:tc>
          <w:tcPr>
            <w:tcW w:w="995" w:type="dxa"/>
            <w:tcBorders>
              <w:top w:val="nil"/>
              <w:left w:val="nil"/>
              <w:bottom w:val="nil"/>
              <w:right w:val="nil"/>
            </w:tcBorders>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CZK mil.</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208,216</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207,237</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147,986</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123,398</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124,117</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129,830</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86,660</w:t>
            </w:r>
          </w:p>
        </w:tc>
      </w:tr>
      <w:tr w:rsidR="006D67F1" w:rsidRPr="002C224A" w:rsidTr="00B813BC">
        <w:trPr>
          <w:trHeight w:val="255"/>
        </w:trPr>
        <w:tc>
          <w:tcPr>
            <w:tcW w:w="2564" w:type="dxa"/>
            <w:tcBorders>
              <w:top w:val="nil"/>
              <w:left w:val="nil"/>
              <w:bottom w:val="nil"/>
              <w:right w:val="nil"/>
            </w:tcBorders>
            <w:shd w:val="clear" w:color="000000" w:fill="DBE5F1"/>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Nové podnikatelské úvěry celkem (toky)</w:t>
            </w:r>
          </w:p>
        </w:tc>
        <w:tc>
          <w:tcPr>
            <w:tcW w:w="995" w:type="dxa"/>
            <w:tcBorders>
              <w:top w:val="nil"/>
              <w:left w:val="nil"/>
              <w:bottom w:val="nil"/>
              <w:right w:val="nil"/>
            </w:tcBorders>
            <w:shd w:val="clear" w:color="000000" w:fill="DBE5F1"/>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CZK mil.</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852,729</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866,109</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780,874</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667,977</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599,089</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694,944</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500,502</w:t>
            </w:r>
          </w:p>
        </w:tc>
      </w:tr>
      <w:tr w:rsidR="006D67F1" w:rsidRPr="002C224A" w:rsidTr="00B813BC">
        <w:trPr>
          <w:trHeight w:val="255"/>
        </w:trPr>
        <w:tc>
          <w:tcPr>
            <w:tcW w:w="2564" w:type="dxa"/>
            <w:tcBorders>
              <w:top w:val="nil"/>
              <w:left w:val="nil"/>
              <w:bottom w:val="nil"/>
              <w:right w:val="nil"/>
            </w:tcBorders>
            <w:noWrap/>
            <w:vAlign w:val="center"/>
          </w:tcPr>
          <w:p w:rsidR="006D67F1" w:rsidRPr="002C224A" w:rsidRDefault="006D67F1" w:rsidP="00B813BC">
            <w:pPr>
              <w:rPr>
                <w:rFonts w:cs="Arial"/>
                <w:color w:val="000000"/>
                <w:sz w:val="16"/>
                <w:szCs w:val="16"/>
                <w:lang w:eastAsia="en-GB"/>
              </w:rPr>
            </w:pPr>
            <w:r w:rsidRPr="002C224A">
              <w:rPr>
                <w:rFonts w:cs="Arial"/>
                <w:color w:val="000000"/>
                <w:sz w:val="16"/>
                <w:szCs w:val="16"/>
                <w:lang w:eastAsia="en-GB"/>
              </w:rPr>
              <w:t>Podíl MSP</w:t>
            </w:r>
          </w:p>
        </w:tc>
        <w:tc>
          <w:tcPr>
            <w:tcW w:w="995" w:type="dxa"/>
            <w:tcBorders>
              <w:top w:val="nil"/>
              <w:left w:val="nil"/>
              <w:bottom w:val="nil"/>
              <w:right w:val="nil"/>
            </w:tcBorders>
            <w:noWrap/>
            <w:vAlign w:val="center"/>
          </w:tcPr>
          <w:p w:rsidR="006D67F1" w:rsidRPr="002C224A" w:rsidRDefault="006D67F1" w:rsidP="00B813BC">
            <w:pPr>
              <w:rPr>
                <w:rFonts w:cs="Arial"/>
                <w:color w:val="000000"/>
                <w:sz w:val="16"/>
                <w:szCs w:val="16"/>
                <w:lang w:eastAsia="en-GB"/>
              </w:rPr>
            </w:pPr>
            <w:r w:rsidRPr="002C224A">
              <w:rPr>
                <w:rFonts w:cs="Arial"/>
                <w:color w:val="000000"/>
                <w:sz w:val="16"/>
                <w:szCs w:val="16"/>
                <w:lang w:eastAsia="en-GB"/>
              </w:rPr>
              <w:t>%</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0.24</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0.24</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0.19</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0.18</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0.21</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0.19</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0.17</w:t>
            </w:r>
          </w:p>
        </w:tc>
      </w:tr>
      <w:tr w:rsidR="006D67F1" w:rsidRPr="002C224A" w:rsidTr="00B813BC">
        <w:trPr>
          <w:trHeight w:val="255"/>
        </w:trPr>
        <w:tc>
          <w:tcPr>
            <w:tcW w:w="2564" w:type="dxa"/>
            <w:tcBorders>
              <w:top w:val="nil"/>
              <w:left w:val="nil"/>
              <w:bottom w:val="nil"/>
              <w:right w:val="nil"/>
            </w:tcBorders>
            <w:shd w:val="clear" w:color="000000" w:fill="DBE5F1"/>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Vládní záruky pro MSP</w:t>
            </w:r>
          </w:p>
        </w:tc>
        <w:tc>
          <w:tcPr>
            <w:tcW w:w="995" w:type="dxa"/>
            <w:tcBorders>
              <w:top w:val="nil"/>
              <w:left w:val="nil"/>
              <w:bottom w:val="nil"/>
              <w:right w:val="nil"/>
            </w:tcBorders>
            <w:shd w:val="clear" w:color="000000" w:fill="DBE5F1"/>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CZK mil.</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1,925</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3,529</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6,369</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6,593</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472</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1,534</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3,251</w:t>
            </w:r>
          </w:p>
        </w:tc>
      </w:tr>
      <w:tr w:rsidR="006D67F1" w:rsidRPr="002C224A" w:rsidTr="00B813BC">
        <w:trPr>
          <w:trHeight w:val="255"/>
        </w:trPr>
        <w:tc>
          <w:tcPr>
            <w:tcW w:w="2564" w:type="dxa"/>
            <w:tcBorders>
              <w:top w:val="nil"/>
              <w:left w:val="nil"/>
              <w:bottom w:val="nil"/>
              <w:right w:val="nil"/>
            </w:tcBorders>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Úvěry s vládní zárukou</w:t>
            </w:r>
          </w:p>
        </w:tc>
        <w:tc>
          <w:tcPr>
            <w:tcW w:w="995" w:type="dxa"/>
            <w:tcBorders>
              <w:top w:val="nil"/>
              <w:left w:val="nil"/>
              <w:bottom w:val="nil"/>
              <w:right w:val="nil"/>
            </w:tcBorders>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CZK mil.</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2,959</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5,094</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9,550</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10,070</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630</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2,215</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4,616</w:t>
            </w:r>
          </w:p>
        </w:tc>
      </w:tr>
      <w:tr w:rsidR="006D67F1" w:rsidRPr="002C224A" w:rsidTr="00B813BC">
        <w:trPr>
          <w:trHeight w:val="255"/>
        </w:trPr>
        <w:tc>
          <w:tcPr>
            <w:tcW w:w="2564" w:type="dxa"/>
            <w:tcBorders>
              <w:top w:val="nil"/>
              <w:left w:val="nil"/>
              <w:bottom w:val="nil"/>
              <w:right w:val="nil"/>
            </w:tcBorders>
            <w:shd w:val="clear" w:color="000000" w:fill="DBE5F1"/>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Úroková sazba, MSP</w:t>
            </w:r>
          </w:p>
        </w:tc>
        <w:tc>
          <w:tcPr>
            <w:tcW w:w="995" w:type="dxa"/>
            <w:tcBorders>
              <w:top w:val="nil"/>
              <w:left w:val="nil"/>
              <w:bottom w:val="nil"/>
              <w:right w:val="nil"/>
            </w:tcBorders>
            <w:shd w:val="clear" w:color="000000" w:fill="DBE5F1"/>
            <w:noWrap/>
            <w:vAlign w:val="center"/>
          </w:tcPr>
          <w:p w:rsidR="006D67F1" w:rsidRPr="002C224A" w:rsidRDefault="006D67F1" w:rsidP="00B813BC">
            <w:pPr>
              <w:rPr>
                <w:rFonts w:cs="Arial"/>
                <w:color w:val="000000"/>
                <w:sz w:val="16"/>
                <w:szCs w:val="16"/>
                <w:lang w:eastAsia="en-GB"/>
              </w:rPr>
            </w:pPr>
            <w:r w:rsidRPr="002C224A">
              <w:rPr>
                <w:rFonts w:cs="Arial"/>
                <w:color w:val="000000"/>
                <w:sz w:val="16"/>
                <w:szCs w:val="16"/>
                <w:lang w:eastAsia="en-GB"/>
              </w:rPr>
              <w:t>%</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5.03%</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5.57%</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4.64%</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4.01%</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3.73%</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3.48%</w:t>
            </w:r>
          </w:p>
        </w:tc>
        <w:tc>
          <w:tcPr>
            <w:tcW w:w="862" w:type="dxa"/>
            <w:tcBorders>
              <w:top w:val="nil"/>
              <w:left w:val="nil"/>
              <w:bottom w:val="nil"/>
              <w:right w:val="nil"/>
            </w:tcBorders>
            <w:shd w:val="clear" w:color="000000" w:fill="DBE5F1"/>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3.13%</w:t>
            </w:r>
          </w:p>
        </w:tc>
      </w:tr>
      <w:tr w:rsidR="006D67F1" w:rsidRPr="002C224A" w:rsidTr="00B813BC">
        <w:trPr>
          <w:trHeight w:val="255"/>
        </w:trPr>
        <w:tc>
          <w:tcPr>
            <w:tcW w:w="2564" w:type="dxa"/>
            <w:tcBorders>
              <w:top w:val="nil"/>
              <w:left w:val="nil"/>
              <w:bottom w:val="nil"/>
              <w:right w:val="nil"/>
            </w:tcBorders>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Úroková sazba, VP</w:t>
            </w:r>
          </w:p>
        </w:tc>
        <w:tc>
          <w:tcPr>
            <w:tcW w:w="995" w:type="dxa"/>
            <w:tcBorders>
              <w:top w:val="nil"/>
              <w:left w:val="nil"/>
              <w:bottom w:val="nil"/>
              <w:right w:val="nil"/>
            </w:tcBorders>
            <w:noWrap/>
            <w:vAlign w:val="center"/>
          </w:tcPr>
          <w:p w:rsidR="006D67F1" w:rsidRPr="002C224A" w:rsidRDefault="006D67F1" w:rsidP="00B813BC">
            <w:pPr>
              <w:rPr>
                <w:rFonts w:cs="Arial"/>
                <w:color w:val="000000"/>
                <w:sz w:val="16"/>
                <w:szCs w:val="16"/>
                <w:lang w:eastAsia="en-GB"/>
              </w:rPr>
            </w:pPr>
            <w:r w:rsidRPr="002C224A">
              <w:rPr>
                <w:rFonts w:cs="Arial"/>
                <w:color w:val="000000"/>
                <w:sz w:val="16"/>
                <w:szCs w:val="16"/>
                <w:lang w:eastAsia="en-GB"/>
              </w:rPr>
              <w:t>%</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4.05%</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4.84%</w:t>
            </w:r>
          </w:p>
        </w:tc>
        <w:tc>
          <w:tcPr>
            <w:tcW w:w="862"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3.46%</w:t>
            </w:r>
          </w:p>
        </w:tc>
        <w:tc>
          <w:tcPr>
            <w:tcW w:w="861" w:type="dxa"/>
            <w:tcBorders>
              <w:top w:val="nil"/>
              <w:left w:val="nil"/>
              <w:bottom w:val="nil"/>
              <w:right w:val="nil"/>
            </w:tcBorders>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3.34%</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2.63%</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2.43%</w:t>
            </w:r>
          </w:p>
        </w:tc>
        <w:tc>
          <w:tcPr>
            <w:tcW w:w="862" w:type="dxa"/>
            <w:tcBorders>
              <w:top w:val="nil"/>
              <w:left w:val="nil"/>
              <w:bottom w:val="nil"/>
              <w:right w:val="nil"/>
            </w:tcBorders>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1.89%</w:t>
            </w:r>
          </w:p>
        </w:tc>
      </w:tr>
      <w:tr w:rsidR="006D67F1" w:rsidRPr="002C224A" w:rsidTr="00B813BC">
        <w:trPr>
          <w:trHeight w:val="255"/>
        </w:trPr>
        <w:tc>
          <w:tcPr>
            <w:tcW w:w="2564" w:type="dxa"/>
            <w:tcBorders>
              <w:top w:val="nil"/>
              <w:left w:val="nil"/>
              <w:bottom w:val="nil"/>
              <w:right w:val="nil"/>
            </w:tcBorders>
            <w:shd w:val="clear" w:color="000000" w:fill="DBE5F1"/>
            <w:noWrap/>
            <w:vAlign w:val="center"/>
          </w:tcPr>
          <w:p w:rsidR="006D67F1" w:rsidRPr="002C224A" w:rsidRDefault="006D67F1" w:rsidP="008B3649">
            <w:pPr>
              <w:rPr>
                <w:rFonts w:cs="Arial"/>
                <w:color w:val="000000"/>
                <w:sz w:val="16"/>
                <w:szCs w:val="16"/>
                <w:lang w:eastAsia="en-GB"/>
              </w:rPr>
            </w:pPr>
            <w:r w:rsidRPr="002C224A">
              <w:rPr>
                <w:rFonts w:cs="Arial"/>
                <w:color w:val="000000"/>
                <w:sz w:val="16"/>
                <w:szCs w:val="16"/>
                <w:lang w:eastAsia="en-GB"/>
              </w:rPr>
              <w:t>Úrokový diferenciál MSP – VP</w:t>
            </w:r>
          </w:p>
        </w:tc>
        <w:tc>
          <w:tcPr>
            <w:tcW w:w="995" w:type="dxa"/>
            <w:tcBorders>
              <w:top w:val="nil"/>
              <w:left w:val="nil"/>
              <w:bottom w:val="nil"/>
              <w:right w:val="nil"/>
            </w:tcBorders>
            <w:shd w:val="clear" w:color="000000" w:fill="DBE5F1"/>
            <w:noWrap/>
            <w:vAlign w:val="center"/>
          </w:tcPr>
          <w:p w:rsidR="006D67F1" w:rsidRPr="002C224A" w:rsidRDefault="006D67F1" w:rsidP="00B813BC">
            <w:pPr>
              <w:rPr>
                <w:rFonts w:cs="Arial"/>
                <w:color w:val="000000"/>
                <w:sz w:val="16"/>
                <w:szCs w:val="16"/>
                <w:lang w:eastAsia="en-GB"/>
              </w:rPr>
            </w:pPr>
            <w:r w:rsidRPr="002C224A">
              <w:rPr>
                <w:rFonts w:cs="Arial"/>
                <w:color w:val="000000"/>
                <w:sz w:val="16"/>
                <w:szCs w:val="16"/>
                <w:lang w:eastAsia="en-GB"/>
              </w:rPr>
              <w:t>procentní body</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0.97</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0.73</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1.18</w:t>
            </w:r>
          </w:p>
        </w:tc>
        <w:tc>
          <w:tcPr>
            <w:tcW w:w="861"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0.68</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1.11</w:t>
            </w:r>
          </w:p>
        </w:tc>
        <w:tc>
          <w:tcPr>
            <w:tcW w:w="862" w:type="dxa"/>
            <w:tcBorders>
              <w:top w:val="nil"/>
              <w:left w:val="nil"/>
              <w:bottom w:val="nil"/>
              <w:right w:val="nil"/>
            </w:tcBorders>
            <w:shd w:val="clear" w:color="000000" w:fill="DBE5F1"/>
            <w:noWrap/>
            <w:vAlign w:val="center"/>
          </w:tcPr>
          <w:p w:rsidR="006D67F1" w:rsidRPr="002C224A" w:rsidRDefault="006D67F1" w:rsidP="00B813BC">
            <w:pPr>
              <w:jc w:val="center"/>
              <w:rPr>
                <w:rFonts w:cs="Arial"/>
                <w:color w:val="000000"/>
                <w:sz w:val="16"/>
                <w:szCs w:val="16"/>
                <w:lang w:eastAsia="en-GB"/>
              </w:rPr>
            </w:pPr>
            <w:r w:rsidRPr="002C224A">
              <w:rPr>
                <w:rFonts w:cs="Arial"/>
                <w:color w:val="000000"/>
                <w:sz w:val="16"/>
                <w:szCs w:val="16"/>
                <w:lang w:eastAsia="en-GB"/>
              </w:rPr>
              <w:t>0.98</w:t>
            </w:r>
          </w:p>
        </w:tc>
        <w:tc>
          <w:tcPr>
            <w:tcW w:w="862" w:type="dxa"/>
            <w:tcBorders>
              <w:top w:val="nil"/>
              <w:left w:val="nil"/>
              <w:bottom w:val="nil"/>
              <w:right w:val="nil"/>
            </w:tcBorders>
            <w:shd w:val="clear" w:color="000000" w:fill="DBE5F1"/>
            <w:noWrap/>
            <w:vAlign w:val="center"/>
          </w:tcPr>
          <w:p w:rsidR="006D67F1" w:rsidRPr="002C224A" w:rsidRDefault="006D67F1">
            <w:pPr>
              <w:keepNext/>
              <w:jc w:val="center"/>
              <w:rPr>
                <w:rFonts w:cs="Arial"/>
                <w:color w:val="000000"/>
                <w:sz w:val="16"/>
                <w:szCs w:val="16"/>
                <w:lang w:eastAsia="en-GB"/>
              </w:rPr>
            </w:pPr>
            <w:r w:rsidRPr="002C224A">
              <w:rPr>
                <w:rFonts w:cs="Arial"/>
                <w:color w:val="000000"/>
                <w:sz w:val="16"/>
                <w:szCs w:val="16"/>
                <w:lang w:eastAsia="en-GB"/>
              </w:rPr>
              <w:t>1.24</w:t>
            </w:r>
          </w:p>
        </w:tc>
      </w:tr>
    </w:tbl>
    <w:p w:rsidR="006D67F1" w:rsidRPr="002C224A" w:rsidRDefault="006D67F1" w:rsidP="002433DA">
      <w:pPr>
        <w:pStyle w:val="Titulek"/>
      </w:pPr>
      <w:r w:rsidRPr="002C224A">
        <w:t xml:space="preserve">Tabulka </w:t>
      </w:r>
      <w:r w:rsidR="00240E1D" w:rsidRPr="002C224A">
        <w:t>1</w:t>
      </w:r>
      <w:r w:rsidR="00C4105E">
        <w:t>6</w:t>
      </w:r>
      <w:r w:rsidRPr="002C224A">
        <w:t>: Shrnutí úvěrových aktivit na českém trhu 2007-2013</w:t>
      </w:r>
    </w:p>
    <w:p w:rsidR="006D67F1" w:rsidRPr="002C224A" w:rsidRDefault="006D67F1" w:rsidP="002433DA">
      <w:pPr>
        <w:pStyle w:val="Titulek"/>
      </w:pPr>
      <w:r w:rsidRPr="002C224A">
        <w:t>Zdroj: ČNB, OECD, ČMZRB</w:t>
      </w:r>
    </w:p>
    <w:p w:rsidR="006D67F1" w:rsidRPr="00A50943" w:rsidRDefault="006D67F1" w:rsidP="00113153"/>
    <w:p w:rsidR="006D67F1" w:rsidRPr="00A50943" w:rsidRDefault="007A3F34" w:rsidP="00113153">
      <w:r w:rsidRPr="00A50943">
        <w:rPr>
          <w:noProof/>
        </w:rPr>
        <w:drawing>
          <wp:inline distT="0" distB="0" distL="0" distR="0" wp14:anchorId="626FDEAE" wp14:editId="78BEB5BD">
            <wp:extent cx="4610100" cy="27622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762250"/>
                    </a:xfrm>
                    <a:prstGeom prst="rect">
                      <a:avLst/>
                    </a:prstGeom>
                    <a:noFill/>
                    <a:ln>
                      <a:noFill/>
                    </a:ln>
                  </pic:spPr>
                </pic:pic>
              </a:graphicData>
            </a:graphic>
          </wp:inline>
        </w:drawing>
      </w:r>
    </w:p>
    <w:p w:rsidR="006D67F1" w:rsidRPr="002C224A" w:rsidRDefault="00646277" w:rsidP="003244A3">
      <w:pPr>
        <w:pStyle w:val="Titulek"/>
        <w:keepNext/>
      </w:pPr>
      <w:r>
        <w:t>Obrázek</w:t>
      </w:r>
      <w:r w:rsidRPr="002C224A">
        <w:t xml:space="preserve"> </w:t>
      </w:r>
      <w:r>
        <w:t>13</w:t>
      </w:r>
      <w:r w:rsidR="006D67F1" w:rsidRPr="002C224A">
        <w:t>: Vývoj úrokových sazeb MSP a VP 2007-2014</w:t>
      </w:r>
    </w:p>
    <w:p w:rsidR="006D67F1" w:rsidRPr="002C224A" w:rsidRDefault="006D67F1" w:rsidP="00C72C85">
      <w:pPr>
        <w:pStyle w:val="Titulek"/>
      </w:pPr>
      <w:r w:rsidRPr="002C224A">
        <w:t>Zdroj: ČNB, OECD</w:t>
      </w:r>
    </w:p>
    <w:p w:rsidR="006D67F1" w:rsidRPr="00A50943" w:rsidRDefault="006D67F1" w:rsidP="00C72C85">
      <w:pPr>
        <w:rPr>
          <w:b/>
          <w:bCs/>
        </w:rPr>
      </w:pPr>
    </w:p>
    <w:p w:rsidR="006D67F1" w:rsidRPr="002C224A" w:rsidRDefault="006D67F1" w:rsidP="008B3649">
      <w:r w:rsidRPr="002C224A">
        <w:t xml:space="preserve">Finanční trh v ČR je aktuálně charakteristický vysokým objem depozit v bankách a nízkou úrovní úrokových sazeb z poskytovaných úvěrů, jejichž strmý pokles v segmentu velkých podniků (VP) i MSP dokládá tabulka výše. Zároveň je </w:t>
      </w:r>
      <w:r w:rsidRPr="002C224A">
        <w:rPr>
          <w:b/>
        </w:rPr>
        <w:t>patrný rostoucí diferenciál v sazbách úvěrů pro VP a MSP</w:t>
      </w:r>
      <w:r w:rsidRPr="002C224A">
        <w:t xml:space="preserve">. Pokračování tohoto trendu je </w:t>
      </w:r>
      <w:r w:rsidRPr="002C224A">
        <w:rPr>
          <w:b/>
        </w:rPr>
        <w:t>obzvláště markantní na posledních datech z roku 2014, kdy došlo ke zřetelnému nárůstu úrokových sazeb pro MSP a rozdíl mezi oběma sazbami se zvýšil už na 1,75 procentního bodu – MSP tedy čerpají úvěry již téměř o polovinu dráž oproti velkým podnikům</w:t>
      </w:r>
      <w:r w:rsidRPr="002C224A">
        <w:t>.</w:t>
      </w:r>
    </w:p>
    <w:p w:rsidR="006D67F1" w:rsidRPr="002C224A" w:rsidRDefault="006D67F1" w:rsidP="008B3649"/>
    <w:p w:rsidR="006D67F1" w:rsidRPr="002C224A" w:rsidRDefault="006D67F1" w:rsidP="00BC082C">
      <w:pPr>
        <w:pStyle w:val="Neslovannadpisy"/>
      </w:pPr>
      <w:bookmarkStart w:id="718" w:name="_Toc416383728"/>
      <w:bookmarkStart w:id="719" w:name="_Toc416447718"/>
      <w:bookmarkEnd w:id="718"/>
      <w:bookmarkEnd w:id="719"/>
      <w:r w:rsidRPr="002C224A">
        <w:t>Nová podnikatelská aktivita</w:t>
      </w:r>
    </w:p>
    <w:p w:rsidR="006D67F1" w:rsidRPr="002C224A" w:rsidRDefault="006D67F1" w:rsidP="00E54F18">
      <w:r w:rsidRPr="002C224A">
        <w:t xml:space="preserve">Do nové podnikatelské aktivity (kroky k založení, či existující mladší 42 měsíců) je dle šetření Global Enterpreneurship Monitor (GEM) </w:t>
      </w:r>
      <w:r w:rsidRPr="002C224A">
        <w:rPr>
          <w:b/>
        </w:rPr>
        <w:t>2013</w:t>
      </w:r>
      <w:r w:rsidRPr="002C224A">
        <w:t xml:space="preserve"> v ČR zapojeno 7,33 % dospělé populace ve věku 18–64 let, což odpovídá 513.000 osob. </w:t>
      </w:r>
      <w:r w:rsidRPr="002C224A">
        <w:rPr>
          <w:b/>
        </w:rPr>
        <w:t>Z toho lze 27,5 % označit za inovativně orientované, což představuje určitý pokles oproti roku 2011. 7,8 % nových podnikatelů je aktivních v sektoru, který je středně nebo velmi technologicky náročný.</w:t>
      </w:r>
      <w:r w:rsidR="00114587" w:rsidRPr="002C224A">
        <w:rPr>
          <w:b/>
        </w:rPr>
        <w:t xml:space="preserve"> </w:t>
      </w:r>
      <w:r w:rsidRPr="002C224A">
        <w:t>V porovnání s rokem 2011 nová podnikatelská aktivita mírně poklesla o 0,31 %, v porovnání s rokem 2006 o 0,52 %. Z počtu obyvatelstva zapojeného do nové podnikatelské aktivity v ČR představují lidé mladší 35 let více než 50 % s tím, že jde většinou o vysokoškoláky, kteří jsou díky technologické a jazykové zdatnosti schopni přinášet inovativní projekty s vyšší přidanou hodnotou. To samé platí i pro studenty. U této skupiny předpokládáme nejotevřenější postoj k finančním nástrojům.</w:t>
      </w:r>
    </w:p>
    <w:p w:rsidR="006D67F1" w:rsidRPr="002C224A" w:rsidRDefault="006D67F1" w:rsidP="00E54F18"/>
    <w:p w:rsidR="006D67F1" w:rsidRPr="002C224A" w:rsidRDefault="006D67F1" w:rsidP="00E54F18">
      <w:r w:rsidRPr="002C224A">
        <w:lastRenderedPageBreak/>
        <w:t>Inovující podnikatelé byli v šetření GEM dále tázáni, jaké formy podpory pro rozvoj inovačních aktivit by v budoucnu využili. Nejvíce, 65 % (resp. 59 % u užšího souboru), odpovědělo,</w:t>
      </w:r>
      <w:r w:rsidR="00114587" w:rsidRPr="002C224A">
        <w:t xml:space="preserve"> </w:t>
      </w:r>
      <w:r w:rsidRPr="002C224A">
        <w:t>že by využilo tréninky či školení. Na druhém a třetím místě se umístila dotace pro realizaci inovací (54 % v obou souborech) a individuální poradenství (53 %, resp. 50 %). S určitým odstupem se jako čtvrté a páté v pořadí objevila záruka státu pro lehčí přístup k úvěru (44%,</w:t>
      </w:r>
      <w:r w:rsidR="00114587" w:rsidRPr="002C224A">
        <w:t xml:space="preserve"> </w:t>
      </w:r>
      <w:r w:rsidRPr="002C224A">
        <w:t xml:space="preserve">resp. 48 %) a zvýhodněný úvěr na realizaci inovací (42 % v obou souborech). Jako méně časté formy podpory, o které by podnikatelé měli zájem, byly zmíněny dotace pro spolupráci s výzkumnou sférou (31 %, resp. 23 %) a principiální zájem o kapitálový vstup státu pro financování expanze (24 %, resp. 23 %). </w:t>
      </w:r>
      <w:r w:rsidRPr="002C224A">
        <w:rPr>
          <w:b/>
        </w:rPr>
        <w:t xml:space="preserve">GEM tedy na základě své extrapolace dovozuje spodní počet nových inovujících podnikatelův technologicky náročných oborech s potenciálním zájmem o kapitálový vstup na 9200 </w:t>
      </w:r>
      <w:r w:rsidR="00343243">
        <w:rPr>
          <w:b/>
        </w:rPr>
        <w:t>jedinců</w:t>
      </w:r>
      <w:r w:rsidRPr="002C224A">
        <w:rPr>
          <w:b/>
        </w:rPr>
        <w:t>.</w:t>
      </w:r>
    </w:p>
    <w:p w:rsidR="006D67F1" w:rsidRPr="002C224A" w:rsidRDefault="006D67F1" w:rsidP="00945823"/>
    <w:p w:rsidR="006D67F1" w:rsidRPr="002C224A" w:rsidRDefault="006D67F1" w:rsidP="00945823">
      <w:r w:rsidRPr="002C224A">
        <w:t>V rámci druhého dotazníkového šetření k této studii byl rozeslán dotazník zaměřený na early</w:t>
      </w:r>
      <w:r w:rsidR="00F34F41" w:rsidRPr="002C224A">
        <w:t xml:space="preserve"> </w:t>
      </w:r>
      <w:r w:rsidRPr="002C224A">
        <w:t xml:space="preserve">stage firmy, které jsou v kontaktu s podnikatelskými inkubátory a akcelerátory, centry pro transfer technologií apod. V rámci došlých odpovědí většina dotazovaných firem (70 %) vznikla rozvojem podnikatelského plánu jednotlivce, avšak druhou nejpočetnější kategorií (16 %) je vznik spin-offem z univerzitního či jiného veřejně financovaného projektu. Tato skutečnost nás upevňuje v přesvědčení, že podporu v rámci SC </w:t>
      </w:r>
      <w:smartTag w:uri="urn:schemas-microsoft-com:office:smarttags" w:element="metricconverter">
        <w:smartTagPr>
          <w:attr w:name="ProductID" w:val="1.2 a"/>
        </w:smartTagPr>
        <w:r w:rsidRPr="002C224A">
          <w:t>1.2 a</w:t>
        </w:r>
      </w:smartTag>
      <w:r w:rsidRPr="002C224A">
        <w:t xml:space="preserve"> 2.1 je nutné vnímat komplexně, jelikož pouze koordinovanou podporou je možné docílit vytvoření stabilní „pipeline“, která by pomohla projektům dostat se z fáze myšlenky či záměru až do fáze ukotveného podniku připraveného na later</w:t>
      </w:r>
      <w:r w:rsidR="00F34F41" w:rsidRPr="002C224A">
        <w:t xml:space="preserve"> </w:t>
      </w:r>
      <w:r w:rsidRPr="002C224A">
        <w:t>stage investici.</w:t>
      </w:r>
    </w:p>
    <w:p w:rsidR="006D67F1" w:rsidRPr="002C224A" w:rsidRDefault="006D67F1" w:rsidP="00BC082C">
      <w:pPr>
        <w:pStyle w:val="Neslovannadpisy"/>
      </w:pPr>
    </w:p>
    <w:p w:rsidR="006D67F1" w:rsidRPr="002C224A" w:rsidRDefault="006D67F1" w:rsidP="00BC082C">
      <w:pPr>
        <w:pStyle w:val="Neslovannadpisy"/>
      </w:pPr>
      <w:r w:rsidRPr="002C224A">
        <w:t>Soukromé zdroje financování - fondy a investoři Venture Capital (VC) a Private</w:t>
      </w:r>
      <w:r w:rsidR="000A32A1" w:rsidRPr="002C224A">
        <w:t xml:space="preserve"> </w:t>
      </w:r>
      <w:r w:rsidRPr="002C224A">
        <w:t>Equity (PE)</w:t>
      </w:r>
    </w:p>
    <w:p w:rsidR="006D67F1" w:rsidRPr="002C224A" w:rsidRDefault="006D67F1" w:rsidP="00AA113A">
      <w:r w:rsidRPr="002C224A">
        <w:t>Na rozdíl od úvěrového financování rozvoje etablovaných firem s podnikatelskou historií (cca přes 3 roky existence) je role bank v oblasti rizikového kapitálu a financování Early</w:t>
      </w:r>
      <w:r w:rsidR="00F34F41" w:rsidRPr="002C224A">
        <w:t xml:space="preserve"> </w:t>
      </w:r>
      <w:r w:rsidRPr="002C224A">
        <w:t xml:space="preserve">stage firem malá a věnují se jí dnes pouze okrajově. Úvěrové financování je při dostatečném zajištění možné, je však problematické i z hlediska svých nákladů a zátěže podniku jeho v raném stádiu vývoje, kdy zpravidla nevykazuje zisk a potřebuje kapitál na investice. Vhodnějším způsobem jsou tak investice do základního kapitálu podniků. Hlavními poskytovateli externího financování na tržním principu jsou </w:t>
      </w:r>
      <w:r w:rsidRPr="002C224A">
        <w:rPr>
          <w:b/>
        </w:rPr>
        <w:t>investiční fondy private equity (PE), které se v případě zaměření na oblast rizikového kapitálu označují jako fondy venture capital (VC).</w:t>
      </w:r>
    </w:p>
    <w:p w:rsidR="006D67F1" w:rsidRPr="002C224A" w:rsidRDefault="006D67F1" w:rsidP="00AE634D"/>
    <w:p w:rsidR="006D67F1" w:rsidRPr="002C224A" w:rsidRDefault="006D67F1" w:rsidP="00AE634D">
      <w:r w:rsidRPr="002C224A">
        <w:t xml:space="preserve">Celkové hodnoty </w:t>
      </w:r>
      <w:r w:rsidRPr="002C224A">
        <w:rPr>
          <w:b/>
        </w:rPr>
        <w:t>PE investic v České republice</w:t>
      </w:r>
      <w:r w:rsidRPr="002C224A">
        <w:t xml:space="preserve"> se v letech 2007-2012 pohybovaly se značnými meziročními výkyvy v rozmezí </w:t>
      </w:r>
      <w:smartTag w:uri="urn:schemas-microsoft-com:office:smarttags" w:element="metricconverter">
        <w:smartTagPr>
          <w:attr w:name="ProductID" w:val="106 mil"/>
        </w:smartTagPr>
        <w:r w:rsidRPr="002C224A">
          <w:t>106 mil</w:t>
        </w:r>
      </w:smartTag>
      <w:r w:rsidRPr="002C224A">
        <w:t xml:space="preserve">. € až </w:t>
      </w:r>
      <w:smartTag w:uri="urn:schemas-microsoft-com:office:smarttags" w:element="metricconverter">
        <w:smartTagPr>
          <w:attr w:name="ProductID" w:val="1 358 mil"/>
        </w:smartTagPr>
        <w:r w:rsidRPr="002C224A">
          <w:t>1 358 mil</w:t>
        </w:r>
      </w:smartTag>
      <w:r w:rsidRPr="002C224A">
        <w:t xml:space="preserve">. €, což odpovídalo 0,069 % až 0,955 % podílu na HDP. Podíl 0,955% PE investic na HDP v roce 2009 byl spíše výjimečný, jde o odchylku od dlouhodobého trendu způsobenou </w:t>
      </w:r>
      <w:r w:rsidR="00F472A6" w:rsidRPr="002C224A">
        <w:t xml:space="preserve">obří </w:t>
      </w:r>
      <w:r w:rsidRPr="002C224A">
        <w:t>transakcí CVC Capital Partners, která představovala více než 50 % z celkové hodnoty PE investic v roce 2009.</w:t>
      </w:r>
    </w:p>
    <w:p w:rsidR="006D67F1" w:rsidRPr="002C224A" w:rsidRDefault="006D67F1" w:rsidP="00AE634D">
      <w:r w:rsidRPr="002C224A">
        <w:t xml:space="preserve">Podíl množství investic rizikového kapitálu na celkových investicích PE v ČR činí v průměru </w:t>
      </w:r>
      <w:r w:rsidRPr="002C224A">
        <w:rPr>
          <w:b/>
        </w:rPr>
        <w:t>5,7 % za roky 2007-2012</w:t>
      </w:r>
      <w:r w:rsidRPr="002C224A">
        <w:t>.</w:t>
      </w:r>
    </w:p>
    <w:p w:rsidR="006D67F1" w:rsidRPr="002C224A" w:rsidRDefault="006D67F1" w:rsidP="00AE634D"/>
    <w:tbl>
      <w:tblPr>
        <w:tblW w:w="9322" w:type="dxa"/>
        <w:tblBorders>
          <w:bottom w:val="single" w:sz="4" w:space="0" w:color="72C7E7"/>
          <w:insideH w:val="single" w:sz="4" w:space="0" w:color="72C7E7"/>
        </w:tblBorders>
        <w:tblCellMar>
          <w:left w:w="0" w:type="dxa"/>
          <w:right w:w="0" w:type="dxa"/>
        </w:tblCellMar>
        <w:tblLook w:val="00A0" w:firstRow="1" w:lastRow="0" w:firstColumn="1" w:lastColumn="0" w:noHBand="0" w:noVBand="0"/>
      </w:tblPr>
      <w:tblGrid>
        <w:gridCol w:w="2109"/>
        <w:gridCol w:w="1433"/>
        <w:gridCol w:w="1021"/>
        <w:gridCol w:w="1421"/>
        <w:gridCol w:w="1021"/>
        <w:gridCol w:w="1421"/>
        <w:gridCol w:w="1008"/>
      </w:tblGrid>
      <w:tr w:rsidR="006D67F1" w:rsidRPr="002C224A" w:rsidTr="00661000">
        <w:trPr>
          <w:trHeight w:val="20"/>
        </w:trPr>
        <w:tc>
          <w:tcPr>
            <w:tcW w:w="2093"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Fáze private equity investic</w:t>
            </w:r>
          </w:p>
        </w:tc>
        <w:tc>
          <w:tcPr>
            <w:tcW w:w="1417"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Celkem ČR</w:t>
            </w:r>
          </w:p>
          <w:p w:rsidR="006D67F1" w:rsidRPr="002C224A" w:rsidRDefault="006D67F1" w:rsidP="00661000">
            <w:pPr>
              <w:keepNext/>
              <w:jc w:val="center"/>
              <w:rPr>
                <w:b/>
                <w:color w:val="FFFFFF"/>
                <w:sz w:val="18"/>
                <w:szCs w:val="18"/>
              </w:rPr>
            </w:pPr>
            <w:r w:rsidRPr="002C224A">
              <w:rPr>
                <w:b/>
                <w:color w:val="FFFFFF"/>
                <w:sz w:val="18"/>
                <w:szCs w:val="18"/>
              </w:rPr>
              <w:t>v tis. €</w:t>
            </w:r>
          </w:p>
        </w:tc>
        <w:tc>
          <w:tcPr>
            <w:tcW w:w="1005"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Podíl v %</w:t>
            </w:r>
          </w:p>
        </w:tc>
        <w:tc>
          <w:tcPr>
            <w:tcW w:w="1405"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Celkem SVE</w:t>
            </w:r>
          </w:p>
          <w:p w:rsidR="006D67F1" w:rsidRPr="002C224A" w:rsidRDefault="006D67F1" w:rsidP="00661000">
            <w:pPr>
              <w:keepNext/>
              <w:jc w:val="center"/>
              <w:rPr>
                <w:b/>
                <w:color w:val="FFFFFF"/>
                <w:sz w:val="18"/>
                <w:szCs w:val="18"/>
              </w:rPr>
            </w:pPr>
            <w:r w:rsidRPr="002C224A">
              <w:rPr>
                <w:b/>
                <w:color w:val="FFFFFF"/>
                <w:sz w:val="18"/>
                <w:szCs w:val="18"/>
              </w:rPr>
              <w:t>v tis.</w:t>
            </w:r>
            <w:r w:rsidR="00114587" w:rsidRPr="002C224A">
              <w:rPr>
                <w:b/>
                <w:color w:val="FFFFFF"/>
                <w:sz w:val="18"/>
                <w:szCs w:val="18"/>
              </w:rPr>
              <w:t xml:space="preserve"> </w:t>
            </w:r>
            <w:r w:rsidRPr="002C224A">
              <w:rPr>
                <w:b/>
                <w:color w:val="FFFFFF"/>
                <w:sz w:val="18"/>
                <w:szCs w:val="18"/>
              </w:rPr>
              <w:t>€</w:t>
            </w:r>
          </w:p>
        </w:tc>
        <w:tc>
          <w:tcPr>
            <w:tcW w:w="1005"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Podíl v %</w:t>
            </w:r>
          </w:p>
        </w:tc>
        <w:tc>
          <w:tcPr>
            <w:tcW w:w="1405"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Celkem Evropa v tis.</w:t>
            </w:r>
            <w:r w:rsidR="00114587" w:rsidRPr="002C224A">
              <w:rPr>
                <w:b/>
                <w:color w:val="FFFFFF"/>
                <w:sz w:val="18"/>
                <w:szCs w:val="18"/>
              </w:rPr>
              <w:t xml:space="preserve"> </w:t>
            </w:r>
            <w:r w:rsidRPr="002C224A">
              <w:rPr>
                <w:b/>
                <w:color w:val="FFFFFF"/>
                <w:sz w:val="18"/>
                <w:szCs w:val="18"/>
              </w:rPr>
              <w:t>€</w:t>
            </w:r>
          </w:p>
        </w:tc>
        <w:tc>
          <w:tcPr>
            <w:tcW w:w="992" w:type="dxa"/>
            <w:shd w:val="clear" w:color="auto" w:fill="72C7E7"/>
            <w:noWrap/>
            <w:vAlign w:val="center"/>
          </w:tcPr>
          <w:p w:rsidR="006D67F1" w:rsidRPr="002C224A" w:rsidRDefault="006D67F1" w:rsidP="00661000">
            <w:pPr>
              <w:keepNext/>
              <w:jc w:val="center"/>
              <w:rPr>
                <w:b/>
                <w:color w:val="FFFFFF"/>
                <w:sz w:val="18"/>
                <w:szCs w:val="18"/>
              </w:rPr>
            </w:pPr>
            <w:r w:rsidRPr="002C224A">
              <w:rPr>
                <w:b/>
                <w:color w:val="FFFFFF"/>
                <w:sz w:val="18"/>
                <w:szCs w:val="18"/>
              </w:rPr>
              <w:t>Podíl v %</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Seed</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0</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0,00%</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22 005</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0,50%</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1 030 201</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0,40%</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Startup</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16 760</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1,35%</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265 796</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5,57%</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12 089 052</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4,83%</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Subtotal Early stage</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16 760</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1,35%</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287 800</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6,07%</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13 119 252</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5,23%</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Laterstage venture</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86 305</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4,36%</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439 566</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4,89%</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13 564 725</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5,08%</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Celkem VC</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103 065</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5,71%</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708 634</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10,39%</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26 683 977</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10,31%</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Growth</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507 801</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25,91%</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2 364 639</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30,37%</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31 406 288</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12,80%</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Rescue/Turnaround</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475</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0,01%</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18 295</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0,28%</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2 799 031</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1,22%</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Replacement capital</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289 965</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7,63%</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517 134</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4,41%</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9 329 771</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3,88%</w:t>
            </w:r>
          </w:p>
        </w:tc>
      </w:tr>
      <w:tr w:rsidR="006D67F1" w:rsidRPr="002C224A" w:rsidTr="00661000">
        <w:trPr>
          <w:trHeight w:val="20"/>
        </w:trPr>
        <w:tc>
          <w:tcPr>
            <w:tcW w:w="2093" w:type="dxa"/>
            <w:shd w:val="clear" w:color="auto" w:fill="FFFFFF"/>
            <w:noWrap/>
          </w:tcPr>
          <w:p w:rsidR="006D67F1" w:rsidRPr="002C224A" w:rsidRDefault="006D67F1" w:rsidP="00661000">
            <w:pPr>
              <w:keepNext/>
              <w:rPr>
                <w:sz w:val="18"/>
                <w:szCs w:val="18"/>
              </w:rPr>
            </w:pPr>
            <w:r w:rsidRPr="002C224A">
              <w:rPr>
                <w:sz w:val="18"/>
                <w:szCs w:val="18"/>
              </w:rPr>
              <w:t>Buyout</w:t>
            </w:r>
          </w:p>
        </w:tc>
        <w:tc>
          <w:tcPr>
            <w:tcW w:w="1417" w:type="dxa"/>
            <w:shd w:val="clear" w:color="auto" w:fill="FFFFFF"/>
            <w:noWrap/>
            <w:vAlign w:val="center"/>
          </w:tcPr>
          <w:p w:rsidR="006D67F1" w:rsidRPr="002C224A" w:rsidRDefault="006D67F1" w:rsidP="00661000">
            <w:pPr>
              <w:keepNext/>
              <w:jc w:val="right"/>
              <w:rPr>
                <w:sz w:val="18"/>
                <w:szCs w:val="18"/>
              </w:rPr>
            </w:pPr>
            <w:r w:rsidRPr="002C224A">
              <w:rPr>
                <w:sz w:val="18"/>
                <w:szCs w:val="18"/>
              </w:rPr>
              <w:t>1 539 369</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60,75%</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6 698 770</w:t>
            </w:r>
          </w:p>
        </w:tc>
        <w:tc>
          <w:tcPr>
            <w:tcW w:w="1005" w:type="dxa"/>
            <w:shd w:val="clear" w:color="auto" w:fill="FFFFFF"/>
            <w:noWrap/>
            <w:vAlign w:val="center"/>
          </w:tcPr>
          <w:p w:rsidR="006D67F1" w:rsidRPr="002C224A" w:rsidRDefault="006D67F1" w:rsidP="00661000">
            <w:pPr>
              <w:keepNext/>
              <w:jc w:val="right"/>
              <w:rPr>
                <w:sz w:val="18"/>
                <w:szCs w:val="18"/>
              </w:rPr>
            </w:pPr>
            <w:r w:rsidRPr="002C224A">
              <w:rPr>
                <w:sz w:val="18"/>
                <w:szCs w:val="18"/>
              </w:rPr>
              <w:t>54,55%</w:t>
            </w:r>
          </w:p>
        </w:tc>
        <w:tc>
          <w:tcPr>
            <w:tcW w:w="1405" w:type="dxa"/>
            <w:shd w:val="clear" w:color="auto" w:fill="FFFFFF"/>
            <w:noWrap/>
            <w:vAlign w:val="center"/>
          </w:tcPr>
          <w:p w:rsidR="006D67F1" w:rsidRPr="002C224A" w:rsidRDefault="006D67F1" w:rsidP="00661000">
            <w:pPr>
              <w:keepNext/>
              <w:jc w:val="right"/>
              <w:rPr>
                <w:sz w:val="18"/>
                <w:szCs w:val="18"/>
              </w:rPr>
            </w:pPr>
            <w:r w:rsidRPr="002C224A">
              <w:rPr>
                <w:sz w:val="18"/>
                <w:szCs w:val="18"/>
              </w:rPr>
              <w:t>200 544 333</w:t>
            </w:r>
          </w:p>
        </w:tc>
        <w:tc>
          <w:tcPr>
            <w:tcW w:w="992" w:type="dxa"/>
            <w:shd w:val="clear" w:color="auto" w:fill="FFFFFF"/>
            <w:noWrap/>
            <w:vAlign w:val="center"/>
          </w:tcPr>
          <w:p w:rsidR="006D67F1" w:rsidRPr="002C224A" w:rsidRDefault="006D67F1" w:rsidP="00661000">
            <w:pPr>
              <w:keepNext/>
              <w:jc w:val="right"/>
              <w:rPr>
                <w:sz w:val="18"/>
                <w:szCs w:val="18"/>
              </w:rPr>
            </w:pPr>
            <w:r w:rsidRPr="002C224A">
              <w:rPr>
                <w:sz w:val="18"/>
                <w:szCs w:val="18"/>
              </w:rPr>
              <w:t>71,79%</w:t>
            </w:r>
          </w:p>
        </w:tc>
      </w:tr>
      <w:tr w:rsidR="006D67F1" w:rsidRPr="002C224A" w:rsidTr="00661000">
        <w:trPr>
          <w:trHeight w:val="20"/>
        </w:trPr>
        <w:tc>
          <w:tcPr>
            <w:tcW w:w="2093" w:type="dxa"/>
            <w:shd w:val="clear" w:color="auto" w:fill="92D050"/>
            <w:noWrap/>
          </w:tcPr>
          <w:p w:rsidR="006D67F1" w:rsidRPr="002C224A" w:rsidRDefault="006D67F1" w:rsidP="00661000">
            <w:pPr>
              <w:keepNext/>
              <w:rPr>
                <w:b/>
                <w:sz w:val="18"/>
                <w:szCs w:val="18"/>
              </w:rPr>
            </w:pPr>
            <w:r w:rsidRPr="002C224A">
              <w:rPr>
                <w:b/>
                <w:sz w:val="18"/>
                <w:szCs w:val="18"/>
              </w:rPr>
              <w:t>Celkem</w:t>
            </w:r>
          </w:p>
        </w:tc>
        <w:tc>
          <w:tcPr>
            <w:tcW w:w="1417" w:type="dxa"/>
            <w:shd w:val="clear" w:color="auto" w:fill="92D050"/>
            <w:noWrap/>
            <w:vAlign w:val="center"/>
          </w:tcPr>
          <w:p w:rsidR="006D67F1" w:rsidRPr="002C224A" w:rsidRDefault="006D67F1" w:rsidP="00661000">
            <w:pPr>
              <w:keepNext/>
              <w:jc w:val="right"/>
              <w:rPr>
                <w:b/>
                <w:sz w:val="18"/>
                <w:szCs w:val="18"/>
              </w:rPr>
            </w:pPr>
            <w:r w:rsidRPr="002C224A">
              <w:rPr>
                <w:b/>
                <w:sz w:val="18"/>
                <w:szCs w:val="18"/>
              </w:rPr>
              <w:t>2 445 367</w:t>
            </w:r>
          </w:p>
        </w:tc>
        <w:tc>
          <w:tcPr>
            <w:tcW w:w="1005" w:type="dxa"/>
            <w:shd w:val="clear" w:color="auto" w:fill="92D050"/>
            <w:noWrap/>
            <w:vAlign w:val="center"/>
          </w:tcPr>
          <w:p w:rsidR="006D67F1" w:rsidRPr="002C224A" w:rsidRDefault="006D67F1" w:rsidP="00661000">
            <w:pPr>
              <w:keepNext/>
              <w:jc w:val="right"/>
              <w:rPr>
                <w:b/>
                <w:sz w:val="18"/>
                <w:szCs w:val="18"/>
              </w:rPr>
            </w:pPr>
            <w:r w:rsidRPr="002C224A">
              <w:rPr>
                <w:b/>
                <w:sz w:val="18"/>
                <w:szCs w:val="18"/>
              </w:rPr>
              <w:t>100,00%</w:t>
            </w:r>
          </w:p>
        </w:tc>
        <w:tc>
          <w:tcPr>
            <w:tcW w:w="1405" w:type="dxa"/>
            <w:shd w:val="clear" w:color="auto" w:fill="92D050"/>
            <w:noWrap/>
            <w:vAlign w:val="center"/>
          </w:tcPr>
          <w:p w:rsidR="006D67F1" w:rsidRPr="002C224A" w:rsidRDefault="006D67F1" w:rsidP="00661000">
            <w:pPr>
              <w:keepNext/>
              <w:jc w:val="right"/>
              <w:rPr>
                <w:b/>
                <w:sz w:val="18"/>
                <w:szCs w:val="18"/>
              </w:rPr>
            </w:pPr>
            <w:r w:rsidRPr="002C224A">
              <w:rPr>
                <w:b/>
                <w:sz w:val="18"/>
                <w:szCs w:val="18"/>
              </w:rPr>
              <w:t>10 312 164</w:t>
            </w:r>
          </w:p>
        </w:tc>
        <w:tc>
          <w:tcPr>
            <w:tcW w:w="1005" w:type="dxa"/>
            <w:shd w:val="clear" w:color="auto" w:fill="92D050"/>
            <w:noWrap/>
            <w:vAlign w:val="center"/>
          </w:tcPr>
          <w:p w:rsidR="006D67F1" w:rsidRPr="002C224A" w:rsidRDefault="006D67F1" w:rsidP="00661000">
            <w:pPr>
              <w:keepNext/>
              <w:jc w:val="right"/>
              <w:rPr>
                <w:b/>
                <w:sz w:val="18"/>
                <w:szCs w:val="18"/>
              </w:rPr>
            </w:pPr>
            <w:r w:rsidRPr="002C224A">
              <w:rPr>
                <w:b/>
                <w:sz w:val="18"/>
                <w:szCs w:val="18"/>
              </w:rPr>
              <w:t>100,00%</w:t>
            </w:r>
          </w:p>
        </w:tc>
        <w:tc>
          <w:tcPr>
            <w:tcW w:w="1405" w:type="dxa"/>
            <w:shd w:val="clear" w:color="auto" w:fill="92D050"/>
            <w:noWrap/>
            <w:vAlign w:val="center"/>
          </w:tcPr>
          <w:p w:rsidR="006D67F1" w:rsidRPr="002C224A" w:rsidRDefault="006D67F1" w:rsidP="00661000">
            <w:pPr>
              <w:keepNext/>
              <w:jc w:val="right"/>
              <w:rPr>
                <w:b/>
                <w:sz w:val="18"/>
                <w:szCs w:val="18"/>
              </w:rPr>
            </w:pPr>
            <w:r w:rsidRPr="002C224A">
              <w:rPr>
                <w:b/>
                <w:sz w:val="18"/>
                <w:szCs w:val="18"/>
              </w:rPr>
              <w:t>270 763 400</w:t>
            </w:r>
          </w:p>
        </w:tc>
        <w:tc>
          <w:tcPr>
            <w:tcW w:w="992" w:type="dxa"/>
            <w:shd w:val="clear" w:color="auto" w:fill="92D050"/>
            <w:noWrap/>
            <w:vAlign w:val="center"/>
          </w:tcPr>
          <w:p w:rsidR="006D67F1" w:rsidRPr="002C224A" w:rsidRDefault="006D67F1" w:rsidP="00661000">
            <w:pPr>
              <w:keepNext/>
              <w:jc w:val="right"/>
              <w:rPr>
                <w:b/>
                <w:sz w:val="18"/>
                <w:szCs w:val="18"/>
              </w:rPr>
            </w:pPr>
            <w:r w:rsidRPr="002C224A">
              <w:rPr>
                <w:b/>
                <w:sz w:val="18"/>
                <w:szCs w:val="18"/>
              </w:rPr>
              <w:t>100,00%</w:t>
            </w:r>
          </w:p>
        </w:tc>
      </w:tr>
    </w:tbl>
    <w:p w:rsidR="006D67F1" w:rsidRPr="002C224A" w:rsidRDefault="006D67F1" w:rsidP="00DF6E0B">
      <w:pPr>
        <w:pStyle w:val="Titulek"/>
      </w:pPr>
      <w:r w:rsidRPr="002C224A">
        <w:t xml:space="preserve">Tabulka </w:t>
      </w:r>
      <w:r w:rsidR="00C4105E">
        <w:t>17</w:t>
      </w:r>
      <w:r w:rsidRPr="002C224A">
        <w:t>:</w:t>
      </w:r>
      <w:r w:rsidR="00646277">
        <w:t xml:space="preserve"> </w:t>
      </w:r>
      <w:r w:rsidRPr="002C224A">
        <w:t>PE investice podle jednotlivých segmentů, v tisících €, součty 2007- 2012</w:t>
      </w:r>
    </w:p>
    <w:p w:rsidR="006D67F1" w:rsidRPr="002C224A" w:rsidRDefault="006D67F1" w:rsidP="00DF6E0B">
      <w:pPr>
        <w:pStyle w:val="Titulek"/>
        <w:rPr>
          <w:b w:val="0"/>
          <w:color w:val="000000"/>
        </w:rPr>
      </w:pPr>
      <w:r w:rsidRPr="002C224A">
        <w:t>Zdroj: EVCA, interpretováno MPO</w:t>
      </w:r>
    </w:p>
    <w:p w:rsidR="006D67F1" w:rsidRPr="00A50943" w:rsidRDefault="006D67F1" w:rsidP="00AE634D"/>
    <w:p w:rsidR="006D67F1" w:rsidRPr="002C224A" w:rsidRDefault="006D67F1" w:rsidP="00A47A43">
      <w:r w:rsidRPr="002C224A">
        <w:lastRenderedPageBreak/>
        <w:t>Český PE/VC trh se vyznačuje nestabilním vývojem, který je způsoben především nízkým celkovým obratem a počtem transakcí.</w:t>
      </w:r>
      <w:r w:rsidR="00114587" w:rsidRPr="002C224A">
        <w:t xml:space="preserve"> </w:t>
      </w:r>
      <w:r w:rsidRPr="002C224A">
        <w:t>Na území České republiky se za rok realizuje asi jen 10-20 investic. V roce 2007-2012 se celková hodnota private equity investic v České republice podílela na HDP v průměru 0,280 %, zatímco evropský průměr činil 0,349 %, jak vyplývá z grafu č.</w:t>
      </w:r>
      <w:r w:rsidR="00114587" w:rsidRPr="002C224A">
        <w:t xml:space="preserve"> </w:t>
      </w:r>
      <w:r w:rsidR="008F5D1D">
        <w:fldChar w:fldCharType="begin"/>
      </w:r>
      <w:r w:rsidR="008F5D1D">
        <w:instrText xml:space="preserve"> SEQ Graf \* ARABIC </w:instrText>
      </w:r>
      <w:r w:rsidR="008F5D1D">
        <w:fldChar w:fldCharType="separate"/>
      </w:r>
      <w:r w:rsidR="005A25ED">
        <w:rPr>
          <w:noProof/>
        </w:rPr>
        <w:t>1</w:t>
      </w:r>
      <w:r w:rsidR="008F5D1D">
        <w:rPr>
          <w:noProof/>
        </w:rPr>
        <w:fldChar w:fldCharType="end"/>
      </w:r>
      <w:r w:rsidRPr="00A50943">
        <w:t>. Kladná odchyl</w:t>
      </w:r>
      <w:r w:rsidRPr="002C224A">
        <w:t>ka roku 2009 v České republice je způsobena zmiňovaným buyoutem CVC CapitalPartners.</w:t>
      </w:r>
    </w:p>
    <w:p w:rsidR="006D67F1" w:rsidRPr="002C224A" w:rsidRDefault="006D67F1" w:rsidP="00A47A43"/>
    <w:p w:rsidR="006D67F1" w:rsidRPr="002C224A" w:rsidRDefault="006D67F1" w:rsidP="008175FD">
      <w:pPr>
        <w:rPr>
          <w:rFonts w:cs="Calibri"/>
          <w:szCs w:val="24"/>
        </w:rPr>
      </w:pPr>
      <w:r w:rsidRPr="002C224A">
        <w:t>Od roku 1997 existuje v České republice asociace sdružující PE a venture capital investory – CVCA. Asociace je členem EVCA a zaměřuje se mimo jiné na statistické sledování vývoje na českém trhu PE/VC.</w:t>
      </w:r>
      <w:r w:rsidR="00114587" w:rsidRPr="002C224A">
        <w:t xml:space="preserve"> </w:t>
      </w:r>
      <w:r w:rsidRPr="002C224A">
        <w:rPr>
          <w:rFonts w:cs="Calibri"/>
          <w:b/>
          <w:szCs w:val="24"/>
        </w:rPr>
        <w:t>Drtivá většina investic v ČR je zaměřena na pozdější segmenty buyout a growth</w:t>
      </w:r>
      <w:r w:rsidRPr="002C224A">
        <w:rPr>
          <w:rFonts w:cs="Calibri"/>
          <w:szCs w:val="24"/>
        </w:rPr>
        <w:t>.</w:t>
      </w:r>
    </w:p>
    <w:p w:rsidR="006D67F1" w:rsidRPr="002C224A" w:rsidRDefault="006D67F1" w:rsidP="00492C7A"/>
    <w:p w:rsidR="006D67F1" w:rsidRPr="002C224A" w:rsidDel="00A47A43" w:rsidRDefault="006D67F1" w:rsidP="00492C7A"/>
    <w:p w:rsidR="006D67F1" w:rsidRPr="002C224A" w:rsidRDefault="007A3F34" w:rsidP="00492C7A">
      <w:pPr>
        <w:pStyle w:val="Textpspvku"/>
        <w:keepNext/>
        <w:jc w:val="center"/>
      </w:pPr>
      <w:r w:rsidRPr="002C224A">
        <w:rPr>
          <w:rFonts w:cs="Calibri"/>
          <w:noProof/>
          <w:sz w:val="24"/>
          <w:szCs w:val="22"/>
          <w:lang w:eastAsia="cs-CZ"/>
        </w:rPr>
        <w:drawing>
          <wp:inline distT="0" distB="0" distL="0" distR="0" wp14:anchorId="474F0F84" wp14:editId="3F131E89">
            <wp:extent cx="4371975" cy="2105025"/>
            <wp:effectExtent l="0" t="0" r="9525" b="9525"/>
            <wp:docPr id="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2105025"/>
                    </a:xfrm>
                    <a:prstGeom prst="rect">
                      <a:avLst/>
                    </a:prstGeom>
                    <a:noFill/>
                    <a:ln>
                      <a:noFill/>
                    </a:ln>
                  </pic:spPr>
                </pic:pic>
              </a:graphicData>
            </a:graphic>
          </wp:inline>
        </w:drawing>
      </w:r>
    </w:p>
    <w:p w:rsidR="006D67F1" w:rsidRPr="002C224A" w:rsidRDefault="00646277" w:rsidP="00492C7A">
      <w:pPr>
        <w:pStyle w:val="Titulek"/>
      </w:pPr>
      <w:r>
        <w:t>Obrázek</w:t>
      </w:r>
      <w:r w:rsidRPr="002C224A">
        <w:t xml:space="preserve"> </w:t>
      </w:r>
      <w:r>
        <w:t>14</w:t>
      </w:r>
      <w:r w:rsidR="006D67F1" w:rsidRPr="002C224A">
        <w:t>: PE investice (EUR) jako % HDP (běžné ceny, EUR) v Evropě</w:t>
      </w:r>
      <w:r w:rsidR="006D67F1" w:rsidRPr="002C224A">
        <w:rPr>
          <w:rStyle w:val="Znakapoznpodarou"/>
          <w:rFonts w:ascii="Calibri" w:hAnsi="Calibri" w:cs="Arial"/>
          <w:b w:val="0"/>
        </w:rPr>
        <w:footnoteReference w:id="26"/>
      </w:r>
      <w:r w:rsidR="006D67F1" w:rsidRPr="002C224A">
        <w:t xml:space="preserve"> a České republice</w:t>
      </w:r>
    </w:p>
    <w:p w:rsidR="006D67F1" w:rsidRPr="002C224A" w:rsidRDefault="006D67F1" w:rsidP="00492C7A">
      <w:pPr>
        <w:pStyle w:val="Titulek"/>
      </w:pPr>
      <w:r w:rsidRPr="002C224A">
        <w:t>Zdroj: EVCA, EUROSTAT</w:t>
      </w:r>
    </w:p>
    <w:p w:rsidR="006D67F1" w:rsidRPr="00A50943" w:rsidRDefault="006D67F1" w:rsidP="00492C7A"/>
    <w:p w:rsidR="006D67F1" w:rsidRPr="002C224A" w:rsidRDefault="006D67F1" w:rsidP="00492C7A">
      <w:pPr>
        <w:rPr>
          <w:b/>
        </w:rPr>
      </w:pPr>
      <w:r w:rsidRPr="002C224A">
        <w:t>Jak vyplývá z výše uvedeného přehledu, drtivá část objemu PE investic směřuje mimo rizikový kapitál, do oblasti buyout, growth či replacement kapitálu, kde se velikosti investic pohybuje v řádově vyšších relacích.</w:t>
      </w:r>
      <w:r w:rsidR="002266A6" w:rsidRPr="002C224A">
        <w:t xml:space="preserve"> </w:t>
      </w:r>
      <w:r w:rsidRPr="002C224A">
        <w:rPr>
          <w:b/>
        </w:rPr>
        <w:t>Podíl objemu investic rizikového kapitálu na celkových investicích PE v ČR činí v průměru jen 5,7 % za roky 2007-2012</w:t>
      </w:r>
      <w:r w:rsidR="00104620">
        <w:rPr>
          <w:b/>
        </w:rPr>
        <w:t xml:space="preserve">. </w:t>
      </w:r>
      <w:r w:rsidRPr="002C224A">
        <w:t>V rámci tohoto podílu získalo v ČR investici 19 podniků ve fázi later</w:t>
      </w:r>
      <w:r w:rsidR="00F34F41" w:rsidRPr="002C224A">
        <w:t xml:space="preserve"> </w:t>
      </w:r>
      <w:r w:rsidR="00CF5519" w:rsidRPr="002C224A">
        <w:t xml:space="preserve"> </w:t>
      </w:r>
      <w:r w:rsidRPr="002C224A">
        <w:t xml:space="preserve">stage a 8 startup podniků v celkové výši </w:t>
      </w:r>
      <w:smartTag w:uri="urn:schemas-microsoft-com:office:smarttags" w:element="metricconverter">
        <w:smartTagPr>
          <w:attr w:name="ProductID" w:val="103 mil"/>
        </w:smartTagPr>
        <w:r w:rsidRPr="002C224A">
          <w:t>103 mil</w:t>
        </w:r>
      </w:smartTag>
      <w:r w:rsidRPr="002C224A">
        <w:t xml:space="preserve">. €. Nejnovější data ukazují, že </w:t>
      </w:r>
      <w:r w:rsidRPr="002C224A">
        <w:rPr>
          <w:b/>
        </w:rPr>
        <w:t xml:space="preserve">v roce 2013 došlo k dalšímu poklesu celkových venture investic z 5,2 mil. EUR v roce 2012 na </w:t>
      </w:r>
      <w:smartTag w:uri="urn:schemas-microsoft-com:office:smarttags" w:element="metricconverter">
        <w:smartTagPr>
          <w:attr w:name="ProductID" w:val="2,8 mil"/>
        </w:smartTagPr>
        <w:r w:rsidRPr="002C224A">
          <w:rPr>
            <w:b/>
          </w:rPr>
          <w:t>2,8 mil</w:t>
        </w:r>
      </w:smartTag>
      <w:r w:rsidRPr="002C224A">
        <w:rPr>
          <w:b/>
        </w:rPr>
        <w:t xml:space="preserve"> EUR.</w:t>
      </w:r>
      <w:r w:rsidRPr="002C224A">
        <w:t xml:space="preserve"> Údaje za poslední rok potvrzují značnou nestabilitu trendu investic na českého trhu, když v rámci meziročního propadu o </w:t>
      </w:r>
      <w:smartTag w:uri="urn:schemas-microsoft-com:office:smarttags" w:element="metricconverter">
        <w:smartTagPr>
          <w:attr w:name="ProductID" w:val="2,4 mil"/>
        </w:smartTagPr>
        <w:r w:rsidRPr="002C224A">
          <w:t>2,4 mil</w:t>
        </w:r>
      </w:smartTag>
      <w:r w:rsidRPr="002C224A">
        <w:t>. EUR posílily rané fáze seed a startup a naopak značně oslabily investice later</w:t>
      </w:r>
      <w:r w:rsidR="00F34F41" w:rsidRPr="002C224A">
        <w:t xml:space="preserve"> </w:t>
      </w:r>
      <w:r w:rsidRPr="002C224A">
        <w:t>stage.</w:t>
      </w:r>
      <w:r w:rsidRPr="002C224A">
        <w:rPr>
          <w:b/>
        </w:rPr>
        <w:t xml:space="preserve"> I přes pokles objemu VC investic roste jejich počet. V letech 2013-2014 byl dle údajů CVCA téměř poloviční oproti ostatním segmentům PE.</w:t>
      </w:r>
    </w:p>
    <w:p w:rsidR="006D67F1" w:rsidRPr="002C224A" w:rsidRDefault="006D67F1" w:rsidP="00492C7A">
      <w:pPr>
        <w:rPr>
          <w:b/>
        </w:rPr>
      </w:pPr>
    </w:p>
    <w:p w:rsidR="006D67F1" w:rsidRPr="002C224A" w:rsidRDefault="006D67F1" w:rsidP="006F628A">
      <w:pPr>
        <w:rPr>
          <w:rFonts w:cs="Calibri"/>
          <w:szCs w:val="24"/>
        </w:rPr>
      </w:pPr>
      <w:r w:rsidRPr="002C224A">
        <w:t>Výrazné zaostávání VC segmentu v ČR je zřejmé zejména z komparativního pohledu.</w:t>
      </w:r>
      <w:r w:rsidR="00114587" w:rsidRPr="002C224A">
        <w:t xml:space="preserve"> </w:t>
      </w:r>
      <w:r w:rsidRPr="002C224A">
        <w:rPr>
          <w:b/>
        </w:rPr>
        <w:t xml:space="preserve">Podíl VC 5,7 % na objemu investic PE je hluboko pod evropskou úrovní 10,3 %, stejně jako pod úrovní regionu Střední a Východní Evropy (10,4 %). </w:t>
      </w:r>
      <w:r w:rsidRPr="002C224A">
        <w:t>Z dlouhodobého vývoje vyplývá</w:t>
      </w:r>
      <w:r w:rsidRPr="002C224A">
        <w:rPr>
          <w:rFonts w:cs="Calibri"/>
          <w:szCs w:val="24"/>
        </w:rPr>
        <w:t xml:space="preserve">, že </w:t>
      </w:r>
      <w:r w:rsidRPr="002C224A">
        <w:rPr>
          <w:rFonts w:cs="Calibri"/>
          <w:b/>
          <w:szCs w:val="24"/>
        </w:rPr>
        <w:t>v ČR chybí především investice v raných fázích – startup a seed.</w:t>
      </w:r>
    </w:p>
    <w:p w:rsidR="006D67F1" w:rsidRPr="002C224A" w:rsidRDefault="006D67F1" w:rsidP="00492C7A"/>
    <w:p w:rsidR="006D67F1" w:rsidRPr="002C224A" w:rsidRDefault="006D67F1" w:rsidP="00492C7A">
      <w:r w:rsidRPr="002C224A">
        <w:rPr>
          <w:b/>
        </w:rPr>
        <w:t>Uvedené závěry o malé investiční aktivitě v oblasti VC v ČR, a specificky early</w:t>
      </w:r>
      <w:r w:rsidR="00F34F41" w:rsidRPr="002C224A">
        <w:rPr>
          <w:b/>
        </w:rPr>
        <w:t xml:space="preserve"> </w:t>
      </w:r>
      <w:r w:rsidRPr="002C224A">
        <w:rPr>
          <w:b/>
        </w:rPr>
        <w:t xml:space="preserve">stage, lze činit i s vědomím relativního rozvoje v posledních letech, který není výše uvedenými statistikami zcela postižitelný. </w:t>
      </w:r>
      <w:r w:rsidRPr="002C224A">
        <w:t xml:space="preserve">Lze předpokládat, že významná část provedených transakcí ve fázi startup a především seed není ve statistikách CVCA a EVCA evidováno a pocházejí jednak ze strany fondů a investičních skupin mimo CVCA a jednak od tzv. </w:t>
      </w:r>
      <w:r w:rsidRPr="002C224A">
        <w:rPr>
          <w:b/>
        </w:rPr>
        <w:t>business angels (BA)</w:t>
      </w:r>
      <w:r w:rsidRPr="002C224A">
        <w:t>, tz</w:t>
      </w:r>
      <w:r w:rsidR="00114587" w:rsidRPr="002C224A">
        <w:t xml:space="preserve"> </w:t>
      </w:r>
      <w:r w:rsidRPr="002C224A">
        <w:t>.investorů specializovaných na early</w:t>
      </w:r>
      <w:r w:rsidR="00CF5519" w:rsidRPr="002C224A">
        <w:t xml:space="preserve"> </w:t>
      </w:r>
      <w:r w:rsidRPr="002C224A">
        <w:t xml:space="preserve">stage </w:t>
      </w:r>
      <w:r w:rsidRPr="002C224A">
        <w:lastRenderedPageBreak/>
        <w:t>podnik</w:t>
      </w:r>
      <w:r w:rsidR="00104620">
        <w:t>y</w:t>
      </w:r>
      <w:r w:rsidRPr="002C224A">
        <w:t xml:space="preserve">, kteří vystupují jako </w:t>
      </w:r>
      <w:r w:rsidR="00104620">
        <w:t>fyzické</w:t>
      </w:r>
      <w:r w:rsidR="00104620" w:rsidRPr="002C224A">
        <w:t xml:space="preserve"> </w:t>
      </w:r>
      <w:r w:rsidRPr="002C224A">
        <w:t>osoby.</w:t>
      </w:r>
      <w:r w:rsidR="00114587" w:rsidRPr="002C224A">
        <w:t xml:space="preserve"> </w:t>
      </w:r>
      <w:r w:rsidRPr="002C224A">
        <w:t>Právě BA jsou typicky aktivní v oblasti investic do podniků v nejranější fázi existence – seed.</w:t>
      </w:r>
    </w:p>
    <w:p w:rsidR="006D67F1" w:rsidRPr="002C224A" w:rsidRDefault="006D67F1" w:rsidP="00492C7A"/>
    <w:p w:rsidR="006D67F1" w:rsidRPr="002C224A" w:rsidRDefault="006D67F1" w:rsidP="00492C7A">
      <w:r w:rsidRPr="002C224A">
        <w:t xml:space="preserve">BA nejsou v ČR zastřešeni v žádné organizaci a jejich aktivita je tedy obtížně sledovatelná. </w:t>
      </w:r>
      <w:r w:rsidRPr="002C224A">
        <w:rPr>
          <w:rFonts w:cs="Calibri"/>
          <w:b/>
          <w:szCs w:val="24"/>
        </w:rPr>
        <w:t>Ve výzkumu EBAN (European Business Angel Network) se ČR aktuálně nachází na jednom z posledních míst v Evropě,</w:t>
      </w:r>
      <w:r w:rsidR="00114587" w:rsidRPr="002C224A">
        <w:rPr>
          <w:rFonts w:cs="Calibri"/>
          <w:b/>
          <w:szCs w:val="24"/>
        </w:rPr>
        <w:t xml:space="preserve"> </w:t>
      </w:r>
      <w:r w:rsidRPr="002C224A">
        <w:rPr>
          <w:rFonts w:cs="Calibri"/>
          <w:b/>
          <w:szCs w:val="24"/>
        </w:rPr>
        <w:t>dotazování expertů v průzkumu GEM 2013 nicméně naznačuje znatelné zlepšení oproti dřívější úrovni</w:t>
      </w:r>
      <w:r w:rsidRPr="002C224A">
        <w:rPr>
          <w:rFonts w:cs="Calibri"/>
          <w:szCs w:val="24"/>
        </w:rPr>
        <w:t>. Jedním z důvodů může být, že narůstá řada podnikatelů a bývalých vrcholových manažerů, kteří se posouvají v kariéře do úrovně, kde mají prostředky a čas se andělským financováním zabývat. V porovnání s dalšími evropskými zeměmi je však tato aktivita stále slabá a navíc nepříliš transparentní.</w:t>
      </w:r>
    </w:p>
    <w:p w:rsidR="006D67F1" w:rsidRPr="002C224A" w:rsidRDefault="006D67F1" w:rsidP="00974F99">
      <w:pPr>
        <w:rPr>
          <w:rFonts w:cs="Calibri"/>
          <w:szCs w:val="24"/>
        </w:rPr>
      </w:pPr>
    </w:p>
    <w:p w:rsidR="006D67F1" w:rsidRPr="002C224A" w:rsidRDefault="006D67F1" w:rsidP="00353930">
      <w:pPr>
        <w:rPr>
          <w:rFonts w:cs="Calibri"/>
          <w:szCs w:val="24"/>
        </w:rPr>
      </w:pPr>
      <w:r w:rsidRPr="002C224A">
        <w:rPr>
          <w:rFonts w:cs="Calibri"/>
          <w:szCs w:val="24"/>
        </w:rPr>
        <w:t>Podle průzkumu GEM 2013 poměrně velká část populace (8 %) v posledních třech letech finančně podpořila rozjezd podnikání někoho jiného. Dominantně se nicméně jedná o menší částky do100 000 Kč, které jsou většinou poskytnuty příbuzným, přátelům či kolegům. Pro sledovanou oblast nových inovativních MSP je tedy tento zdroj spíše zanedbatelný.</w:t>
      </w:r>
    </w:p>
    <w:p w:rsidR="006D67F1" w:rsidRPr="002C224A" w:rsidRDefault="006D67F1" w:rsidP="00492C7A">
      <w:pPr>
        <w:rPr>
          <w:rFonts w:cs="Calibri"/>
          <w:szCs w:val="24"/>
        </w:rPr>
      </w:pPr>
    </w:p>
    <w:p w:rsidR="006D67F1" w:rsidRPr="002C224A" w:rsidRDefault="006D67F1">
      <w:pPr>
        <w:rPr>
          <w:rFonts w:cs="Calibri"/>
          <w:szCs w:val="24"/>
        </w:rPr>
      </w:pPr>
      <w:r w:rsidRPr="002C224A">
        <w:rPr>
          <w:rFonts w:cs="Calibri"/>
          <w:b/>
          <w:szCs w:val="24"/>
        </w:rPr>
        <w:t xml:space="preserve">Jisté zlepšení v posledních letech je patrné i v oblasti fáze startup a aktivitách VC fondů a investičních skupin. </w:t>
      </w:r>
      <w:r w:rsidRPr="002C224A">
        <w:rPr>
          <w:rFonts w:cs="Calibri"/>
          <w:szCs w:val="24"/>
        </w:rPr>
        <w:t>V posledních letech zvolna počet aktivních VC fondů a investičních skupin roste, byť v rámci zaměření na fázi startup se jedná stále o několik málo příkladů.</w:t>
      </w:r>
      <w:r w:rsidR="00114587" w:rsidRPr="002C224A">
        <w:rPr>
          <w:rFonts w:cs="Calibri"/>
          <w:szCs w:val="24"/>
        </w:rPr>
        <w:t xml:space="preserve"> </w:t>
      </w:r>
      <w:r w:rsidRPr="002C224A">
        <w:rPr>
          <w:rFonts w:cs="Calibri"/>
          <w:b/>
          <w:szCs w:val="24"/>
        </w:rPr>
        <w:t>V evropském srovnání, a to i v kontextu regionu SVE, jsou však tyto aktivity stále velmi skromné a zdaleka nedosahují úrovně vyspělých zemí.</w:t>
      </w:r>
      <w:r w:rsidR="00114587" w:rsidRPr="002C224A">
        <w:rPr>
          <w:rFonts w:cs="Calibri"/>
          <w:b/>
          <w:szCs w:val="24"/>
        </w:rPr>
        <w:t xml:space="preserve"> </w:t>
      </w:r>
      <w:r w:rsidRPr="002C224A">
        <w:rPr>
          <w:rFonts w:cs="Calibri"/>
          <w:szCs w:val="24"/>
        </w:rPr>
        <w:t>Také průzkum GEM 2013 indikuje dle hodnocení oslovených expertů od roku 2011 jistý posun k lepšímu, nicméně dostupnost rizikového kapitálu je zde stále hodnocena jako spíše nedostatečná.</w:t>
      </w:r>
      <w:r w:rsidR="00114587" w:rsidRPr="002C224A">
        <w:rPr>
          <w:rFonts w:cs="Calibri"/>
          <w:szCs w:val="24"/>
        </w:rPr>
        <w:t xml:space="preserve"> </w:t>
      </w:r>
      <w:r w:rsidRPr="002C224A">
        <w:rPr>
          <w:rFonts w:cs="Calibri"/>
          <w:szCs w:val="24"/>
        </w:rPr>
        <w:t>Vzhledem k tomu, že trh PE v ČR mimo segmenty VC v kontextu regionu SVE poměrně silný, ukazuje to na nezájem investorů o tento konkrétní segment.</w:t>
      </w:r>
    </w:p>
    <w:p w:rsidR="006D67F1" w:rsidRPr="002C224A" w:rsidRDefault="006D67F1" w:rsidP="002E16DE"/>
    <w:p w:rsidR="006D67F1" w:rsidRPr="002C224A" w:rsidRDefault="006D67F1" w:rsidP="002E16DE">
      <w:r w:rsidRPr="002C224A">
        <w:t xml:space="preserve">Rozvíjejícím se alternativním zdrojem financování pro nové podnikatelské projekty je v současnosti i v ČR tzv. </w:t>
      </w:r>
      <w:r w:rsidRPr="002C224A">
        <w:rPr>
          <w:b/>
        </w:rPr>
        <w:t>crowdfunding.</w:t>
      </w:r>
      <w:r w:rsidRPr="002C224A">
        <w:t xml:space="preserve"> Jeho základním principem je získávání prostředků nikoli prostřednictvím velkých investorů, ale hromadným oslovením široké veřejnosti formou sbírky na realizaci projektu, zpravidla pomocí internetových platforem. Drobné vklady jsou zpravidla v nevratné formě, rozvíjet se však začínají i návratné varianty. Crowdfunding může být do budoucna zajímavou alternativou zejména pro menší kreativní podnikatelské projekty, v kontrastu s rizikovým kapitálem zde zatím rozvoj v ČR poměrně úzce následuje rozvoj v dalších vyspělých zemích.</w:t>
      </w:r>
    </w:p>
    <w:p w:rsidR="006D67F1" w:rsidRPr="002C224A" w:rsidRDefault="006D67F1" w:rsidP="00B21DA0">
      <w:pPr>
        <w:rPr>
          <w:rFonts w:cs="Calibri"/>
          <w:szCs w:val="24"/>
        </w:rPr>
      </w:pPr>
    </w:p>
    <w:p w:rsidR="006D67F1" w:rsidRPr="002C224A" w:rsidRDefault="006D67F1">
      <w:pPr>
        <w:pStyle w:val="Neslovannadpisy"/>
      </w:pPr>
      <w:r w:rsidRPr="002C224A">
        <w:t>Regionální srovnání</w:t>
      </w:r>
    </w:p>
    <w:p w:rsidR="006D67F1" w:rsidRPr="002C224A" w:rsidRDefault="006D67F1" w:rsidP="00EF28C3">
      <w:r w:rsidRPr="002C224A">
        <w:rPr>
          <w:rFonts w:cs="Calibri"/>
          <w:szCs w:val="24"/>
        </w:rPr>
        <w:t xml:space="preserve">Nedostatečný rozvoj rizikového kapitálu v ČR je nutné zasadit též do kontextu celkového vývoj PE a VC trhu v Evropě a specificky v SVE regionu. </w:t>
      </w:r>
      <w:r w:rsidRPr="002C224A">
        <w:t>Vážné škody na trhu PE způsobila finanční krize v roce 2009. Indikátory investic, fundraisingu a exitů se propadly o dvě třetiny oproti hodnotám let 2006-2008. Ještě výraznější byl tento propad v regionu SVE, kde pokračuje nevyrovnaný vývoj i v posledních letech.</w:t>
      </w:r>
      <w:r w:rsidRPr="002C224A">
        <w:rPr>
          <w:b/>
        </w:rPr>
        <w:t xml:space="preserve"> V roce 2013 se fundraising v SVE propadl meziročně o 37 %, na rozdíl od pozitivního vývoje v EU 15.</w:t>
      </w:r>
      <w:r w:rsidRPr="002C224A">
        <w:t xml:space="preserve"> Podíl SVE se tak propadl na pouhé 1 % fundraisingu v Evropě.</w:t>
      </w:r>
    </w:p>
    <w:p w:rsidR="006D67F1" w:rsidRPr="002C224A" w:rsidRDefault="006D67F1" w:rsidP="00EF28C3"/>
    <w:p w:rsidR="006D67F1" w:rsidRPr="002C224A" w:rsidRDefault="006D67F1" w:rsidP="00266F8F">
      <w:pPr>
        <w:rPr>
          <w:rFonts w:cs="Calibri"/>
          <w:szCs w:val="24"/>
        </w:rPr>
      </w:pPr>
      <w:r w:rsidRPr="002C224A">
        <w:t xml:space="preserve">V kontrastu s tím se fundraising v samotném VC v SVE v posledním období drží na relativně vysoké úrovni. </w:t>
      </w:r>
      <w:r w:rsidRPr="002C224A">
        <w:rPr>
          <w:b/>
        </w:rPr>
        <w:t>Největší podíl (48 % v roce 2013) na něm ale získávají vládní agentury</w:t>
      </w:r>
      <w:r w:rsidRPr="002C224A">
        <w:t>, počítaje v to i EBRD a EIF, které se během posledních let staly hlavními poskytovateli kapitálu.</w:t>
      </w:r>
      <w:r w:rsidR="00114587" w:rsidRPr="002C224A">
        <w:t xml:space="preserve"> </w:t>
      </w:r>
      <w:r w:rsidRPr="002C224A">
        <w:t xml:space="preserve">V roce 2012 získalo investici celkem 123 firem v celkové výši </w:t>
      </w:r>
      <w:smartTag w:uri="urn:schemas-microsoft-com:office:smarttags" w:element="metricconverter">
        <w:smartTagPr>
          <w:attr w:name="ProductID" w:val="103 mil"/>
        </w:smartTagPr>
        <w:r w:rsidRPr="002C224A">
          <w:t>103 mil</w:t>
        </w:r>
      </w:smartTag>
      <w:r w:rsidRPr="002C224A">
        <w:t xml:space="preserve">. EUR. Z těchto podniků bylo 74 % v rané fázi rozvoje. </w:t>
      </w:r>
      <w:r w:rsidRPr="002C224A">
        <w:rPr>
          <w:b/>
        </w:rPr>
        <w:t>V</w:t>
      </w:r>
      <w:r w:rsidRPr="002C224A">
        <w:rPr>
          <w:rFonts w:cs="Calibri"/>
          <w:b/>
          <w:szCs w:val="24"/>
        </w:rPr>
        <w:t xml:space="preserve"> letech 2007-2012 vzrostl podíl startup kapitálu v SVE na celkovém PE v procentním vyjádření (5,57 %) dokonce nad celoevropskou hodnotu 4,83 %. V České republice je to velmi skromných 1,35 %.</w:t>
      </w:r>
    </w:p>
    <w:p w:rsidR="006D67F1" w:rsidRPr="002C224A" w:rsidRDefault="006D67F1" w:rsidP="00266F8F"/>
    <w:p w:rsidR="006D67F1" w:rsidRPr="002C224A" w:rsidRDefault="006D67F1" w:rsidP="00EF28C3">
      <w:r w:rsidRPr="002C224A">
        <w:t xml:space="preserve">Tato čísla je nutné spojovat právě s vysokým fundraisingem veřejného sektoru, který se zaměřuje logicky především na pomoc začínajícím podnikatelům. Stát/region se obvykle snaží pomocí vlastní koinvestice (na úrovni fondu nebo projektu) získat soukromého investora rizikového kapitálu pro </w:t>
      </w:r>
      <w:r w:rsidRPr="002C224A">
        <w:lastRenderedPageBreak/>
        <w:t xml:space="preserve">začínající malý nebo střední podnik (MSP), a to např. prostřednictvím podílových fondů JEREMIE v Polsku, Maďarsku, na Slovensku nebo v Bulharsku. </w:t>
      </w:r>
    </w:p>
    <w:p w:rsidR="006D67F1" w:rsidRPr="002C224A" w:rsidRDefault="006D67F1" w:rsidP="00EF28C3"/>
    <w:p w:rsidR="006D67F1" w:rsidRPr="002C224A" w:rsidRDefault="006D67F1" w:rsidP="00EF28C3">
      <w:r w:rsidRPr="002C224A">
        <w:rPr>
          <w:b/>
        </w:rPr>
        <w:t>V České republice naopak není funkční podpora veřejného sektoru na trhu rizikového kapitálu, i to může být jeden z důvodů, proč Česká republika dosud nezachytila vlnu rozvoje rizikového kapitálu v SVE po roce 2009</w:t>
      </w:r>
      <w:r w:rsidRPr="002C224A">
        <w:t>.</w:t>
      </w:r>
    </w:p>
    <w:p w:rsidR="006D67F1" w:rsidRPr="002C224A" w:rsidRDefault="006D67F1" w:rsidP="00B21DA0"/>
    <w:p w:rsidR="0033265F" w:rsidRDefault="00AD4551" w:rsidP="00AD4551">
      <w:pPr>
        <w:pStyle w:val="Nadpis4"/>
        <w:rPr>
          <w:rFonts w:ascii="Calibri" w:hAnsi="Calibri"/>
        </w:rPr>
      </w:pPr>
      <w:r w:rsidRPr="002C224A">
        <w:rPr>
          <w:rFonts w:ascii="Calibri" w:hAnsi="Calibri"/>
        </w:rPr>
        <w:t xml:space="preserve">Dotazníkové šetření </w:t>
      </w:r>
    </w:p>
    <w:p w:rsidR="0033265F" w:rsidRDefault="0033265F" w:rsidP="00331BB7">
      <w:pPr>
        <w:pStyle w:val="Neslovannadpisy"/>
      </w:pPr>
      <w:r w:rsidRPr="002C224A">
        <w:t xml:space="preserve">Výsledky dotazníkového šetření </w:t>
      </w:r>
      <w:r>
        <w:t>MSP</w:t>
      </w:r>
    </w:p>
    <w:p w:rsidR="00CC255A" w:rsidRPr="002C224A" w:rsidRDefault="00CC255A" w:rsidP="00CC255A">
      <w:r w:rsidRPr="00A50943">
        <w:t>V rámci dotazní</w:t>
      </w:r>
      <w:r w:rsidRPr="002C224A">
        <w:t xml:space="preserve">kového šetření provedeného mezi více než 15 000 podnikatelskými subjekty byl obdržen počet 600 odpovědí malých a středních podniků se záměrem investovat do dlouhodobého majetku v příštích třech letech. </w:t>
      </w:r>
    </w:p>
    <w:p w:rsidR="00CC255A" w:rsidRPr="002C224A" w:rsidRDefault="00CC255A" w:rsidP="00CC255A"/>
    <w:p w:rsidR="00240E1D" w:rsidRPr="002C224A" w:rsidRDefault="00240E1D" w:rsidP="00240E1D">
      <w:pPr>
        <w:pStyle w:val="Titulek"/>
      </w:pPr>
      <w:r w:rsidRPr="002C224A">
        <w:t>Tabulka 1</w:t>
      </w:r>
      <w:r w:rsidR="00C4105E">
        <w:t>8</w:t>
      </w:r>
      <w:r w:rsidRPr="002C224A">
        <w:t>: skladba respondentů z hlediska velikosti podniku</w:t>
      </w:r>
    </w:p>
    <w:tbl>
      <w:tblPr>
        <w:tblW w:w="3310" w:type="dxa"/>
        <w:tblInd w:w="55" w:type="dxa"/>
        <w:tblCellMar>
          <w:left w:w="70" w:type="dxa"/>
          <w:right w:w="70" w:type="dxa"/>
        </w:tblCellMar>
        <w:tblLook w:val="00A0" w:firstRow="1" w:lastRow="0" w:firstColumn="1" w:lastColumn="0" w:noHBand="0" w:noVBand="0"/>
      </w:tblPr>
      <w:tblGrid>
        <w:gridCol w:w="1387"/>
        <w:gridCol w:w="963"/>
        <w:gridCol w:w="960"/>
      </w:tblGrid>
      <w:tr w:rsidR="00CC255A" w:rsidRPr="002C224A" w:rsidTr="001802B3">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Skladba respondentů z hlediska velikosti podniku</w:t>
            </w:r>
          </w:p>
        </w:tc>
        <w:tc>
          <w:tcPr>
            <w:tcW w:w="963"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1387"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malé podniky</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286</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47,7%</w:t>
            </w:r>
          </w:p>
        </w:tc>
      </w:tr>
      <w:tr w:rsidR="00CC255A" w:rsidRPr="002C224A" w:rsidTr="001802B3">
        <w:trPr>
          <w:trHeight w:val="255"/>
        </w:trPr>
        <w:tc>
          <w:tcPr>
            <w:tcW w:w="1387"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mikropodniky</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78</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13,0%</w:t>
            </w:r>
          </w:p>
        </w:tc>
      </w:tr>
      <w:tr w:rsidR="00CC255A" w:rsidRPr="002C224A" w:rsidTr="001802B3">
        <w:trPr>
          <w:trHeight w:val="255"/>
        </w:trPr>
        <w:tc>
          <w:tcPr>
            <w:tcW w:w="1387" w:type="dxa"/>
            <w:tcBorders>
              <w:top w:val="nil"/>
              <w:left w:val="single" w:sz="4" w:space="0" w:color="auto"/>
              <w:bottom w:val="single" w:sz="4" w:space="0" w:color="auto"/>
              <w:right w:val="single" w:sz="4" w:space="0" w:color="auto"/>
            </w:tcBorders>
            <w:noWrap/>
            <w:vAlign w:val="bottom"/>
          </w:tcPr>
          <w:p w:rsidR="00CC255A" w:rsidRPr="002C224A" w:rsidRDefault="00AD4551" w:rsidP="001802B3">
            <w:pPr>
              <w:overflowPunct/>
              <w:autoSpaceDE/>
              <w:autoSpaceDN/>
              <w:adjustRightInd/>
              <w:jc w:val="left"/>
              <w:textAlignment w:val="auto"/>
              <w:rPr>
                <w:rFonts w:cs="Arial"/>
                <w:sz w:val="20"/>
              </w:rPr>
            </w:pPr>
            <w:r w:rsidRPr="002C224A">
              <w:rPr>
                <w:rFonts w:cs="Arial"/>
                <w:sz w:val="20"/>
              </w:rPr>
              <w:t>S</w:t>
            </w:r>
            <w:r w:rsidR="00CC255A" w:rsidRPr="002C224A">
              <w:rPr>
                <w:rFonts w:cs="Arial"/>
                <w:sz w:val="20"/>
              </w:rPr>
              <w:t>třední podniky</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236</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39,3%</w:t>
            </w:r>
          </w:p>
        </w:tc>
      </w:tr>
      <w:tr w:rsidR="00CC255A" w:rsidRPr="002C224A" w:rsidTr="001802B3">
        <w:trPr>
          <w:trHeight w:val="255"/>
        </w:trPr>
        <w:tc>
          <w:tcPr>
            <w:tcW w:w="1387"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600</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r w:rsidRPr="002C224A">
        <w:t>Přes 60 % respondentů s plánem na investice do vlastního tvořily malé podniky a mikropodniky.</w:t>
      </w:r>
    </w:p>
    <w:p w:rsidR="00240E1D" w:rsidRPr="002C224A" w:rsidRDefault="00240E1D" w:rsidP="00CC255A"/>
    <w:p w:rsidR="00CC255A" w:rsidRPr="002C224A" w:rsidRDefault="00240E1D" w:rsidP="00240E1D">
      <w:pPr>
        <w:pStyle w:val="Titulek"/>
      </w:pPr>
      <w:r w:rsidRPr="002C224A">
        <w:t>Tabulka 1</w:t>
      </w:r>
      <w:r w:rsidR="00C4105E">
        <w:t>9</w:t>
      </w:r>
      <w:r w:rsidRPr="002C224A">
        <w:t>: fáze podnikání</w:t>
      </w:r>
    </w:p>
    <w:tbl>
      <w:tblPr>
        <w:tblW w:w="5745" w:type="dxa"/>
        <w:tblInd w:w="55" w:type="dxa"/>
        <w:tblCellMar>
          <w:left w:w="70" w:type="dxa"/>
          <w:right w:w="70" w:type="dxa"/>
        </w:tblCellMar>
        <w:tblLook w:val="00A0" w:firstRow="1" w:lastRow="0" w:firstColumn="1" w:lastColumn="0" w:noHBand="0" w:noVBand="0"/>
      </w:tblPr>
      <w:tblGrid>
        <w:gridCol w:w="3822"/>
        <w:gridCol w:w="963"/>
        <w:gridCol w:w="960"/>
      </w:tblGrid>
      <w:tr w:rsidR="00CC255A" w:rsidRPr="002C224A" w:rsidTr="001802B3">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382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18</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w:t>
            </w:r>
          </w:p>
        </w:tc>
      </w:tr>
      <w:tr w:rsidR="00CC255A" w:rsidRPr="002C224A" w:rsidTr="001802B3">
        <w:trPr>
          <w:trHeight w:val="255"/>
        </w:trPr>
        <w:tc>
          <w:tcPr>
            <w:tcW w:w="382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Růstová fáze (expansion)</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440</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73,6%</w:t>
            </w:r>
          </w:p>
        </w:tc>
      </w:tr>
      <w:tr w:rsidR="00CC255A" w:rsidRPr="002C224A" w:rsidTr="001802B3">
        <w:trPr>
          <w:trHeight w:val="255"/>
        </w:trPr>
        <w:tc>
          <w:tcPr>
            <w:tcW w:w="382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91</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15,2%</w:t>
            </w:r>
          </w:p>
        </w:tc>
      </w:tr>
      <w:tr w:rsidR="00CC255A" w:rsidRPr="002C224A" w:rsidTr="001802B3">
        <w:trPr>
          <w:trHeight w:val="255"/>
        </w:trPr>
        <w:tc>
          <w:tcPr>
            <w:tcW w:w="382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Obnovení aktivit (redeployment)</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49</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8,2%</w:t>
            </w:r>
          </w:p>
        </w:tc>
      </w:tr>
      <w:tr w:rsidR="00CC255A" w:rsidRPr="002C224A" w:rsidTr="001802B3">
        <w:trPr>
          <w:trHeight w:val="255"/>
        </w:trPr>
        <w:tc>
          <w:tcPr>
            <w:tcW w:w="3822"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598</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240E1D" w:rsidRPr="002C224A" w:rsidRDefault="00CC255A" w:rsidP="00CC255A">
      <w:r w:rsidRPr="002C224A">
        <w:t>Jednalo se zejména o zavedené společnosti s mediánem stáří 19 let, nejčastěji svou fázi zařadily do fáze růstu, a to v 73,6 % případů. Naopak podíl podniků v počátečních fázích byl velmi malý, nicméně pro tuto skupinu podnikatelů bylo provedeno zvláštní dotazníkové šetření.</w:t>
      </w:r>
    </w:p>
    <w:p w:rsidR="00CC255A" w:rsidRPr="002C224A" w:rsidRDefault="00240E1D" w:rsidP="00240E1D">
      <w:pPr>
        <w:pStyle w:val="Titulek"/>
      </w:pPr>
      <w:r w:rsidRPr="002C224A">
        <w:t xml:space="preserve">Tabulka </w:t>
      </w:r>
      <w:r w:rsidR="00C4105E">
        <w:t>20</w:t>
      </w:r>
      <w:r w:rsidRPr="002C224A">
        <w:t>: investice MSP</w:t>
      </w:r>
    </w:p>
    <w:tbl>
      <w:tblPr>
        <w:tblW w:w="7473" w:type="dxa"/>
        <w:tblInd w:w="55" w:type="dxa"/>
        <w:tblCellMar>
          <w:left w:w="70" w:type="dxa"/>
          <w:right w:w="70" w:type="dxa"/>
        </w:tblCellMar>
        <w:tblLook w:val="00A0" w:firstRow="1" w:lastRow="0" w:firstColumn="1" w:lastColumn="0" w:noHBand="0" w:noVBand="0"/>
      </w:tblPr>
      <w:tblGrid>
        <w:gridCol w:w="4255"/>
        <w:gridCol w:w="1298"/>
        <w:gridCol w:w="960"/>
        <w:gridCol w:w="960"/>
      </w:tblGrid>
      <w:tr w:rsidR="00CC255A" w:rsidRPr="002C224A" w:rsidTr="001802B3">
        <w:trPr>
          <w:trHeight w:val="255"/>
        </w:trPr>
        <w:tc>
          <w:tcPr>
            <w:tcW w:w="4255"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Investice MSP</w:t>
            </w:r>
          </w:p>
        </w:tc>
        <w:tc>
          <w:tcPr>
            <w:tcW w:w="1298"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4255" w:type="dxa"/>
            <w:vMerge w:val="restart"/>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Investice v posledních třech letech</w:t>
            </w:r>
          </w:p>
        </w:tc>
        <w:tc>
          <w:tcPr>
            <w:tcW w:w="12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230</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38,5%</w:t>
            </w:r>
          </w:p>
        </w:tc>
      </w:tr>
      <w:tr w:rsidR="00CC255A" w:rsidRPr="002C224A" w:rsidTr="001802B3">
        <w:trPr>
          <w:trHeight w:val="255"/>
        </w:trPr>
        <w:tc>
          <w:tcPr>
            <w:tcW w:w="4255"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209</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35,0%</w:t>
            </w:r>
          </w:p>
        </w:tc>
      </w:tr>
      <w:tr w:rsidR="00CC255A" w:rsidRPr="002C224A" w:rsidTr="001802B3">
        <w:trPr>
          <w:trHeight w:val="255"/>
        </w:trPr>
        <w:tc>
          <w:tcPr>
            <w:tcW w:w="4255"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158</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26,5%</w:t>
            </w:r>
          </w:p>
        </w:tc>
      </w:tr>
      <w:tr w:rsidR="00CC255A" w:rsidRPr="002C224A" w:rsidTr="001802B3">
        <w:trPr>
          <w:trHeight w:val="255"/>
        </w:trPr>
        <w:tc>
          <w:tcPr>
            <w:tcW w:w="4255" w:type="dxa"/>
            <w:tcBorders>
              <w:top w:val="nil"/>
              <w:left w:val="nil"/>
              <w:bottom w:val="single" w:sz="4" w:space="0" w:color="auto"/>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single" w:sz="4" w:space="0" w:color="auto"/>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597</w:t>
            </w:r>
          </w:p>
        </w:tc>
        <w:tc>
          <w:tcPr>
            <w:tcW w:w="960" w:type="dxa"/>
            <w:tcBorders>
              <w:top w:val="nil"/>
              <w:left w:val="nil"/>
              <w:bottom w:val="single" w:sz="4" w:space="0" w:color="auto"/>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c>
          <w:tcPr>
            <w:tcW w:w="960" w:type="dxa"/>
            <w:tcBorders>
              <w:top w:val="nil"/>
              <w:left w:val="nil"/>
              <w:bottom w:val="single" w:sz="4" w:space="0" w:color="auto"/>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r>
      <w:tr w:rsidR="00CC255A" w:rsidRPr="002C224A" w:rsidTr="001802B3">
        <w:trPr>
          <w:trHeight w:val="255"/>
        </w:trPr>
        <w:tc>
          <w:tcPr>
            <w:tcW w:w="4255" w:type="dxa"/>
            <w:vMerge w:val="restart"/>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xml:space="preserve">Plánované investice MSP v příštích třech letech </w:t>
            </w:r>
          </w:p>
        </w:tc>
        <w:tc>
          <w:tcPr>
            <w:tcW w:w="12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386</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64,0%</w:t>
            </w:r>
          </w:p>
        </w:tc>
      </w:tr>
      <w:tr w:rsidR="00CC255A" w:rsidRPr="002C224A" w:rsidTr="001802B3">
        <w:trPr>
          <w:trHeight w:val="255"/>
        </w:trPr>
        <w:tc>
          <w:tcPr>
            <w:tcW w:w="4255"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159</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26,4%</w:t>
            </w:r>
          </w:p>
        </w:tc>
      </w:tr>
      <w:tr w:rsidR="00CC255A" w:rsidRPr="002C224A" w:rsidTr="001802B3">
        <w:trPr>
          <w:trHeight w:val="255"/>
        </w:trPr>
        <w:tc>
          <w:tcPr>
            <w:tcW w:w="4255"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58</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9,6%</w:t>
            </w:r>
          </w:p>
        </w:tc>
      </w:tr>
      <w:tr w:rsidR="00CC255A" w:rsidRPr="002C224A" w:rsidTr="001802B3">
        <w:trPr>
          <w:trHeight w:val="255"/>
        </w:trPr>
        <w:tc>
          <w:tcPr>
            <w:tcW w:w="4255"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603</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p w:rsidR="00CC255A" w:rsidRPr="002C224A" w:rsidRDefault="00CC255A" w:rsidP="00CC255A">
      <w:r w:rsidRPr="002C224A">
        <w:t xml:space="preserve">Dotazované firmy se dívají do budoucnosti spíše skepticky z hlediska rozsahu svých plánovaných investic – zatímco investice v posledních třech letech byly rozloženy téměř rovnoměrně do </w:t>
      </w:r>
      <w:r w:rsidRPr="002C224A">
        <w:lastRenderedPageBreak/>
        <w:t xml:space="preserve">stanovených pásem 0-10/10-30/30+ mil. Kč, v případě plánovaných investic v příštích třech letech jich 64 % plánuje investovat méně než </w:t>
      </w:r>
      <w:smartTag w:uri="urn:schemas-microsoft-com:office:smarttags" w:element="metricconverter">
        <w:smartTagPr>
          <w:attr w:name="ProductID" w:val="10 mil"/>
        </w:smartTagPr>
        <w:r w:rsidRPr="002C224A">
          <w:t>10 mil</w:t>
        </w:r>
      </w:smartTag>
      <w:r w:rsidRPr="002C224A">
        <w:t>. Kč.</w:t>
      </w:r>
    </w:p>
    <w:p w:rsidR="00CC255A" w:rsidRPr="002C224A" w:rsidRDefault="00CC255A" w:rsidP="00CC255A"/>
    <w:p w:rsidR="00240E1D" w:rsidRPr="002C224A" w:rsidRDefault="00240E1D" w:rsidP="00240E1D">
      <w:pPr>
        <w:pStyle w:val="Titulek"/>
      </w:pPr>
      <w:r w:rsidRPr="002C224A">
        <w:t xml:space="preserve">Tabulka </w:t>
      </w:r>
      <w:r w:rsidR="00C4105E">
        <w:t>21</w:t>
      </w:r>
      <w:r w:rsidRPr="002C224A">
        <w:t>: odhadovaná doba návratnosti plánovaných investic</w:t>
      </w:r>
    </w:p>
    <w:tbl>
      <w:tblPr>
        <w:tblW w:w="5085" w:type="dxa"/>
        <w:tblInd w:w="55" w:type="dxa"/>
        <w:tblCellMar>
          <w:left w:w="70" w:type="dxa"/>
          <w:right w:w="70" w:type="dxa"/>
        </w:tblCellMar>
        <w:tblLook w:val="00A0" w:firstRow="1" w:lastRow="0" w:firstColumn="1" w:lastColumn="0" w:noHBand="0" w:noVBand="0"/>
      </w:tblPr>
      <w:tblGrid>
        <w:gridCol w:w="3165"/>
        <w:gridCol w:w="960"/>
        <w:gridCol w:w="960"/>
      </w:tblGrid>
      <w:tr w:rsidR="00CC255A" w:rsidRPr="002C224A" w:rsidTr="001802B3">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Odhadovaná doba návratnosti plánovaných investic</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3165"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Návratnost v horizontu 1-3 roky</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91</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15,6%</w:t>
            </w:r>
          </w:p>
        </w:tc>
      </w:tr>
      <w:tr w:rsidR="00CC255A" w:rsidRPr="002C224A" w:rsidTr="001802B3">
        <w:trPr>
          <w:trHeight w:val="255"/>
        </w:trPr>
        <w:tc>
          <w:tcPr>
            <w:tcW w:w="3165"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Návratnost v horizontu 3-5 let</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333</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57,0%</w:t>
            </w:r>
          </w:p>
        </w:tc>
      </w:tr>
      <w:tr w:rsidR="00CC255A" w:rsidRPr="002C224A" w:rsidTr="001802B3">
        <w:trPr>
          <w:trHeight w:val="255"/>
        </w:trPr>
        <w:tc>
          <w:tcPr>
            <w:tcW w:w="3165"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Návratnost v horizontu 5-10 let</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152</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26,0%</w:t>
            </w:r>
          </w:p>
        </w:tc>
      </w:tr>
      <w:tr w:rsidR="00CC255A" w:rsidRPr="002C224A" w:rsidTr="001802B3">
        <w:trPr>
          <w:trHeight w:val="255"/>
        </w:trPr>
        <w:tc>
          <w:tcPr>
            <w:tcW w:w="3165"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Návratnost v horizontu 10 let a více</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1,4%</w:t>
            </w:r>
          </w:p>
        </w:tc>
      </w:tr>
      <w:tr w:rsidR="00CC255A" w:rsidRPr="002C224A" w:rsidTr="001802B3">
        <w:trPr>
          <w:trHeight w:val="255"/>
        </w:trPr>
        <w:tc>
          <w:tcPr>
            <w:tcW w:w="3165" w:type="dxa"/>
            <w:tcBorders>
              <w:top w:val="nil"/>
              <w:left w:val="nil"/>
              <w:bottom w:val="nil"/>
              <w:right w:val="nil"/>
            </w:tcBorders>
            <w:noWrap/>
            <w:vAlign w:val="bottom"/>
          </w:tcPr>
          <w:p w:rsidR="00CC255A" w:rsidRPr="002C224A" w:rsidRDefault="00AD4551" w:rsidP="001802B3">
            <w:pPr>
              <w:overflowPunct/>
              <w:autoSpaceDE/>
              <w:autoSpaceDN/>
              <w:adjustRightInd/>
              <w:jc w:val="right"/>
              <w:textAlignment w:val="auto"/>
              <w:rPr>
                <w:rFonts w:cs="Arial"/>
                <w:sz w:val="20"/>
              </w:rPr>
            </w:pPr>
            <w:r w:rsidRPr="002C224A">
              <w:rPr>
                <w:rFonts w:cs="Arial"/>
                <w:sz w:val="20"/>
              </w:rPr>
              <w:t>N</w:t>
            </w:r>
            <w:r w:rsidR="00CC255A" w:rsidRPr="002C224A">
              <w:rPr>
                <w:rFonts w:cs="Arial"/>
                <w:sz w:val="20"/>
              </w:rPr>
              <w:t>=</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584</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p w:rsidR="00CC255A" w:rsidRPr="002C224A" w:rsidRDefault="00CC255A" w:rsidP="00CC255A">
      <w:r w:rsidRPr="002C224A">
        <w:t>Může to částečně souviset s dobou návratnosti, kdy 27,4 % malých a středních podniků uvedlo, že očekávají návratnost plánovaných investic delší než 5 let.</w:t>
      </w:r>
    </w:p>
    <w:p w:rsidR="00CC255A" w:rsidRPr="002C224A" w:rsidRDefault="00CC255A" w:rsidP="00CC255A"/>
    <w:p w:rsidR="00CC255A" w:rsidRPr="002C224A" w:rsidRDefault="00CC255A" w:rsidP="00CC255A">
      <w:pPr>
        <w:pStyle w:val="Titulek"/>
        <w:keepNext/>
      </w:pPr>
      <w:r w:rsidRPr="002C224A">
        <w:t xml:space="preserve">Obrázek </w:t>
      </w:r>
      <w:r w:rsidR="00646277">
        <w:t>15</w:t>
      </w:r>
      <w:r w:rsidRPr="002C224A">
        <w:t xml:space="preserve">: Očekávaná doba návratnosti plánovaných investic MSP </w:t>
      </w:r>
    </w:p>
    <w:p w:rsidR="00CC255A" w:rsidRPr="00A50943" w:rsidRDefault="007A3F34" w:rsidP="00CC255A">
      <w:r w:rsidRPr="00A50943">
        <w:rPr>
          <w:noProof/>
        </w:rPr>
        <w:drawing>
          <wp:inline distT="0" distB="0" distL="0" distR="0" wp14:anchorId="5B87309B" wp14:editId="6C60850B">
            <wp:extent cx="5391150" cy="3505200"/>
            <wp:effectExtent l="0" t="0" r="0" b="0"/>
            <wp:docPr id="40" name="obráze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255A" w:rsidRPr="002C224A" w:rsidRDefault="00CC255A" w:rsidP="00CC255A"/>
    <w:p w:rsidR="00CC255A" w:rsidRPr="002C224A" w:rsidRDefault="00CC255A" w:rsidP="00CC255A">
      <w:r w:rsidRPr="002C224A">
        <w:t>Následující tabulka podrobně mapuje dostupnost financování pro tyto podniky v období posledních tří let.</w:t>
      </w:r>
    </w:p>
    <w:p w:rsidR="00240E1D" w:rsidRPr="002C224A" w:rsidRDefault="00240E1D" w:rsidP="00CC255A"/>
    <w:p w:rsidR="00CC255A" w:rsidRPr="002C224A" w:rsidRDefault="00240E1D" w:rsidP="00240E1D">
      <w:pPr>
        <w:pStyle w:val="Titulek"/>
      </w:pPr>
      <w:r w:rsidRPr="002C224A">
        <w:t>Tabulka 2</w:t>
      </w:r>
      <w:r w:rsidR="00C4105E">
        <w:t>2</w:t>
      </w:r>
      <w:r w:rsidRPr="002C224A">
        <w:t xml:space="preserve">: dostupnost financování pro investice </w:t>
      </w:r>
    </w:p>
    <w:tbl>
      <w:tblPr>
        <w:tblW w:w="8662" w:type="dxa"/>
        <w:tblInd w:w="55" w:type="dxa"/>
        <w:tblCellMar>
          <w:left w:w="70" w:type="dxa"/>
          <w:right w:w="70" w:type="dxa"/>
        </w:tblCellMar>
        <w:tblLook w:val="00A0" w:firstRow="1" w:lastRow="0" w:firstColumn="1" w:lastColumn="0" w:noHBand="0" w:noVBand="0"/>
      </w:tblPr>
      <w:tblGrid>
        <w:gridCol w:w="3543"/>
        <w:gridCol w:w="919"/>
        <w:gridCol w:w="1649"/>
        <w:gridCol w:w="1134"/>
        <w:gridCol w:w="1417"/>
      </w:tblGrid>
      <w:tr w:rsidR="00CC255A" w:rsidRPr="002C224A" w:rsidTr="001802B3">
        <w:trPr>
          <w:trHeight w:val="255"/>
        </w:trPr>
        <w:tc>
          <w:tcPr>
            <w:tcW w:w="8662" w:type="dxa"/>
            <w:gridSpan w:val="5"/>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Úspěšný</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Neúspěšný nebo částečně úspěšný</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Celkem</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 neúspěšných</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Krátkodobé půjčky</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350</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361</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Dlouhodobé a střednědobé půjčky</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343</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24</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367</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6,5%</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Záruky</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98</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107</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8,4%</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Dotace nebo jiná veřejná podpora</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375</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405</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7,4%</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Rizikový kapitál</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33,3%</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Private equity</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7</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12,5%</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Mezzaninové financování</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25,0%</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Firemní dluhopisy</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0,0%</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lastRenderedPageBreak/>
              <w:t>Mikropůjčky</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100,0%</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Leasing</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255</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257</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0,8%</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Faktoring</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49</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55</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10,9%</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Emise akcií na veřejně obchodovaném trhu</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N/A</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Rodina, přátelé a známí</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65</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67</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w:t>
            </w:r>
          </w:p>
        </w:tc>
      </w:tr>
      <w:tr w:rsidR="00CC255A" w:rsidRPr="002C224A" w:rsidTr="001802B3">
        <w:trPr>
          <w:trHeight w:val="255"/>
        </w:trPr>
        <w:tc>
          <w:tcPr>
            <w:tcW w:w="3543"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Vlastní zdroje financování</w:t>
            </w:r>
          </w:p>
        </w:tc>
        <w:tc>
          <w:tcPr>
            <w:tcW w:w="91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336</w:t>
            </w:r>
          </w:p>
        </w:tc>
        <w:tc>
          <w:tcPr>
            <w:tcW w:w="1649"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337</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0,3%</w:t>
            </w:r>
          </w:p>
        </w:tc>
      </w:tr>
    </w:tbl>
    <w:p w:rsidR="00CC255A" w:rsidRPr="002C224A" w:rsidRDefault="00CC255A" w:rsidP="00CC255A"/>
    <w:p w:rsidR="00CC255A" w:rsidRPr="002C224A" w:rsidRDefault="00CC255A" w:rsidP="00CC255A">
      <w:r w:rsidRPr="002C224A">
        <w:t>Malé a střední podniky, které v příštích třech letech chtějí investovat, dosud usilovaly zejména o financování prostřednictvím půjček, kde jejich úspěšnost dosahovala v případě středně a dlouhodobých úvěrů 93,5 %, což je překvapivě dobrý výsledek s ohledem na převažující podíl malých podniků mezi respondenty. Nejlépe dostupným běžným zdrojem financování byl opět leasing s podílem neúspěšných žadatelů o financování pod jedno procento. Naopak nejsložitější přístup zaznamenaly malé a střední firmy k rizikovému kapitálu a dalším alternativním formám financování (private equity, veřejná emise akcií, korporátní dluhopisy, mikropůjčky včetně crowdfundingu a P2P lendingu), o tyto formy financování zároveň vykazovaly zájem jen velmi zřídka. S ohledem na vyšší počet respondentů zároveň odpovídaly na tyto formy financování ještě méně často než podniky, které hodlají v příštích třech letech investovat do VaVaI</w:t>
      </w:r>
      <w:r w:rsidR="00E92262" w:rsidRPr="002C224A">
        <w:t xml:space="preserve"> – opět s ohledem na převažující charakter MSP s podnikatelskou historií, které alternativní zdroje financování zpravidla nevyužívají.</w:t>
      </w:r>
    </w:p>
    <w:p w:rsidR="00240E1D" w:rsidRPr="002C224A" w:rsidRDefault="00240E1D" w:rsidP="00CC255A"/>
    <w:p w:rsidR="00CC255A" w:rsidRPr="002C224A" w:rsidRDefault="00240E1D" w:rsidP="00240E1D">
      <w:pPr>
        <w:pStyle w:val="Titulek"/>
      </w:pPr>
      <w:r w:rsidRPr="002C224A">
        <w:t>Tabulka 2</w:t>
      </w:r>
      <w:r w:rsidR="00C4105E">
        <w:t>3</w:t>
      </w:r>
      <w:r w:rsidRPr="002C224A">
        <w:t>: dostupnost financování pro investice</w:t>
      </w:r>
    </w:p>
    <w:tbl>
      <w:tblPr>
        <w:tblW w:w="9436" w:type="dxa"/>
        <w:tblInd w:w="55" w:type="dxa"/>
        <w:tblCellMar>
          <w:left w:w="70" w:type="dxa"/>
          <w:right w:w="70" w:type="dxa"/>
        </w:tblCellMar>
        <w:tblLook w:val="00A0" w:firstRow="1" w:lastRow="0" w:firstColumn="1" w:lastColumn="0" w:noHBand="0" w:noVBand="0"/>
      </w:tblPr>
      <w:tblGrid>
        <w:gridCol w:w="7840"/>
        <w:gridCol w:w="902"/>
        <w:gridCol w:w="798"/>
      </w:tblGrid>
      <w:tr w:rsidR="00CC255A" w:rsidRPr="002C224A" w:rsidTr="001802B3">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c>
          <w:tcPr>
            <w:tcW w:w="798"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798"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7840"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Bezproblémová – zdroje získáváme poměrně rychle a jednoduše, jednání bývají efektivní a úspěšná</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254</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45,6%</w:t>
            </w:r>
          </w:p>
        </w:tc>
      </w:tr>
      <w:tr w:rsidR="00CC255A" w:rsidRPr="002C224A" w:rsidTr="001802B3">
        <w:trPr>
          <w:trHeight w:val="255"/>
        </w:trPr>
        <w:tc>
          <w:tcPr>
            <w:tcW w:w="7840"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S menšími problémy – informací je dostatek a lze nalézt financující subjekt po vícekolovém vyjednávání</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133</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23,9%</w:t>
            </w:r>
          </w:p>
        </w:tc>
      </w:tr>
      <w:tr w:rsidR="00CC255A" w:rsidRPr="002C224A" w:rsidTr="001802B3">
        <w:trPr>
          <w:trHeight w:val="255"/>
        </w:trPr>
        <w:tc>
          <w:tcPr>
            <w:tcW w:w="7840"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Dostupnost je pouze dobrá – finanční zdroje zde jsou, ale je obtížně možné je získat</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92</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16,5%</w:t>
            </w:r>
          </w:p>
        </w:tc>
      </w:tr>
      <w:tr w:rsidR="00CC255A" w:rsidRPr="002C224A" w:rsidTr="001802B3">
        <w:trPr>
          <w:trHeight w:val="255"/>
        </w:trPr>
        <w:tc>
          <w:tcPr>
            <w:tcW w:w="7840"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Dostupnost je špatná – existuje informační bariéra, banky mají velké požadavky na hodnotu zástavy, apod.</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78</w:t>
            </w:r>
          </w:p>
        </w:tc>
        <w:tc>
          <w:tcPr>
            <w:tcW w:w="798"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14,0%</w:t>
            </w:r>
          </w:p>
        </w:tc>
      </w:tr>
      <w:tr w:rsidR="00CC255A" w:rsidRPr="002C224A" w:rsidTr="001802B3">
        <w:trPr>
          <w:trHeight w:val="255"/>
        </w:trPr>
        <w:tc>
          <w:tcPr>
            <w:tcW w:w="7840"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798"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557</w:t>
            </w:r>
          </w:p>
        </w:tc>
        <w:tc>
          <w:tcPr>
            <w:tcW w:w="798"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r w:rsidRPr="002C224A">
        <w:t>Celkově proto respondenti hodnotili svůj přístup k financování jako ztížený v 30,5 % případů. Malé a střední firmy tedy mají obecně velmi dobrý přístup k bankovním úvěrům, ty ale např. nejsou poskytovány v plné výši nebo obsahují těžko splnitelné podmínky.</w:t>
      </w:r>
    </w:p>
    <w:p w:rsidR="00CC255A" w:rsidRPr="002C224A" w:rsidRDefault="00CC255A" w:rsidP="00CC255A"/>
    <w:p w:rsidR="00CC255A" w:rsidRPr="002C224A" w:rsidRDefault="00CC255A" w:rsidP="00CC255A">
      <w:pPr>
        <w:pStyle w:val="Titulek"/>
        <w:keepNext/>
      </w:pPr>
      <w:r w:rsidRPr="002C224A">
        <w:t>Obrázek</w:t>
      </w:r>
      <w:r w:rsidR="00646277">
        <w:rPr>
          <w:noProof/>
        </w:rPr>
        <w:t xml:space="preserve"> 16</w:t>
      </w:r>
      <w:r w:rsidRPr="002C224A">
        <w:t>: Dostupnost financování pro investice MSP v posledních třech letech</w:t>
      </w:r>
    </w:p>
    <w:p w:rsidR="00CC255A" w:rsidRPr="00A50943" w:rsidRDefault="007A3F34" w:rsidP="00CC255A">
      <w:r w:rsidRPr="00A50943">
        <w:rPr>
          <w:noProof/>
        </w:rPr>
        <w:drawing>
          <wp:inline distT="0" distB="0" distL="0" distR="0" wp14:anchorId="4DDCF5ED" wp14:editId="30D3538D">
            <wp:extent cx="4819650" cy="2581275"/>
            <wp:effectExtent l="0" t="0" r="0" b="9525"/>
            <wp:docPr id="41" name="obráze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255A" w:rsidRPr="002C224A" w:rsidRDefault="00CC255A" w:rsidP="00CC255A"/>
    <w:p w:rsidR="00CC255A" w:rsidRPr="002C224A" w:rsidRDefault="00CC255A" w:rsidP="00CC255A">
      <w:r w:rsidRPr="002C224A">
        <w:lastRenderedPageBreak/>
        <w:t xml:space="preserve">Další data uvádíme již jen za MSP, které uvedly, že mají ztížený přístup k financování. </w:t>
      </w:r>
    </w:p>
    <w:p w:rsidR="00240E1D" w:rsidRPr="002C224A" w:rsidRDefault="00240E1D" w:rsidP="00CC255A"/>
    <w:p w:rsidR="00240E1D" w:rsidRPr="002C224A" w:rsidRDefault="00240E1D" w:rsidP="00240E1D">
      <w:pPr>
        <w:pStyle w:val="Titulek"/>
      </w:pPr>
      <w:r w:rsidRPr="002C224A">
        <w:t>Tabulka 2</w:t>
      </w:r>
      <w:r w:rsidR="00C4105E">
        <w:t>4</w:t>
      </w:r>
      <w:r w:rsidRPr="002C224A">
        <w:t>: důvody zhoršeného přístupu financování</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CC255A" w:rsidRPr="002C224A" w:rsidTr="001802B3">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2966"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50</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29,4%</w:t>
            </w:r>
          </w:p>
        </w:tc>
      </w:tr>
      <w:tr w:rsidR="00CC255A" w:rsidRPr="002C224A" w:rsidTr="001802B3">
        <w:trPr>
          <w:trHeight w:val="255"/>
        </w:trPr>
        <w:tc>
          <w:tcPr>
            <w:tcW w:w="2966"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50</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29,4%</w:t>
            </w:r>
          </w:p>
        </w:tc>
      </w:tr>
      <w:tr w:rsidR="00CC255A" w:rsidRPr="002C224A" w:rsidTr="001802B3">
        <w:trPr>
          <w:trHeight w:val="255"/>
        </w:trPr>
        <w:tc>
          <w:tcPr>
            <w:tcW w:w="2966"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87</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51,2%</w:t>
            </w:r>
          </w:p>
        </w:tc>
      </w:tr>
      <w:tr w:rsidR="00CC255A" w:rsidRPr="002C224A" w:rsidTr="001802B3">
        <w:trPr>
          <w:trHeight w:val="255"/>
        </w:trPr>
        <w:tc>
          <w:tcPr>
            <w:tcW w:w="2966"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59</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34,7%</w:t>
            </w:r>
          </w:p>
        </w:tc>
      </w:tr>
      <w:tr w:rsidR="00CC255A" w:rsidRPr="002C224A" w:rsidTr="001802B3">
        <w:trPr>
          <w:trHeight w:val="255"/>
        </w:trPr>
        <w:tc>
          <w:tcPr>
            <w:tcW w:w="2966"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32</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18,8%</w:t>
            </w:r>
          </w:p>
        </w:tc>
      </w:tr>
      <w:tr w:rsidR="00CC255A" w:rsidRPr="002C224A" w:rsidTr="001802B3">
        <w:trPr>
          <w:trHeight w:val="255"/>
        </w:trPr>
        <w:tc>
          <w:tcPr>
            <w:tcW w:w="2966"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23</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13,5%</w:t>
            </w:r>
          </w:p>
        </w:tc>
      </w:tr>
      <w:tr w:rsidR="00CC255A" w:rsidRPr="002C224A" w:rsidTr="001802B3">
        <w:trPr>
          <w:trHeight w:val="255"/>
        </w:trPr>
        <w:tc>
          <w:tcPr>
            <w:tcW w:w="2966"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170</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p w:rsidR="00CC255A" w:rsidRPr="002C224A" w:rsidRDefault="00CC255A" w:rsidP="00CC255A">
      <w:r w:rsidRPr="002C224A">
        <w:t>Mezi hlavní důvody ztíženého přístupu k financování uvedli respondenti zejména krátkou podnikatelskou historii a možnosti zajištění. Tyto důvody spolu typicky při získávání financování MSP úzce souvisí. Začínající společnosti mají většinou mnohem nižší hodnotu investičního majetku než je jejich potřeba investic pro další rozvoj, zvláště v případě firem investujících do inovací a VaV.</w:t>
      </w:r>
    </w:p>
    <w:p w:rsidR="00CC255A" w:rsidRPr="002C224A" w:rsidRDefault="00CC255A" w:rsidP="00CC255A">
      <w:r w:rsidRPr="002C224A">
        <w:t xml:space="preserve"> </w:t>
      </w:r>
    </w:p>
    <w:p w:rsidR="00CC255A" w:rsidRPr="002C224A" w:rsidRDefault="00CC255A" w:rsidP="00CC255A">
      <w:r w:rsidRPr="002C224A">
        <w:t>Aby mohly být společnosti se ztíženým přístupem k financování identifikovány pro možnou absorpční kapacitu finančního nástroje, měly by zároveň být dle metodiky EK životaschopné. Za neživotaschopné považujeme pro účely tohoto předběžného posouzení společnosti, které jako důvod ztíženého přístupu k financování uvedly vysokou zadluženost nebo nízký ekonomický potenciál projektu.</w:t>
      </w:r>
    </w:p>
    <w:p w:rsidR="00240E1D" w:rsidRPr="002C224A" w:rsidRDefault="00240E1D" w:rsidP="00CC255A"/>
    <w:p w:rsidR="00CC255A" w:rsidRPr="002C224A" w:rsidRDefault="00240E1D" w:rsidP="00240E1D">
      <w:pPr>
        <w:pStyle w:val="Titulek"/>
      </w:pPr>
      <w:r w:rsidRPr="002C224A">
        <w:t>Tabulka 2</w:t>
      </w:r>
      <w:r w:rsidR="00C4105E">
        <w:t>5</w:t>
      </w:r>
      <w:r w:rsidRPr="002C224A">
        <w:t>: ekonomicky životaschopné projekty se zhoršeným přístupem k financování</w:t>
      </w:r>
    </w:p>
    <w:tbl>
      <w:tblPr>
        <w:tblW w:w="8520" w:type="dxa"/>
        <w:tblInd w:w="55" w:type="dxa"/>
        <w:tblCellMar>
          <w:left w:w="70" w:type="dxa"/>
          <w:right w:w="70" w:type="dxa"/>
        </w:tblCellMar>
        <w:tblLook w:val="00A0" w:firstRow="1" w:lastRow="0" w:firstColumn="1" w:lastColumn="0" w:noHBand="0" w:noVBand="0"/>
      </w:tblPr>
      <w:tblGrid>
        <w:gridCol w:w="4268"/>
        <w:gridCol w:w="2835"/>
        <w:gridCol w:w="1417"/>
      </w:tblGrid>
      <w:tr w:rsidR="00CC255A" w:rsidRPr="002C224A" w:rsidTr="001802B3">
        <w:trPr>
          <w:trHeight w:val="255"/>
        </w:trPr>
        <w:tc>
          <w:tcPr>
            <w:tcW w:w="7103" w:type="dxa"/>
            <w:gridSpan w:val="2"/>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rPr>
                <w:rFonts w:cs="Arial"/>
                <w:b/>
                <w:bCs/>
                <w:sz w:val="20"/>
              </w:rPr>
            </w:pPr>
            <w:r w:rsidRPr="002C224A">
              <w:rPr>
                <w:rFonts w:cs="Arial"/>
                <w:b/>
                <w:bCs/>
                <w:sz w:val="20"/>
              </w:rPr>
              <w:t>Potenciálně ekonomicky životaschopné projekty se zhoršeným přístupem k financování</w:t>
            </w:r>
          </w:p>
        </w:tc>
        <w:tc>
          <w:tcPr>
            <w:tcW w:w="1417"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rPr>
                <w:rFonts w:cs="Arial"/>
                <w:sz w:val="20"/>
              </w:rPr>
            </w:pPr>
            <w:r w:rsidRPr="002C224A">
              <w:rPr>
                <w:rFonts w:cs="Arial"/>
                <w:sz w:val="20"/>
              </w:rPr>
              <w:t>Podíl</w:t>
            </w:r>
          </w:p>
        </w:tc>
      </w:tr>
      <w:tr w:rsidR="00CC255A" w:rsidRPr="002C224A" w:rsidTr="001802B3">
        <w:trPr>
          <w:trHeight w:val="255"/>
        </w:trPr>
        <w:tc>
          <w:tcPr>
            <w:tcW w:w="7103" w:type="dxa"/>
            <w:gridSpan w:val="2"/>
            <w:tcBorders>
              <w:top w:val="nil"/>
              <w:left w:val="single" w:sz="4" w:space="0" w:color="auto"/>
              <w:bottom w:val="single" w:sz="4" w:space="0" w:color="auto"/>
              <w:right w:val="single" w:sz="4" w:space="0" w:color="auto"/>
            </w:tcBorders>
            <w:noWrap/>
            <w:vAlign w:val="bottom"/>
          </w:tcPr>
          <w:p w:rsidR="00CC255A" w:rsidRPr="002C224A" w:rsidRDefault="00CC255A" w:rsidP="0074622E">
            <w:pPr>
              <w:rPr>
                <w:rFonts w:cs="Arial"/>
                <w:sz w:val="20"/>
              </w:rPr>
            </w:pPr>
            <w:r w:rsidRPr="002C224A">
              <w:rPr>
                <w:rFonts w:cs="Arial"/>
                <w:sz w:val="20"/>
              </w:rPr>
              <w:t xml:space="preserve">Podíl na podnicích plánujících investice do </w:t>
            </w:r>
            <w:r w:rsidR="00D94E0F" w:rsidRPr="002C224A">
              <w:rPr>
                <w:rFonts w:cs="Arial"/>
                <w:sz w:val="20"/>
              </w:rPr>
              <w:t xml:space="preserve">rozvoje </w:t>
            </w:r>
            <w:r w:rsidRPr="002C224A">
              <w:rPr>
                <w:rFonts w:cs="Arial"/>
                <w:sz w:val="20"/>
              </w:rPr>
              <w:t>v příštích třech letech</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jc w:val="right"/>
              <w:rPr>
                <w:rFonts w:cs="Arial"/>
                <w:sz w:val="20"/>
              </w:rPr>
            </w:pPr>
            <w:r w:rsidRPr="002C224A">
              <w:rPr>
                <w:rFonts w:cs="Arial"/>
                <w:sz w:val="20"/>
              </w:rPr>
              <w:t>21,2%</w:t>
            </w:r>
          </w:p>
        </w:tc>
      </w:tr>
      <w:tr w:rsidR="00CC255A" w:rsidRPr="002C224A" w:rsidTr="001802B3">
        <w:trPr>
          <w:trHeight w:val="255"/>
        </w:trPr>
        <w:tc>
          <w:tcPr>
            <w:tcW w:w="7103" w:type="dxa"/>
            <w:gridSpan w:val="2"/>
            <w:tcBorders>
              <w:top w:val="nil"/>
              <w:left w:val="single" w:sz="4" w:space="0" w:color="auto"/>
              <w:bottom w:val="single" w:sz="4" w:space="0" w:color="auto"/>
              <w:right w:val="single" w:sz="4" w:space="0" w:color="auto"/>
            </w:tcBorders>
            <w:noWrap/>
            <w:vAlign w:val="bottom"/>
          </w:tcPr>
          <w:p w:rsidR="00CC255A" w:rsidRPr="002C224A" w:rsidRDefault="00CC255A" w:rsidP="001802B3">
            <w:pPr>
              <w:rPr>
                <w:rFonts w:cs="Arial"/>
                <w:sz w:val="20"/>
              </w:rPr>
            </w:pPr>
            <w:r w:rsidRPr="002C224A">
              <w:rPr>
                <w:rFonts w:cs="Arial"/>
                <w:sz w:val="20"/>
              </w:rPr>
              <w:t>Podíl na projektech se zhoršeným přístupem k financování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jc w:val="right"/>
              <w:rPr>
                <w:rFonts w:cs="Arial"/>
                <w:sz w:val="20"/>
              </w:rPr>
            </w:pPr>
            <w:r w:rsidRPr="002C224A">
              <w:rPr>
                <w:rFonts w:cs="Arial"/>
                <w:sz w:val="20"/>
              </w:rPr>
              <w:t>75,3%</w:t>
            </w:r>
          </w:p>
        </w:tc>
      </w:tr>
      <w:tr w:rsidR="00CC255A" w:rsidRPr="002C224A" w:rsidTr="001802B3">
        <w:trPr>
          <w:trHeight w:val="255"/>
        </w:trPr>
        <w:tc>
          <w:tcPr>
            <w:tcW w:w="4268" w:type="dxa"/>
            <w:vMerge w:val="restart"/>
            <w:tcBorders>
              <w:top w:val="nil"/>
              <w:left w:val="single" w:sz="4" w:space="0" w:color="auto"/>
              <w:bottom w:val="single" w:sz="4" w:space="0" w:color="auto"/>
              <w:right w:val="single" w:sz="4" w:space="0" w:color="auto"/>
            </w:tcBorders>
            <w:noWrap/>
            <w:vAlign w:val="center"/>
          </w:tcPr>
          <w:p w:rsidR="00CC255A" w:rsidRPr="002C224A" w:rsidRDefault="00CC255A" w:rsidP="001802B3">
            <w:pPr>
              <w:jc w:val="left"/>
              <w:rPr>
                <w:rFonts w:cs="Arial"/>
                <w:sz w:val="20"/>
              </w:rPr>
            </w:pPr>
            <w:r w:rsidRPr="002C224A">
              <w:rPr>
                <w:rFonts w:cs="Arial"/>
                <w:sz w:val="20"/>
              </w:rPr>
              <w:t>Hlavní identifikované bariéry</w:t>
            </w:r>
          </w:p>
        </w:tc>
        <w:tc>
          <w:tcPr>
            <w:tcW w:w="2835" w:type="dxa"/>
            <w:tcBorders>
              <w:top w:val="nil"/>
              <w:left w:val="nil"/>
              <w:bottom w:val="single" w:sz="4" w:space="0" w:color="auto"/>
              <w:right w:val="single" w:sz="4" w:space="0" w:color="auto"/>
            </w:tcBorders>
            <w:noWrap/>
            <w:vAlign w:val="bottom"/>
          </w:tcPr>
          <w:p w:rsidR="00CC255A" w:rsidRPr="002C224A" w:rsidRDefault="00CC255A" w:rsidP="001802B3">
            <w:pPr>
              <w:rPr>
                <w:rFonts w:cs="Arial"/>
                <w:sz w:val="20"/>
              </w:rPr>
            </w:pPr>
            <w:r w:rsidRPr="002C224A">
              <w:rPr>
                <w:rFonts w:cs="Arial"/>
                <w:sz w:val="20"/>
              </w:rPr>
              <w:t>Dlouhá doba návratnosti projektu</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jc w:val="right"/>
              <w:rPr>
                <w:rFonts w:cs="Arial"/>
                <w:sz w:val="20"/>
              </w:rPr>
            </w:pPr>
            <w:r w:rsidRPr="002C224A">
              <w:rPr>
                <w:rFonts w:cs="Arial"/>
                <w:sz w:val="20"/>
              </w:rPr>
              <w:t>39,1%</w:t>
            </w:r>
          </w:p>
        </w:tc>
      </w:tr>
      <w:tr w:rsidR="00CC255A" w:rsidRPr="002C224A" w:rsidTr="001802B3">
        <w:trPr>
          <w:trHeight w:val="255"/>
        </w:trPr>
        <w:tc>
          <w:tcPr>
            <w:tcW w:w="4268"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rPr>
                <w:rFonts w:cs="Arial"/>
                <w:sz w:val="20"/>
              </w:rPr>
            </w:pPr>
          </w:p>
        </w:tc>
        <w:tc>
          <w:tcPr>
            <w:tcW w:w="2835" w:type="dxa"/>
            <w:tcBorders>
              <w:top w:val="nil"/>
              <w:left w:val="nil"/>
              <w:bottom w:val="single" w:sz="4" w:space="0" w:color="auto"/>
              <w:right w:val="single" w:sz="4" w:space="0" w:color="auto"/>
            </w:tcBorders>
            <w:noWrap/>
            <w:vAlign w:val="bottom"/>
          </w:tcPr>
          <w:p w:rsidR="00CC255A" w:rsidRPr="002C224A" w:rsidRDefault="00CC255A" w:rsidP="001802B3">
            <w:pPr>
              <w:rPr>
                <w:rFonts w:cs="Arial"/>
                <w:sz w:val="20"/>
              </w:rPr>
            </w:pPr>
            <w:r w:rsidRPr="002C224A">
              <w:rPr>
                <w:rFonts w:cs="Arial"/>
                <w:sz w:val="20"/>
              </w:rPr>
              <w:t>Krátká podnikatelská historie</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jc w:val="right"/>
              <w:rPr>
                <w:rFonts w:cs="Arial"/>
                <w:sz w:val="20"/>
              </w:rPr>
            </w:pPr>
            <w:r w:rsidRPr="002C224A">
              <w:rPr>
                <w:rFonts w:cs="Arial"/>
                <w:sz w:val="20"/>
              </w:rPr>
              <w:t>39,1%</w:t>
            </w:r>
          </w:p>
        </w:tc>
      </w:tr>
      <w:tr w:rsidR="00CC255A" w:rsidRPr="002C224A" w:rsidTr="001802B3">
        <w:trPr>
          <w:trHeight w:val="255"/>
        </w:trPr>
        <w:tc>
          <w:tcPr>
            <w:tcW w:w="4268"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rPr>
                <w:rFonts w:cs="Arial"/>
                <w:sz w:val="20"/>
              </w:rPr>
            </w:pPr>
          </w:p>
        </w:tc>
        <w:tc>
          <w:tcPr>
            <w:tcW w:w="2835" w:type="dxa"/>
            <w:tcBorders>
              <w:top w:val="nil"/>
              <w:left w:val="nil"/>
              <w:bottom w:val="single" w:sz="4" w:space="0" w:color="auto"/>
              <w:right w:val="single" w:sz="4" w:space="0" w:color="auto"/>
            </w:tcBorders>
            <w:noWrap/>
            <w:vAlign w:val="bottom"/>
          </w:tcPr>
          <w:p w:rsidR="00CC255A" w:rsidRPr="002C224A" w:rsidRDefault="00CC255A" w:rsidP="001802B3">
            <w:pPr>
              <w:rPr>
                <w:rFonts w:cs="Arial"/>
                <w:sz w:val="20"/>
              </w:rPr>
            </w:pPr>
            <w:r w:rsidRPr="002C224A">
              <w:rPr>
                <w:rFonts w:cs="Arial"/>
                <w:sz w:val="20"/>
              </w:rPr>
              <w:t>Možnosti zajištění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jc w:val="right"/>
              <w:rPr>
                <w:rFonts w:cs="Arial"/>
                <w:sz w:val="20"/>
              </w:rPr>
            </w:pPr>
            <w:r w:rsidRPr="002C224A">
              <w:rPr>
                <w:rFonts w:cs="Arial"/>
                <w:sz w:val="20"/>
              </w:rPr>
              <w:t>68,0%</w:t>
            </w:r>
          </w:p>
        </w:tc>
      </w:tr>
      <w:tr w:rsidR="00CC255A" w:rsidRPr="002C224A" w:rsidTr="001802B3">
        <w:trPr>
          <w:trHeight w:val="255"/>
        </w:trPr>
        <w:tc>
          <w:tcPr>
            <w:tcW w:w="4268" w:type="dxa"/>
            <w:vMerge/>
            <w:tcBorders>
              <w:top w:val="nil"/>
              <w:left w:val="single" w:sz="4" w:space="0" w:color="auto"/>
              <w:bottom w:val="single" w:sz="4" w:space="0" w:color="auto"/>
              <w:right w:val="single" w:sz="4" w:space="0" w:color="auto"/>
            </w:tcBorders>
            <w:vAlign w:val="center"/>
          </w:tcPr>
          <w:p w:rsidR="00CC255A" w:rsidRPr="002C224A" w:rsidRDefault="00CC255A" w:rsidP="001802B3">
            <w:pPr>
              <w:rPr>
                <w:rFonts w:cs="Arial"/>
                <w:sz w:val="20"/>
              </w:rPr>
            </w:pPr>
          </w:p>
        </w:tc>
        <w:tc>
          <w:tcPr>
            <w:tcW w:w="2835" w:type="dxa"/>
            <w:tcBorders>
              <w:top w:val="nil"/>
              <w:left w:val="nil"/>
              <w:bottom w:val="single" w:sz="4" w:space="0" w:color="auto"/>
              <w:right w:val="single" w:sz="4" w:space="0" w:color="auto"/>
            </w:tcBorders>
            <w:noWrap/>
            <w:vAlign w:val="bottom"/>
          </w:tcPr>
          <w:p w:rsidR="00CC255A" w:rsidRPr="002C224A" w:rsidRDefault="00CC255A" w:rsidP="001802B3">
            <w:pPr>
              <w:rPr>
                <w:rFonts w:cs="Arial"/>
                <w:sz w:val="20"/>
              </w:rPr>
            </w:pPr>
            <w:r w:rsidRPr="002C224A">
              <w:rPr>
                <w:rFonts w:cs="Arial"/>
                <w:sz w:val="20"/>
              </w:rPr>
              <w:t>Finanční náklady</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jc w:val="right"/>
              <w:rPr>
                <w:rFonts w:cs="Arial"/>
                <w:sz w:val="20"/>
              </w:rPr>
            </w:pPr>
            <w:r w:rsidRPr="002C224A">
              <w:rPr>
                <w:rFonts w:cs="Arial"/>
                <w:sz w:val="20"/>
              </w:rPr>
              <w:t>46,1%</w:t>
            </w:r>
          </w:p>
        </w:tc>
      </w:tr>
      <w:tr w:rsidR="00CC255A" w:rsidRPr="002C224A" w:rsidTr="001802B3">
        <w:trPr>
          <w:trHeight w:val="255"/>
        </w:trPr>
        <w:tc>
          <w:tcPr>
            <w:tcW w:w="4268" w:type="dxa"/>
            <w:tcBorders>
              <w:top w:val="nil"/>
              <w:left w:val="nil"/>
              <w:bottom w:val="nil"/>
              <w:right w:val="nil"/>
            </w:tcBorders>
            <w:noWrap/>
            <w:vAlign w:val="bottom"/>
          </w:tcPr>
          <w:p w:rsidR="00CC255A" w:rsidRPr="002C224A" w:rsidRDefault="00CC255A" w:rsidP="001802B3">
            <w:pPr>
              <w:jc w:val="right"/>
              <w:rPr>
                <w:rFonts w:cs="Arial"/>
                <w:sz w:val="20"/>
              </w:rPr>
            </w:pPr>
            <w:r w:rsidRPr="002C224A">
              <w:rPr>
                <w:rFonts w:cs="Arial"/>
                <w:sz w:val="20"/>
              </w:rPr>
              <w:t>n=</w:t>
            </w:r>
          </w:p>
        </w:tc>
        <w:tc>
          <w:tcPr>
            <w:tcW w:w="2835" w:type="dxa"/>
            <w:tcBorders>
              <w:top w:val="nil"/>
              <w:left w:val="nil"/>
              <w:bottom w:val="nil"/>
              <w:right w:val="nil"/>
            </w:tcBorders>
            <w:noWrap/>
            <w:vAlign w:val="bottom"/>
          </w:tcPr>
          <w:p w:rsidR="00CC255A" w:rsidRPr="002C224A" w:rsidRDefault="00CC255A" w:rsidP="001802B3">
            <w:pPr>
              <w:rPr>
                <w:rFonts w:cs="Arial"/>
                <w:sz w:val="20"/>
              </w:rPr>
            </w:pPr>
            <w:r w:rsidRPr="002C224A">
              <w:rPr>
                <w:rFonts w:cs="Arial"/>
                <w:sz w:val="20"/>
              </w:rPr>
              <w:t>128</w:t>
            </w:r>
          </w:p>
        </w:tc>
        <w:tc>
          <w:tcPr>
            <w:tcW w:w="1417" w:type="dxa"/>
            <w:tcBorders>
              <w:top w:val="nil"/>
              <w:left w:val="nil"/>
              <w:bottom w:val="nil"/>
              <w:right w:val="nil"/>
            </w:tcBorders>
            <w:noWrap/>
            <w:vAlign w:val="bottom"/>
          </w:tcPr>
          <w:p w:rsidR="00CC255A" w:rsidRPr="002C224A" w:rsidRDefault="00CC255A" w:rsidP="001802B3">
            <w:pPr>
              <w:rPr>
                <w:rFonts w:cs="Arial"/>
                <w:sz w:val="20"/>
              </w:rPr>
            </w:pPr>
          </w:p>
        </w:tc>
      </w:tr>
    </w:tbl>
    <w:p w:rsidR="00CC255A" w:rsidRPr="002C224A" w:rsidRDefault="00CC255A" w:rsidP="00CC255A">
      <w:pPr>
        <w:rPr>
          <w:b/>
        </w:rPr>
      </w:pPr>
    </w:p>
    <w:p w:rsidR="00CC255A" w:rsidRPr="002C224A" w:rsidRDefault="00CC255A" w:rsidP="00CC255A">
      <w:r w:rsidRPr="002C224A">
        <w:rPr>
          <w:b/>
        </w:rPr>
        <w:t>Celkový podíl potenciálně životaschopných firem se ztíženým přístupem financování na počtu respondentů tvořil 21,2 %.</w:t>
      </w:r>
      <w:r w:rsidRPr="002C224A">
        <w:t xml:space="preserve"> Více než 68 % z nich uvedlo, že jejich hlavním problémem jsou omezené možnosti zajištění. Řešením této suboptimální investiční situace proto může být zejména záruční finanční nástroj, s ohledem na vysoké zastoupení. Okolo 40 % firem rovněž uvedlo potíže s dlouhou dobou návratnosti projektu, což lze řešit např. zvýhodněným úvěrem s prodlouženou dobou splatnosti a odkladem splátek jistiny. Přes 46 % respondentů zároveň považuje za bariéru financování též finanční náklady, což lze řešit kombinací finančních nástrojů se subvencí úrokové sazby. Zlepšení přístupu k financování podniků s krátkou podnikatelskou historii lze řešit zejména prostřednictvím záruk, v případě technologických firem též prostřednictvím rizikového kapitálu.</w:t>
      </w:r>
    </w:p>
    <w:p w:rsidR="00CC255A" w:rsidRPr="002C224A" w:rsidRDefault="00CC255A" w:rsidP="00CC255A"/>
    <w:p w:rsidR="00CC255A" w:rsidRPr="002C224A" w:rsidRDefault="00CC255A" w:rsidP="00CC255A">
      <w:pPr>
        <w:pStyle w:val="Titulek"/>
        <w:keepNext/>
      </w:pPr>
      <w:r w:rsidRPr="002C224A">
        <w:lastRenderedPageBreak/>
        <w:t xml:space="preserve">Obrázek </w:t>
      </w:r>
      <w:r w:rsidR="008F5D1D">
        <w:fldChar w:fldCharType="begin"/>
      </w:r>
      <w:r w:rsidR="008F5D1D">
        <w:instrText xml:space="preserve"> SEQ Obrázek \* ARABIC </w:instrText>
      </w:r>
      <w:r w:rsidR="008F5D1D">
        <w:fldChar w:fldCharType="separate"/>
      </w:r>
      <w:r w:rsidR="005A25ED">
        <w:rPr>
          <w:noProof/>
        </w:rPr>
        <w:t>1</w:t>
      </w:r>
      <w:r w:rsidR="008F5D1D">
        <w:rPr>
          <w:noProof/>
        </w:rPr>
        <w:fldChar w:fldCharType="end"/>
      </w:r>
      <w:r w:rsidR="00646277">
        <w:rPr>
          <w:noProof/>
        </w:rPr>
        <w:t>7</w:t>
      </w:r>
      <w:r w:rsidRPr="002C224A">
        <w:t>: Ekonomicky životaschopné podniky se zhoršeným přístupem k financování a specifikace hlavních důvodů ztíženého přístupu (bylo možné uvést více odpovědí)</w:t>
      </w:r>
    </w:p>
    <w:p w:rsidR="00CC255A" w:rsidRPr="00A50943" w:rsidRDefault="007A3F34" w:rsidP="00CC255A">
      <w:pPr>
        <w:rPr>
          <w:sz w:val="24"/>
        </w:rPr>
      </w:pPr>
      <w:r w:rsidRPr="00A50943">
        <w:rPr>
          <w:noProof/>
        </w:rPr>
        <w:drawing>
          <wp:inline distT="0" distB="0" distL="0" distR="0" wp14:anchorId="36390285" wp14:editId="442267EE">
            <wp:extent cx="5076825" cy="2714625"/>
            <wp:effectExtent l="0" t="0" r="9525" b="9525"/>
            <wp:docPr id="42" name="obráze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255A" w:rsidRPr="002C224A" w:rsidRDefault="00CC255A" w:rsidP="00CC255A">
      <w:pPr>
        <w:rPr>
          <w:sz w:val="24"/>
        </w:rPr>
      </w:pPr>
    </w:p>
    <w:p w:rsidR="00CC255A" w:rsidRPr="002C224A" w:rsidRDefault="00CC255A" w:rsidP="00CC255A">
      <w:r w:rsidRPr="002C224A">
        <w:t>Tyto závěry korelují též s odpověďmi respondentů ohledně preferované formy podpory – nejčastěji malé a střední podniky uváděly získání zvýhodněné úrokové sazby, úhradu úroků za komerční úvěr, zajištění ručení za úvěr a navýšení úvěrového financování. Podniky by také uvítaly snížení administrativních bariér při získávání financování, a to ve více než 45 % případů.</w:t>
      </w:r>
    </w:p>
    <w:p w:rsidR="00240E1D" w:rsidRPr="002C224A" w:rsidRDefault="00240E1D" w:rsidP="00CC255A"/>
    <w:p w:rsidR="00CC255A" w:rsidRPr="002C224A" w:rsidRDefault="00240E1D" w:rsidP="00240E1D">
      <w:pPr>
        <w:pStyle w:val="Titulek"/>
      </w:pPr>
      <w:r w:rsidRPr="002C224A">
        <w:t>Tabulka 2</w:t>
      </w:r>
      <w:r w:rsidR="00C4105E">
        <w:t>6</w:t>
      </w:r>
      <w:r w:rsidRPr="002C224A">
        <w:t>: preferované formy podpory</w:t>
      </w:r>
    </w:p>
    <w:tbl>
      <w:tblPr>
        <w:tblW w:w="7528" w:type="dxa"/>
        <w:tblInd w:w="55" w:type="dxa"/>
        <w:tblCellMar>
          <w:left w:w="70" w:type="dxa"/>
          <w:right w:w="70" w:type="dxa"/>
        </w:tblCellMar>
        <w:tblLook w:val="00A0" w:firstRow="1" w:lastRow="0" w:firstColumn="1" w:lastColumn="0" w:noHBand="0" w:noVBand="0"/>
      </w:tblPr>
      <w:tblGrid>
        <w:gridCol w:w="5402"/>
        <w:gridCol w:w="992"/>
        <w:gridCol w:w="1134"/>
      </w:tblGrid>
      <w:tr w:rsidR="00CC255A" w:rsidRPr="002C224A" w:rsidTr="001802B3">
        <w:trPr>
          <w:trHeight w:val="255"/>
        </w:trPr>
        <w:tc>
          <w:tcPr>
            <w:tcW w:w="5402"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Preferované formy podpory</w:t>
            </w:r>
          </w:p>
        </w:tc>
        <w:tc>
          <w:tcPr>
            <w:tcW w:w="992"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1134"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Zajištění ručení za úvěr</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60</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46,9%</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Navýšení úvěrového financování na projekt</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32,0%</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Úhrada úroků hrazených za komerční úvěr</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60</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46,9%</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Získání zvýhodněné úrokové sazby</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68</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53,1%</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Prodloužení doby splatnosti úvěru</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28</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21,9%</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Odklad splátek úvěru</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28</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21,9%</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Odpuštění několika posledních splátek úvěru</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37</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28,9%</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Získání prostředků od investora</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16,4%</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Zlepšení informovanosti o dostupných zdrojích financování</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21</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16,4%</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Snížení administrativní bariéry při získávání financování</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58</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45,3%</w:t>
            </w:r>
          </w:p>
        </w:tc>
      </w:tr>
      <w:tr w:rsidR="00CC255A" w:rsidRPr="002C224A" w:rsidTr="001802B3">
        <w:trPr>
          <w:trHeight w:val="255"/>
        </w:trPr>
        <w:tc>
          <w:tcPr>
            <w:tcW w:w="5402"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Pomoc při přípravě projektu (např. business plán nebo specializované poradenství: financování zpracování projektové dokumentace, energetického auditu apod.)</w:t>
            </w:r>
          </w:p>
        </w:tc>
        <w:tc>
          <w:tcPr>
            <w:tcW w:w="992"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37</w:t>
            </w:r>
          </w:p>
        </w:tc>
        <w:tc>
          <w:tcPr>
            <w:tcW w:w="1134"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28,9%</w:t>
            </w:r>
          </w:p>
        </w:tc>
      </w:tr>
      <w:tr w:rsidR="00CC255A" w:rsidRPr="002C224A" w:rsidTr="001802B3">
        <w:trPr>
          <w:trHeight w:val="255"/>
        </w:trPr>
        <w:tc>
          <w:tcPr>
            <w:tcW w:w="5402"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992"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128</w:t>
            </w:r>
          </w:p>
        </w:tc>
        <w:tc>
          <w:tcPr>
            <w:tcW w:w="1134"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pPr>
        <w:rPr>
          <w:sz w:val="24"/>
        </w:rPr>
      </w:pPr>
    </w:p>
    <w:p w:rsidR="00CC255A" w:rsidRPr="002C224A" w:rsidRDefault="00CC255A" w:rsidP="00CC255A">
      <w:pPr>
        <w:rPr>
          <w:szCs w:val="22"/>
        </w:rPr>
      </w:pPr>
      <w:r w:rsidRPr="002C224A">
        <w:rPr>
          <w:szCs w:val="22"/>
        </w:rPr>
        <w:t>Na konci dotazníku byla uvedena otázka týkající se vnímaných překážek a rizik spojených s malým a středním podnikáním. Z odpovědí je zřejmé, že jde především o potíže spojené s poptávkou po jejich produktech (všeobecná hospodářská situace, zvýšená konkurence apod.), nicméně podniky věří ve zlepšení ekonomické situace v příštích třech letech. Za druhý největší problém považují limitovanou dostupnost vhodných lidských zdrojů, v této oblasti ovšem očekávají do budoucna zlepšení. V horizontu 3-5 let také očekávají, že významným rizikem zůstane růst ceny práce. Obávají se dále např. zhoršení své relativní technologické pozice.</w:t>
      </w:r>
    </w:p>
    <w:p w:rsidR="00240E1D" w:rsidRPr="002C224A" w:rsidRDefault="00240E1D" w:rsidP="00CC255A">
      <w:pPr>
        <w:rPr>
          <w:szCs w:val="22"/>
        </w:rPr>
      </w:pPr>
    </w:p>
    <w:p w:rsidR="00240E1D" w:rsidRPr="002C224A" w:rsidRDefault="00240E1D" w:rsidP="00CC255A">
      <w:pPr>
        <w:rPr>
          <w:szCs w:val="22"/>
        </w:rPr>
      </w:pPr>
    </w:p>
    <w:p w:rsidR="00240E1D" w:rsidRPr="002C224A" w:rsidRDefault="00240E1D" w:rsidP="00CC255A">
      <w:pPr>
        <w:rPr>
          <w:szCs w:val="22"/>
        </w:rPr>
      </w:pPr>
    </w:p>
    <w:p w:rsidR="00240E1D" w:rsidRPr="002C224A" w:rsidRDefault="00240E1D" w:rsidP="00CC255A">
      <w:pPr>
        <w:rPr>
          <w:szCs w:val="22"/>
        </w:rPr>
      </w:pPr>
    </w:p>
    <w:p w:rsidR="00CC255A" w:rsidRPr="002C224A" w:rsidRDefault="00240E1D" w:rsidP="00240E1D">
      <w:pPr>
        <w:pStyle w:val="Titulek"/>
      </w:pPr>
      <w:r w:rsidRPr="002C224A">
        <w:t>Tabulka 2</w:t>
      </w:r>
      <w:r w:rsidR="00C4105E">
        <w:t>7</w:t>
      </w:r>
      <w:r w:rsidRPr="002C224A">
        <w:t>: překážky podnikání vnímané malými a středními podniky</w:t>
      </w:r>
    </w:p>
    <w:tbl>
      <w:tblPr>
        <w:tblW w:w="9436" w:type="dxa"/>
        <w:tblInd w:w="55" w:type="dxa"/>
        <w:tblCellMar>
          <w:left w:w="70" w:type="dxa"/>
          <w:right w:w="70" w:type="dxa"/>
        </w:tblCellMar>
        <w:tblLook w:val="00A0" w:firstRow="1" w:lastRow="0" w:firstColumn="1" w:lastColumn="0" w:noHBand="0" w:noVBand="0"/>
      </w:tblPr>
      <w:tblGrid>
        <w:gridCol w:w="5894"/>
        <w:gridCol w:w="1417"/>
        <w:gridCol w:w="2125"/>
      </w:tblGrid>
      <w:tr w:rsidR="00CC255A" w:rsidRPr="002C224A" w:rsidTr="001802B3">
        <w:trPr>
          <w:trHeight w:val="255"/>
        </w:trPr>
        <w:tc>
          <w:tcPr>
            <w:tcW w:w="5894"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Překážky podnikání vnímané malými a středními podniky</w:t>
            </w:r>
          </w:p>
        </w:tc>
        <w:tc>
          <w:tcPr>
            <w:tcW w:w="1417"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c>
          <w:tcPr>
            <w:tcW w:w="2125"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 </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Krátké období (1-3 roky)</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Střednědobé až dlouhodobé (3-5 let)</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Všeobecná hospodářská situace</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47,0%</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30,8%</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Politická situace</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19,1%</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22,1%</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Limitovaná poptávka na lokálním/národním trhu</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34,7%</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19,5%</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Limitovaná poptávka na zahraničních trzích</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19,3%</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16,9%</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Limitovaná dostupnost vhodných lidských zdrojů</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37,3%</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30,4%</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Ztráta výkonných vlastních zaměstnanců</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17,8%</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12,8%</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Problémy transformačního charakteru (např. dědické řízení)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5,1%</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2,9%</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Zvyšující se cena práce</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30,4%</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30,4%</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Nemožnost realizace potřebných investic do zařízení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20,7%</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19,1%</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Zastarávající podoba produktu či výroby (chybí zdroje na podporu vlastního výzkumu a vývoje, inovací)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11,6%</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11,6%</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Nemožnost držet krok s konkurencí (např. technologický nebo logistický pokrok)</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9,4%</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13,2%</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Změny v konkurenci (např. vstup nového hráče)</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10,9%</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12,1%</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Zvýšená cenová konkurence / nízké marže</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33,0%</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27,2%</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Neférové praktiky konkurence (např. dumpingové ceny)</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29,9%</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17,1%</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Regulatorní prostředí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8,7%</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10,8%</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Nedostatek/absence fiskálních pobídek</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5,3%</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6,2%</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Obtížný přístup k informačním technologiím (např. broadband internet)</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3,6%</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1,4%</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Jiné slabosti spojené s infrastrukturním zázemím</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6,3%</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6,0%</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Problémy se zabezpečením investičního/provozního financování</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12,0%</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10,4%</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Dostupné externí zdroje financování nevyhovující potřebám</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8,4%</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5,6%</w:t>
            </w:r>
          </w:p>
        </w:tc>
      </w:tr>
      <w:tr w:rsidR="00CC255A" w:rsidRPr="002C224A" w:rsidTr="001802B3">
        <w:trPr>
          <w:trHeight w:val="255"/>
        </w:trPr>
        <w:tc>
          <w:tcPr>
            <w:tcW w:w="5894"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Neevidujeme závažné omezení a limity</w:t>
            </w:r>
          </w:p>
        </w:tc>
        <w:tc>
          <w:tcPr>
            <w:tcW w:w="1417"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5,6%</w:t>
            </w:r>
          </w:p>
        </w:tc>
        <w:tc>
          <w:tcPr>
            <w:tcW w:w="2125"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4,3%</w:t>
            </w:r>
          </w:p>
        </w:tc>
      </w:tr>
      <w:tr w:rsidR="00CC255A" w:rsidRPr="002C224A" w:rsidTr="001802B3">
        <w:trPr>
          <w:trHeight w:val="255"/>
        </w:trPr>
        <w:tc>
          <w:tcPr>
            <w:tcW w:w="5894"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1417"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585</w:t>
            </w:r>
          </w:p>
        </w:tc>
        <w:tc>
          <w:tcPr>
            <w:tcW w:w="2125"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CC255A" w:rsidRPr="002C224A" w:rsidRDefault="00CC255A" w:rsidP="00CC255A">
      <w:pPr>
        <w:rPr>
          <w:sz w:val="24"/>
        </w:rPr>
      </w:pPr>
    </w:p>
    <w:p w:rsidR="00CC255A" w:rsidRPr="002C224A" w:rsidRDefault="00CC255A" w:rsidP="00CC255A">
      <w:pPr>
        <w:rPr>
          <w:szCs w:val="22"/>
        </w:rPr>
      </w:pPr>
      <w:r w:rsidRPr="002C224A">
        <w:rPr>
          <w:szCs w:val="22"/>
        </w:rPr>
        <w:t>Drtivá většina MSP nicméně dlouhodobě hodlá zůstat aktivními na trhu, pouze s ohledem na měnící se demografii podnikatelů se zvyšuje podíl těch, kteří v dalších pěti letech budou chtít svůj podnik předat. Z8jem o vstup investora zároveň projevilo necelých 7 % podniků.</w:t>
      </w:r>
    </w:p>
    <w:p w:rsidR="00CC255A" w:rsidRPr="002C224A" w:rsidRDefault="00CC255A" w:rsidP="00CC255A">
      <w:pPr>
        <w:rPr>
          <w:sz w:val="24"/>
        </w:rPr>
      </w:pPr>
    </w:p>
    <w:p w:rsidR="00240E1D" w:rsidRPr="002C224A" w:rsidRDefault="00240E1D" w:rsidP="00240E1D">
      <w:pPr>
        <w:pStyle w:val="Titulek"/>
      </w:pPr>
      <w:r w:rsidRPr="002C224A">
        <w:t>Tabulka 2</w:t>
      </w:r>
      <w:r w:rsidR="00C4105E">
        <w:t>8</w:t>
      </w:r>
      <w:r w:rsidRPr="002C224A">
        <w:t xml:space="preserve">: </w:t>
      </w:r>
      <w:r w:rsidR="00C4105E">
        <w:t>plány podniků do budoucna</w:t>
      </w:r>
    </w:p>
    <w:tbl>
      <w:tblPr>
        <w:tblW w:w="6011" w:type="dxa"/>
        <w:tblInd w:w="55" w:type="dxa"/>
        <w:tblCellMar>
          <w:left w:w="70" w:type="dxa"/>
          <w:right w:w="70" w:type="dxa"/>
        </w:tblCellMar>
        <w:tblLook w:val="00A0" w:firstRow="1" w:lastRow="0" w:firstColumn="1" w:lastColumn="0" w:noHBand="0" w:noVBand="0"/>
      </w:tblPr>
      <w:tblGrid>
        <w:gridCol w:w="4088"/>
        <w:gridCol w:w="963"/>
        <w:gridCol w:w="960"/>
      </w:tblGrid>
      <w:tr w:rsidR="00CC255A" w:rsidRPr="002C224A" w:rsidTr="00CC255A">
        <w:trPr>
          <w:trHeight w:val="255"/>
        </w:trPr>
        <w:tc>
          <w:tcPr>
            <w:tcW w:w="4088" w:type="dxa"/>
            <w:tcBorders>
              <w:top w:val="single" w:sz="4" w:space="0" w:color="auto"/>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b/>
                <w:bCs/>
                <w:sz w:val="20"/>
              </w:rPr>
            </w:pPr>
            <w:r w:rsidRPr="002C224A">
              <w:rPr>
                <w:rFonts w:cs="Arial"/>
                <w:b/>
                <w:bCs/>
                <w:sz w:val="20"/>
              </w:rPr>
              <w:t>V následujících pěti letech zvažujete:</w:t>
            </w:r>
          </w:p>
        </w:tc>
        <w:tc>
          <w:tcPr>
            <w:tcW w:w="963"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Podíl</w:t>
            </w:r>
          </w:p>
        </w:tc>
      </w:tr>
      <w:tr w:rsidR="00CC255A" w:rsidRPr="002C224A" w:rsidTr="00CC255A">
        <w:trPr>
          <w:trHeight w:val="255"/>
        </w:trPr>
        <w:tc>
          <w:tcPr>
            <w:tcW w:w="4088"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Držet svůj podíl ve firmě</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481</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83,4%</w:t>
            </w:r>
          </w:p>
        </w:tc>
      </w:tr>
      <w:tr w:rsidR="00CC255A" w:rsidRPr="002C224A" w:rsidTr="00CC255A">
        <w:trPr>
          <w:trHeight w:val="255"/>
        </w:trPr>
        <w:tc>
          <w:tcPr>
            <w:tcW w:w="4088"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Prodat podnik</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14</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2,4%</w:t>
            </w:r>
          </w:p>
        </w:tc>
      </w:tr>
      <w:tr w:rsidR="00CC255A" w:rsidRPr="002C224A" w:rsidTr="00CC255A">
        <w:trPr>
          <w:trHeight w:val="255"/>
        </w:trPr>
        <w:tc>
          <w:tcPr>
            <w:tcW w:w="4088"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Předat podnik (např. v rámci rodiny)</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42</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7,3%</w:t>
            </w:r>
          </w:p>
        </w:tc>
      </w:tr>
      <w:tr w:rsidR="00CC255A" w:rsidRPr="002C224A" w:rsidTr="00CC255A">
        <w:trPr>
          <w:trHeight w:val="255"/>
        </w:trPr>
        <w:tc>
          <w:tcPr>
            <w:tcW w:w="4088" w:type="dxa"/>
            <w:tcBorders>
              <w:top w:val="nil"/>
              <w:left w:val="single" w:sz="4" w:space="0" w:color="auto"/>
              <w:bottom w:val="single" w:sz="4" w:space="0" w:color="auto"/>
              <w:right w:val="single" w:sz="4" w:space="0" w:color="auto"/>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Získat pro svůj podnik strategického investora</w:t>
            </w:r>
          </w:p>
        </w:tc>
        <w:tc>
          <w:tcPr>
            <w:tcW w:w="963"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40</w:t>
            </w:r>
          </w:p>
        </w:tc>
        <w:tc>
          <w:tcPr>
            <w:tcW w:w="960" w:type="dxa"/>
            <w:tcBorders>
              <w:top w:val="nil"/>
              <w:left w:val="nil"/>
              <w:bottom w:val="single" w:sz="4" w:space="0" w:color="auto"/>
              <w:right w:val="single" w:sz="4" w:space="0" w:color="auto"/>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6,9%</w:t>
            </w:r>
          </w:p>
        </w:tc>
      </w:tr>
      <w:tr w:rsidR="00CC255A" w:rsidRPr="002C224A" w:rsidTr="00CC255A">
        <w:trPr>
          <w:trHeight w:val="255"/>
        </w:trPr>
        <w:tc>
          <w:tcPr>
            <w:tcW w:w="4088" w:type="dxa"/>
            <w:tcBorders>
              <w:top w:val="nil"/>
              <w:left w:val="nil"/>
              <w:bottom w:val="nil"/>
              <w:right w:val="nil"/>
            </w:tcBorders>
            <w:noWrap/>
            <w:vAlign w:val="bottom"/>
          </w:tcPr>
          <w:p w:rsidR="00CC255A" w:rsidRPr="002C224A" w:rsidRDefault="00CC255A" w:rsidP="001802B3">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r w:rsidRPr="002C224A">
              <w:rPr>
                <w:rFonts w:cs="Arial"/>
                <w:sz w:val="20"/>
              </w:rPr>
              <w:t>577</w:t>
            </w:r>
          </w:p>
        </w:tc>
        <w:tc>
          <w:tcPr>
            <w:tcW w:w="960" w:type="dxa"/>
            <w:tcBorders>
              <w:top w:val="nil"/>
              <w:left w:val="nil"/>
              <w:bottom w:val="nil"/>
              <w:right w:val="nil"/>
            </w:tcBorders>
            <w:noWrap/>
            <w:vAlign w:val="bottom"/>
          </w:tcPr>
          <w:p w:rsidR="00CC255A" w:rsidRPr="002C224A" w:rsidRDefault="00CC255A" w:rsidP="001802B3">
            <w:pPr>
              <w:overflowPunct/>
              <w:autoSpaceDE/>
              <w:autoSpaceDN/>
              <w:adjustRightInd/>
              <w:jc w:val="left"/>
              <w:textAlignment w:val="auto"/>
              <w:rPr>
                <w:rFonts w:cs="Arial"/>
                <w:sz w:val="20"/>
              </w:rPr>
            </w:pPr>
          </w:p>
        </w:tc>
      </w:tr>
    </w:tbl>
    <w:p w:rsidR="006D67F1" w:rsidRPr="002C224A" w:rsidRDefault="006D67F1" w:rsidP="00D00A86"/>
    <w:p w:rsidR="00C32172" w:rsidRPr="002C224A" w:rsidRDefault="00C32172" w:rsidP="00331BB7">
      <w:pPr>
        <w:pStyle w:val="Neslovannadpisy"/>
      </w:pPr>
      <w:r w:rsidRPr="002C224A">
        <w:t>Výsledky dotazníkového šetření – startupy</w:t>
      </w:r>
    </w:p>
    <w:p w:rsidR="00C32172" w:rsidRPr="002C224A" w:rsidRDefault="00C32172" w:rsidP="00C32172">
      <w:r w:rsidRPr="002C224A">
        <w:t xml:space="preserve">Pro zmapování přístupu k financování mezi podniky v počátečních fázích rozvoje bylo provedeno zvláštní anonymizované dotazníkové šetření. Osloveno bylo celkem 55 subjektů zapojených do ekosystému inovačního podnikání, kteří byli požádáni o distribuci dotazníku mezi své kontakty na společnosti v počátečních fázích podnikání. MPO do distribuce dotazníku zapojilo podnikatelské inkubátory a akcelerátory, vysoké školy, investory rizikového kapitálu, agenturu CzechInvest a další subjekty. Zároveň byl pro propagaci dotazníkového šetření využit mediální článek zveřejněný na jednom z nesledovanějších technologických webů v ČR a také distribuce odkazu na dotazník </w:t>
      </w:r>
      <w:r w:rsidRPr="002C224A">
        <w:lastRenderedPageBreak/>
        <w:t>prostřednictvím sociálních sítí. Vzhledem k očekávatelné response rate do 10 % (podobně jako u prvního dotazníku) považujeme za velmi úspěšný počet obdržených vyplněných dotazníků, kterých bylo celkem 64.</w:t>
      </w:r>
    </w:p>
    <w:p w:rsidR="00C32172" w:rsidRPr="002C224A" w:rsidRDefault="00C32172" w:rsidP="00C32172"/>
    <w:p w:rsidR="00C32172" w:rsidRPr="002C224A" w:rsidRDefault="00C32172" w:rsidP="00C32172">
      <w:r w:rsidRPr="002C224A">
        <w:t xml:space="preserve">Vhodně zvolenou distribucí dotazníku se podařilo dosáhnout nejen na signifikantní počet, ale také na vysokou validitu odpovědí, o čemž svědčí fakt, </w:t>
      </w:r>
      <w:r w:rsidRPr="002C224A">
        <w:rPr>
          <w:b/>
        </w:rPr>
        <w:t>že medián stáří podniků, které se šetření zúčastnily, činí dva roky. Zároveň se jednalo v 80 % případů o mikropodniky do 10 zaměstnanců</w:t>
      </w:r>
      <w:r w:rsidRPr="002C224A">
        <w:t xml:space="preserve">. </w:t>
      </w:r>
      <w:r w:rsidRPr="002C224A">
        <w:rPr>
          <w:b/>
        </w:rPr>
        <w:t>Téměř 16 % respondentů tvořily univerzitní spin-offy.</w:t>
      </w:r>
    </w:p>
    <w:p w:rsidR="00C4105E" w:rsidRDefault="00C4105E" w:rsidP="00C4105E">
      <w:pPr>
        <w:pStyle w:val="Titulek"/>
      </w:pPr>
    </w:p>
    <w:p w:rsidR="00C4105E" w:rsidRPr="002C224A" w:rsidRDefault="00C4105E" w:rsidP="00C4105E">
      <w:pPr>
        <w:pStyle w:val="Titulek"/>
      </w:pPr>
      <w:r w:rsidRPr="002C224A">
        <w:t>Tabulka 2</w:t>
      </w:r>
      <w:r>
        <w:t>9</w:t>
      </w:r>
      <w:r w:rsidRPr="002C224A">
        <w:t xml:space="preserve">: </w:t>
      </w:r>
      <w:r>
        <w:t>velikost podniku</w:t>
      </w:r>
    </w:p>
    <w:tbl>
      <w:tblPr>
        <w:tblW w:w="656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800"/>
        <w:gridCol w:w="760"/>
      </w:tblGrid>
      <w:tr w:rsidR="00C32172" w:rsidRPr="002C224A" w:rsidTr="0071272B">
        <w:trPr>
          <w:trHeight w:val="255"/>
        </w:trPr>
        <w:tc>
          <w:tcPr>
            <w:tcW w:w="5800" w:type="dxa"/>
            <w:shd w:val="clear" w:color="auto" w:fill="auto"/>
            <w:noWrap/>
            <w:vAlign w:val="bottom"/>
          </w:tcPr>
          <w:p w:rsidR="00C32172" w:rsidRPr="002C224A" w:rsidRDefault="00C32172" w:rsidP="0071272B">
            <w:pPr>
              <w:rPr>
                <w:rFonts w:cs="Arial"/>
                <w:b/>
                <w:sz w:val="20"/>
              </w:rPr>
            </w:pPr>
            <w:r w:rsidRPr="002C224A">
              <w:rPr>
                <w:rFonts w:cs="Arial"/>
                <w:b/>
                <w:sz w:val="20"/>
              </w:rPr>
              <w:t>Do jaké velikostní kategorie Vaše společnost spadá?</w:t>
            </w:r>
          </w:p>
        </w:tc>
        <w:tc>
          <w:tcPr>
            <w:tcW w:w="760" w:type="dxa"/>
            <w:shd w:val="clear" w:color="auto" w:fill="auto"/>
            <w:noWrap/>
            <w:vAlign w:val="bottom"/>
          </w:tcPr>
          <w:p w:rsidR="00C32172" w:rsidRPr="002C224A" w:rsidRDefault="00C32172" w:rsidP="0071272B">
            <w:pPr>
              <w:rPr>
                <w:rFonts w:cs="Arial"/>
                <w:sz w:val="20"/>
              </w:rPr>
            </w:pPr>
            <w:r w:rsidRPr="002C224A">
              <w:rPr>
                <w:rFonts w:cs="Arial"/>
                <w:sz w:val="20"/>
              </w:rPr>
              <w:t>Celkem</w:t>
            </w:r>
          </w:p>
        </w:tc>
      </w:tr>
      <w:tr w:rsidR="00C32172" w:rsidRPr="002C224A" w:rsidTr="0071272B">
        <w:trPr>
          <w:trHeight w:val="255"/>
        </w:trPr>
        <w:tc>
          <w:tcPr>
            <w:tcW w:w="5800" w:type="dxa"/>
            <w:shd w:val="clear" w:color="auto" w:fill="auto"/>
            <w:noWrap/>
            <w:vAlign w:val="bottom"/>
          </w:tcPr>
          <w:p w:rsidR="00C32172" w:rsidRPr="002C224A" w:rsidRDefault="00C32172" w:rsidP="0071272B">
            <w:pPr>
              <w:rPr>
                <w:rFonts w:cs="Arial"/>
                <w:sz w:val="20"/>
              </w:rPr>
            </w:pPr>
            <w:r w:rsidRPr="002C224A">
              <w:rPr>
                <w:rFonts w:cs="Arial"/>
                <w:sz w:val="20"/>
              </w:rPr>
              <w:t>Malý podnik (11-50 zaměstnanců)</w:t>
            </w:r>
          </w:p>
        </w:tc>
        <w:tc>
          <w:tcPr>
            <w:tcW w:w="760" w:type="dxa"/>
            <w:shd w:val="clear" w:color="auto" w:fill="auto"/>
            <w:noWrap/>
            <w:vAlign w:val="bottom"/>
          </w:tcPr>
          <w:p w:rsidR="00C32172" w:rsidRPr="002C224A" w:rsidRDefault="00C32172" w:rsidP="0071272B">
            <w:pPr>
              <w:rPr>
                <w:rFonts w:cs="Arial"/>
                <w:sz w:val="20"/>
              </w:rPr>
            </w:pPr>
            <w:r w:rsidRPr="002C224A">
              <w:rPr>
                <w:rFonts w:cs="Arial"/>
                <w:sz w:val="20"/>
              </w:rPr>
              <w:t>10</w:t>
            </w:r>
          </w:p>
        </w:tc>
      </w:tr>
      <w:tr w:rsidR="00C32172" w:rsidRPr="002C224A" w:rsidTr="0071272B">
        <w:trPr>
          <w:trHeight w:val="255"/>
        </w:trPr>
        <w:tc>
          <w:tcPr>
            <w:tcW w:w="5800" w:type="dxa"/>
            <w:shd w:val="clear" w:color="auto" w:fill="auto"/>
            <w:noWrap/>
            <w:vAlign w:val="bottom"/>
          </w:tcPr>
          <w:p w:rsidR="00C32172" w:rsidRPr="002C224A" w:rsidRDefault="00C32172" w:rsidP="0071272B">
            <w:pPr>
              <w:rPr>
                <w:rFonts w:cs="Arial"/>
                <w:sz w:val="20"/>
              </w:rPr>
            </w:pPr>
            <w:r w:rsidRPr="002C224A">
              <w:rPr>
                <w:rFonts w:cs="Arial"/>
                <w:sz w:val="20"/>
              </w:rPr>
              <w:t>Mikropodnik (do 10 zaměstnanců)</w:t>
            </w:r>
          </w:p>
        </w:tc>
        <w:tc>
          <w:tcPr>
            <w:tcW w:w="760" w:type="dxa"/>
            <w:shd w:val="clear" w:color="auto" w:fill="auto"/>
            <w:noWrap/>
            <w:vAlign w:val="bottom"/>
          </w:tcPr>
          <w:p w:rsidR="00C32172" w:rsidRPr="002C224A" w:rsidRDefault="00C32172" w:rsidP="0071272B">
            <w:pPr>
              <w:rPr>
                <w:rFonts w:cs="Arial"/>
                <w:sz w:val="20"/>
              </w:rPr>
            </w:pPr>
            <w:r w:rsidRPr="002C224A">
              <w:rPr>
                <w:rFonts w:cs="Arial"/>
                <w:sz w:val="20"/>
              </w:rPr>
              <w:t>49</w:t>
            </w:r>
          </w:p>
        </w:tc>
      </w:tr>
      <w:tr w:rsidR="00C32172" w:rsidRPr="002C224A" w:rsidTr="0071272B">
        <w:trPr>
          <w:trHeight w:val="255"/>
        </w:trPr>
        <w:tc>
          <w:tcPr>
            <w:tcW w:w="5800" w:type="dxa"/>
            <w:shd w:val="clear" w:color="auto" w:fill="auto"/>
            <w:noWrap/>
            <w:vAlign w:val="bottom"/>
          </w:tcPr>
          <w:p w:rsidR="00C32172" w:rsidRPr="002C224A" w:rsidRDefault="00C32172" w:rsidP="0071272B">
            <w:pPr>
              <w:rPr>
                <w:rFonts w:cs="Arial"/>
                <w:sz w:val="20"/>
              </w:rPr>
            </w:pPr>
            <w:r w:rsidRPr="002C224A">
              <w:rPr>
                <w:rFonts w:cs="Arial"/>
                <w:sz w:val="20"/>
              </w:rPr>
              <w:t>Střední podnik (51-250 zaměstnanců)</w:t>
            </w:r>
          </w:p>
        </w:tc>
        <w:tc>
          <w:tcPr>
            <w:tcW w:w="760" w:type="dxa"/>
            <w:shd w:val="clear" w:color="auto" w:fill="auto"/>
            <w:noWrap/>
            <w:vAlign w:val="bottom"/>
          </w:tcPr>
          <w:p w:rsidR="00C32172" w:rsidRPr="002C224A" w:rsidRDefault="00C32172" w:rsidP="0071272B">
            <w:pPr>
              <w:rPr>
                <w:rFonts w:cs="Arial"/>
                <w:sz w:val="20"/>
              </w:rPr>
            </w:pPr>
            <w:r w:rsidRPr="002C224A">
              <w:rPr>
                <w:rFonts w:cs="Arial"/>
                <w:sz w:val="20"/>
              </w:rPr>
              <w:t>2</w:t>
            </w:r>
          </w:p>
        </w:tc>
      </w:tr>
    </w:tbl>
    <w:p w:rsidR="00C32172" w:rsidRPr="002C224A" w:rsidRDefault="00C32172" w:rsidP="00C32172">
      <w:r w:rsidRPr="002C224A">
        <w:t>n=61</w:t>
      </w:r>
    </w:p>
    <w:p w:rsidR="00C32172" w:rsidRPr="002C224A" w:rsidRDefault="00C32172" w:rsidP="00C32172"/>
    <w:p w:rsidR="00C32172" w:rsidRPr="002C224A" w:rsidRDefault="00C32172" w:rsidP="00C32172">
      <w:r w:rsidRPr="002C224A">
        <w:t>Z hlediska fáze podnikání se do šetření zapojily zejména společnosti ve fázi post-creation (39 %), dále ve fázi růstové (35,6 %, takto odpovídaly zejména společnosti starší tří let), startup (11,9 %) a seed (6,8 %).</w:t>
      </w:r>
    </w:p>
    <w:p w:rsidR="00C32172" w:rsidRPr="002C224A" w:rsidRDefault="00C32172" w:rsidP="00C32172"/>
    <w:p w:rsidR="00C32172" w:rsidRPr="002C224A" w:rsidRDefault="00C32172" w:rsidP="00C32172">
      <w:pPr>
        <w:pStyle w:val="Titulek"/>
        <w:keepNext/>
      </w:pPr>
      <w:r w:rsidRPr="002C224A">
        <w:t>Obrázek</w:t>
      </w:r>
      <w:r w:rsidR="00646277">
        <w:rPr>
          <w:noProof/>
        </w:rPr>
        <w:t xml:space="preserve"> 18</w:t>
      </w:r>
      <w:r w:rsidRPr="002C224A">
        <w:t>: Výsledky odpovědí na otázku „Jak byste charakterizoval stav rozvoje Vaší společnosti?“</w:t>
      </w:r>
    </w:p>
    <w:p w:rsidR="00C32172" w:rsidRPr="00A50943" w:rsidRDefault="007A3F34" w:rsidP="00C32172">
      <w:r w:rsidRPr="00A50943">
        <w:rPr>
          <w:noProof/>
        </w:rPr>
        <w:drawing>
          <wp:inline distT="0" distB="0" distL="0" distR="0" wp14:anchorId="76F9F777" wp14:editId="6E97808C">
            <wp:extent cx="4243705" cy="3196590"/>
            <wp:effectExtent l="0" t="0" r="4445" b="3810"/>
            <wp:docPr id="4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2172" w:rsidRPr="002C224A" w:rsidRDefault="00C32172" w:rsidP="00C32172"/>
    <w:p w:rsidR="00C32172" w:rsidRPr="002C224A" w:rsidRDefault="00C32172" w:rsidP="00C32172">
      <w:r w:rsidRPr="002C224A">
        <w:rPr>
          <w:b/>
        </w:rPr>
        <w:t>Z hlediska odvětví firmy podle očekávání nejčastěji podnikají v odvětví ICT (téměř 51 %), téměř 17 % zaobíraly činnosti ve výzkumu a vývoji,</w:t>
      </w:r>
      <w:r w:rsidRPr="002C224A">
        <w:t xml:space="preserve"> následoval po 5 % zpracovatelský průmysl a obchod. </w:t>
      </w:r>
      <w:r w:rsidRPr="002C224A">
        <w:rPr>
          <w:b/>
        </w:rPr>
        <w:t>Dotazníkového šetření se zúčastnily rovněž tři společnosti podnikající v kreativních odvětvích</w:t>
      </w:r>
      <w:r w:rsidRPr="002C224A">
        <w:t xml:space="preserve"> (zejména grafika a design).</w:t>
      </w:r>
    </w:p>
    <w:p w:rsidR="00C32172" w:rsidRPr="002C224A" w:rsidRDefault="00C32172" w:rsidP="00C32172"/>
    <w:p w:rsidR="00C32172" w:rsidRPr="002C224A" w:rsidRDefault="00C32172" w:rsidP="00C32172">
      <w:r w:rsidRPr="002C224A">
        <w:rPr>
          <w:b/>
        </w:rPr>
        <w:t>Z hlediska regionu byly oslovené startupy aktivní zejména v Praze a Středočeském kraji (37 %) a Jihomoravském kraji (31,5 %)</w:t>
      </w:r>
      <w:r w:rsidRPr="002C224A">
        <w:t>, dále v Plzeňském (11,1 %) a Moravskoslezském kraji (9,3 %).</w:t>
      </w:r>
    </w:p>
    <w:p w:rsidR="00C32172" w:rsidRPr="002C224A" w:rsidRDefault="00C32172" w:rsidP="00C32172"/>
    <w:p w:rsidR="00C32172" w:rsidRPr="002C224A" w:rsidRDefault="00C32172" w:rsidP="00C32172">
      <w:pPr>
        <w:rPr>
          <w:b/>
        </w:rPr>
      </w:pPr>
      <w:r w:rsidRPr="002C224A">
        <w:rPr>
          <w:b/>
        </w:rPr>
        <w:t>V posledních třech letech oslovené firmy investovaly jen velmi omezeně, v drtivé většině (84,9 %) v rozmezí 0-</w:t>
      </w:r>
      <w:smartTag w:uri="urn:schemas-microsoft-com:office:smarttags" w:element="metricconverter">
        <w:smartTagPr>
          <w:attr w:name="ProductID" w:val="5 mil"/>
        </w:smartTagPr>
        <w:r w:rsidRPr="002C224A">
          <w:rPr>
            <w:b/>
          </w:rPr>
          <w:t>5 mil</w:t>
        </w:r>
      </w:smartTag>
      <w:r w:rsidRPr="002C224A">
        <w:rPr>
          <w:b/>
        </w:rPr>
        <w:t xml:space="preserve">. Kč. </w:t>
      </w:r>
      <w:r w:rsidRPr="002C224A">
        <w:t xml:space="preserve">Investice nad </w:t>
      </w:r>
      <w:smartTag w:uri="urn:schemas-microsoft-com:office:smarttags" w:element="metricconverter">
        <w:smartTagPr>
          <w:attr w:name="ProductID" w:val="5 mil"/>
        </w:smartTagPr>
        <w:r w:rsidRPr="002C224A">
          <w:t>5 mil</w:t>
        </w:r>
      </w:smartTag>
      <w:r w:rsidRPr="002C224A">
        <w:t>. Kč tak jsou mezi oslovenými firmami poměrně ojedinělé.</w:t>
      </w:r>
    </w:p>
    <w:p w:rsidR="00C4105E" w:rsidRDefault="00C4105E" w:rsidP="00C4105E">
      <w:pPr>
        <w:pStyle w:val="Titulek"/>
      </w:pPr>
    </w:p>
    <w:p w:rsidR="00C4105E" w:rsidRPr="002C224A" w:rsidRDefault="00C4105E" w:rsidP="00C4105E">
      <w:pPr>
        <w:pStyle w:val="Titulek"/>
      </w:pPr>
      <w:r w:rsidRPr="002C224A">
        <w:lastRenderedPageBreak/>
        <w:t xml:space="preserve">Tabulka </w:t>
      </w:r>
      <w:r>
        <w:t>30</w:t>
      </w:r>
      <w:r w:rsidRPr="002C224A">
        <w:t xml:space="preserve">: </w:t>
      </w:r>
      <w:r>
        <w:t>minulé investice</w:t>
      </w:r>
    </w:p>
    <w:tbl>
      <w:tblPr>
        <w:tblW w:w="3848" w:type="dxa"/>
        <w:tblInd w:w="65" w:type="dxa"/>
        <w:tblCellMar>
          <w:left w:w="70" w:type="dxa"/>
          <w:right w:w="70" w:type="dxa"/>
        </w:tblCellMar>
        <w:tblLook w:val="0000" w:firstRow="0" w:lastRow="0" w:firstColumn="0" w:lastColumn="0" w:noHBand="0" w:noVBand="0"/>
      </w:tblPr>
      <w:tblGrid>
        <w:gridCol w:w="3425"/>
        <w:gridCol w:w="902"/>
      </w:tblGrid>
      <w:tr w:rsidR="00C32172" w:rsidRPr="002C224A" w:rsidTr="0071272B">
        <w:trPr>
          <w:trHeight w:val="255"/>
        </w:trPr>
        <w:tc>
          <w:tcPr>
            <w:tcW w:w="3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b/>
                <w:sz w:val="20"/>
              </w:rPr>
            </w:pPr>
            <w:r w:rsidRPr="002C224A">
              <w:rPr>
                <w:rFonts w:cs="Arial"/>
                <w:b/>
                <w:sz w:val="20"/>
              </w:rPr>
              <w:t>Kolik dosahoval objem investičních aktivit Vaší společnosti za poslední tři roky?</w:t>
            </w:r>
          </w:p>
        </w:tc>
        <w:tc>
          <w:tcPr>
            <w:tcW w:w="423" w:type="dxa"/>
            <w:tcBorders>
              <w:top w:val="single" w:sz="4" w:space="0" w:color="000000"/>
              <w:left w:val="nil"/>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Podíl odpovědí</w:t>
            </w:r>
          </w:p>
        </w:tc>
      </w:tr>
      <w:tr w:rsidR="00C32172" w:rsidRPr="002C224A" w:rsidTr="0071272B">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0 - </w:t>
            </w:r>
            <w:smartTag w:uri="urn:schemas-microsoft-com:office:smarttags" w:element="metricconverter">
              <w:smartTagPr>
                <w:attr w:name="ProductID" w:val="5 mil"/>
              </w:smartTagPr>
              <w:r w:rsidRPr="002C224A">
                <w:rPr>
                  <w:rFonts w:cs="Arial"/>
                  <w:sz w:val="20"/>
                </w:rPr>
                <w:t>5 mil</w:t>
              </w:r>
            </w:smartTag>
            <w:r w:rsidRPr="002C224A">
              <w:rPr>
                <w:rFonts w:cs="Arial"/>
                <w:sz w:val="20"/>
              </w:rPr>
              <w:t>. Kč</w:t>
            </w:r>
          </w:p>
        </w:tc>
        <w:tc>
          <w:tcPr>
            <w:tcW w:w="423"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84,91%</w:t>
            </w:r>
          </w:p>
        </w:tc>
      </w:tr>
      <w:tr w:rsidR="00C32172" w:rsidRPr="002C224A" w:rsidTr="0071272B">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6 -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423"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3,77%</w:t>
            </w:r>
          </w:p>
        </w:tc>
      </w:tr>
      <w:tr w:rsidR="00C32172" w:rsidRPr="002C224A" w:rsidTr="0071272B">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11 - </w:t>
            </w:r>
            <w:smartTag w:uri="urn:schemas-microsoft-com:office:smarttags" w:element="metricconverter">
              <w:smartTagPr>
                <w:attr w:name="ProductID" w:val="20 mil"/>
              </w:smartTagPr>
              <w:r w:rsidRPr="002C224A">
                <w:rPr>
                  <w:rFonts w:cs="Arial"/>
                  <w:sz w:val="20"/>
                </w:rPr>
                <w:t>20 mil</w:t>
              </w:r>
            </w:smartTag>
            <w:r w:rsidRPr="002C224A">
              <w:rPr>
                <w:rFonts w:cs="Arial"/>
                <w:sz w:val="20"/>
              </w:rPr>
              <w:t>. Kč</w:t>
            </w:r>
          </w:p>
        </w:tc>
        <w:tc>
          <w:tcPr>
            <w:tcW w:w="423"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1,89%</w:t>
            </w:r>
          </w:p>
        </w:tc>
      </w:tr>
      <w:tr w:rsidR="00C32172" w:rsidRPr="002C224A" w:rsidTr="0071272B">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21 -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423"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3,77%</w:t>
            </w:r>
          </w:p>
        </w:tc>
      </w:tr>
      <w:tr w:rsidR="00C32172" w:rsidRPr="002C224A" w:rsidTr="0071272B">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smartTag w:uri="urn:schemas-microsoft-com:office:smarttags" w:element="metricconverter">
              <w:smartTagPr>
                <w:attr w:name="ProductID" w:val="31 mil"/>
              </w:smartTagPr>
              <w:r w:rsidRPr="002C224A">
                <w:rPr>
                  <w:rFonts w:cs="Arial"/>
                  <w:sz w:val="20"/>
                </w:rPr>
                <w:t>31 mil</w:t>
              </w:r>
            </w:smartTag>
            <w:r w:rsidRPr="002C224A">
              <w:rPr>
                <w:rFonts w:cs="Arial"/>
                <w:sz w:val="20"/>
              </w:rPr>
              <w:t>. Kč a více</w:t>
            </w:r>
          </w:p>
        </w:tc>
        <w:tc>
          <w:tcPr>
            <w:tcW w:w="423"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5,66%</w:t>
            </w:r>
          </w:p>
        </w:tc>
      </w:tr>
    </w:tbl>
    <w:p w:rsidR="00C32172" w:rsidRPr="002C224A" w:rsidRDefault="00C32172" w:rsidP="00C32172">
      <w:r w:rsidRPr="002C224A">
        <w:t>n=53</w:t>
      </w:r>
    </w:p>
    <w:p w:rsidR="00C32172" w:rsidRPr="002C224A" w:rsidRDefault="00C32172" w:rsidP="00C32172"/>
    <w:p w:rsidR="00C32172" w:rsidRPr="002C224A" w:rsidRDefault="00C32172" w:rsidP="00C32172">
      <w:pPr>
        <w:rPr>
          <w:b/>
        </w:rPr>
      </w:pPr>
      <w:r w:rsidRPr="002C224A">
        <w:t xml:space="preserve">Přes 70 % malých a středních podniků uvedlo, že poptávaná výše zdrojů financování na investice dosahovala max. </w:t>
      </w:r>
      <w:smartTag w:uri="urn:schemas-microsoft-com:office:smarttags" w:element="metricconverter">
        <w:smartTagPr>
          <w:attr w:name="ProductID" w:val="5 mil"/>
        </w:smartTagPr>
        <w:r w:rsidRPr="002C224A">
          <w:t>5 mil</w:t>
        </w:r>
      </w:smartTag>
      <w:r w:rsidRPr="002C224A">
        <w:t>. Kč, přičemž skutečně obdržené financování bylo v rozmezí 0-</w:t>
      </w:r>
      <w:smartTag w:uri="urn:schemas-microsoft-com:office:smarttags" w:element="metricconverter">
        <w:smartTagPr>
          <w:attr w:name="ProductID" w:val="5 mil"/>
        </w:smartTagPr>
        <w:r w:rsidRPr="002C224A">
          <w:t>5 mil</w:t>
        </w:r>
      </w:smartTag>
      <w:r w:rsidRPr="002C224A">
        <w:t xml:space="preserve">. Kč dokonce v 93 % případů. </w:t>
      </w:r>
      <w:r w:rsidRPr="002C224A">
        <w:rPr>
          <w:b/>
        </w:rPr>
        <w:t>V komentáři k odpovědi jak vysoké financování firmy skutečně získaly, poměrně často respondenti uváděli, že nakonec nezískali vůbec žádné cizí zdroje.</w:t>
      </w:r>
      <w:r w:rsidRPr="002C224A">
        <w:t xml:space="preserve"> </w:t>
      </w:r>
    </w:p>
    <w:p w:rsidR="00C32172" w:rsidRPr="002C224A" w:rsidRDefault="00C32172" w:rsidP="00C32172"/>
    <w:p w:rsidR="00C32172" w:rsidRPr="002C224A" w:rsidRDefault="00C32172" w:rsidP="00C32172">
      <w:r w:rsidRPr="002C224A">
        <w:t xml:space="preserve">Důvodem omezeného objemu investic je zejména velmi omezený přístup podniků v počátečních fázích k externím zdrojům financování. </w:t>
      </w:r>
      <w:r w:rsidRPr="002C224A">
        <w:rPr>
          <w:b/>
        </w:rPr>
        <w:t>Z hlediska dosavadního financování podnikání totiž jednoznačně převládají vlastní zdroje bez doplnění cizími zdroji (46,3 %).</w:t>
      </w:r>
      <w:r w:rsidRPr="002C224A">
        <w:t xml:space="preserve"> Přes 22 % firem získalo prostředky od rodiny, přátel a známých (typicky v kombinaci s vlastními zdroji). </w:t>
      </w:r>
      <w:r w:rsidRPr="002C224A">
        <w:rPr>
          <w:b/>
        </w:rPr>
        <w:t>Z externích zdrojů mimo okruh známých a příbuzných jsou nejdůležitější business angels (9,3 %) a banky (7,4 %). Fondy rizikového kapitálu označil jako zdroj financování pouze jeden respondent.</w:t>
      </w:r>
      <w:r w:rsidRPr="002C224A">
        <w:t xml:space="preserve"> Část podniků (5,6 %) získala prostředky od manažerů, kteří se zároveň stali podílníky ve firmě. </w:t>
      </w:r>
      <w:r w:rsidRPr="002C224A">
        <w:rPr>
          <w:b/>
        </w:rPr>
        <w:t xml:space="preserve">Přitom však přes 57 % podniků získávalo informace o možnostech financování v bance. </w:t>
      </w:r>
      <w:r w:rsidRPr="002C224A">
        <w:t xml:space="preserve">Přes 51 % respondentů zjišťovalo informace o možném financování jejich projektu v podnikatelském inkubátoru nebo akcelerátoru. </w:t>
      </w:r>
      <w:r w:rsidRPr="002C224A">
        <w:rPr>
          <w:b/>
        </w:rPr>
        <w:t>Rovněž více než 51 % podnikatelů získávalo informace o možném financování od business angels a fondů rizikového kapitálu.</w:t>
      </w:r>
    </w:p>
    <w:p w:rsidR="00C32172" w:rsidRPr="002C224A" w:rsidRDefault="00C32172" w:rsidP="00C32172"/>
    <w:p w:rsidR="00C32172" w:rsidRPr="002C224A" w:rsidRDefault="00C32172" w:rsidP="00C32172">
      <w:pPr>
        <w:rPr>
          <w:b/>
        </w:rPr>
      </w:pPr>
      <w:r w:rsidRPr="002C224A">
        <w:rPr>
          <w:b/>
        </w:rPr>
        <w:t>S obtížemi při získávání cizích zdrojů se tak podle odpovědí na další otázku setkalo přes 74 % respondentů.</w:t>
      </w:r>
    </w:p>
    <w:p w:rsidR="00C4105E" w:rsidRDefault="00C4105E" w:rsidP="00C4105E">
      <w:pPr>
        <w:pStyle w:val="Titulek"/>
      </w:pPr>
    </w:p>
    <w:p w:rsidR="00C4105E" w:rsidRPr="002C224A" w:rsidRDefault="00C4105E" w:rsidP="00C4105E">
      <w:pPr>
        <w:pStyle w:val="Titulek"/>
      </w:pPr>
      <w:r w:rsidRPr="002C224A">
        <w:t xml:space="preserve">Tabulka </w:t>
      </w:r>
      <w:r>
        <w:t>31</w:t>
      </w:r>
      <w:r w:rsidRPr="002C224A">
        <w:t xml:space="preserve">: </w:t>
      </w:r>
      <w:r>
        <w:t>dostupnost externího financování</w:t>
      </w:r>
    </w:p>
    <w:tbl>
      <w:tblPr>
        <w:tblW w:w="9005" w:type="dxa"/>
        <w:tblInd w:w="65" w:type="dxa"/>
        <w:tblCellMar>
          <w:left w:w="70" w:type="dxa"/>
          <w:right w:w="70" w:type="dxa"/>
        </w:tblCellMar>
        <w:tblLook w:val="0000" w:firstRow="0" w:lastRow="0" w:firstColumn="0" w:lastColumn="0" w:noHBand="0" w:noVBand="0"/>
      </w:tblPr>
      <w:tblGrid>
        <w:gridCol w:w="7925"/>
        <w:gridCol w:w="1080"/>
      </w:tblGrid>
      <w:tr w:rsidR="00C32172" w:rsidRPr="002C224A" w:rsidTr="0071272B">
        <w:trPr>
          <w:trHeight w:val="255"/>
        </w:trPr>
        <w:tc>
          <w:tcPr>
            <w:tcW w:w="79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b/>
                <w:sz w:val="20"/>
              </w:rPr>
            </w:pPr>
            <w:r w:rsidRPr="002C224A">
              <w:rPr>
                <w:rFonts w:cs="Arial"/>
                <w:b/>
                <w:sz w:val="20"/>
              </w:rPr>
              <w:t>Jak hodnotíte dostupnost externího financování pro vaše investice?</w:t>
            </w:r>
          </w:p>
        </w:tc>
        <w:tc>
          <w:tcPr>
            <w:tcW w:w="1080" w:type="dxa"/>
            <w:tcBorders>
              <w:top w:val="single" w:sz="4" w:space="0" w:color="000000"/>
              <w:left w:val="nil"/>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Podíl odpovědí</w:t>
            </w:r>
          </w:p>
        </w:tc>
      </w:tr>
      <w:tr w:rsidR="00C32172" w:rsidRPr="002C224A" w:rsidTr="0071272B">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Bezproblémová – zdroje získáváme poměrně rychle a jednoduše, jednání bývají efektivní a úspěšná</w:t>
            </w:r>
          </w:p>
        </w:tc>
        <w:tc>
          <w:tcPr>
            <w:tcW w:w="1080"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12,77%</w:t>
            </w:r>
          </w:p>
        </w:tc>
      </w:tr>
      <w:tr w:rsidR="00C32172" w:rsidRPr="002C224A" w:rsidTr="0071272B">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S menšími problémy – informací je dostatek a lze nalézt financující subjekt po vícekolovém vyjednávání</w:t>
            </w:r>
          </w:p>
        </w:tc>
        <w:tc>
          <w:tcPr>
            <w:tcW w:w="1080"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12,77%</w:t>
            </w:r>
          </w:p>
        </w:tc>
      </w:tr>
      <w:tr w:rsidR="00C32172" w:rsidRPr="002C224A" w:rsidTr="0071272B">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Dostupnost je pouze dobrá – finanční zdroje zde jsou, ale je obtížně možné je získat</w:t>
            </w:r>
          </w:p>
        </w:tc>
        <w:tc>
          <w:tcPr>
            <w:tcW w:w="1080"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27,66%</w:t>
            </w:r>
          </w:p>
        </w:tc>
      </w:tr>
      <w:tr w:rsidR="00C32172" w:rsidRPr="002C224A" w:rsidTr="0071272B">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Dostupnost je špatná – existuje informační bariéra, banky mají velké požadavky na hodnotu zástavy, apod.</w:t>
            </w:r>
          </w:p>
        </w:tc>
        <w:tc>
          <w:tcPr>
            <w:tcW w:w="1080"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46,81%</w:t>
            </w:r>
          </w:p>
        </w:tc>
      </w:tr>
    </w:tbl>
    <w:p w:rsidR="00C32172" w:rsidRPr="002C224A" w:rsidRDefault="00C32172" w:rsidP="00C32172">
      <w:r w:rsidRPr="002C224A">
        <w:t>n=47</w:t>
      </w:r>
    </w:p>
    <w:p w:rsidR="00C32172" w:rsidRPr="002C224A" w:rsidRDefault="00C32172" w:rsidP="00C32172"/>
    <w:p w:rsidR="00C32172" w:rsidRPr="002C224A" w:rsidRDefault="00C32172" w:rsidP="00C32172">
      <w:r w:rsidRPr="002C224A">
        <w:t xml:space="preserve">S ohledem na strukturu dotazovaných podniků není překvapivé, že za hlavní důvody zhoršeného přístupu k financování firmy uvedly omezené možnosti zajištění a krátkou podnikatelskou historii, která vzbuzuje nedůvěru při získávání financování. </w:t>
      </w:r>
      <w:r w:rsidRPr="002C224A">
        <w:rPr>
          <w:b/>
        </w:rPr>
        <w:t xml:space="preserve">Podíl životaschopných projektů dosahuje překvapivých 79 %. </w:t>
      </w:r>
      <w:r w:rsidRPr="002C224A">
        <w:t>Za neživotaschopné označujeme projekty, jejichž důvodem zhoršeného přístupu k financování jsou ekonomický potenciál projektu nebo vysoká aktuální zadluženost.</w:t>
      </w:r>
    </w:p>
    <w:p w:rsidR="00C32172" w:rsidRPr="002C224A" w:rsidRDefault="00C32172" w:rsidP="00C32172"/>
    <w:p w:rsidR="00C32172" w:rsidRPr="002C224A" w:rsidRDefault="00C32172" w:rsidP="00C32172">
      <w:pPr>
        <w:pStyle w:val="Titulek"/>
        <w:keepNext/>
      </w:pPr>
      <w:r w:rsidRPr="002C224A">
        <w:lastRenderedPageBreak/>
        <w:t>Obrázek</w:t>
      </w:r>
      <w:r w:rsidR="00646277">
        <w:rPr>
          <w:noProof/>
        </w:rPr>
        <w:t xml:space="preserve"> 19</w:t>
      </w:r>
      <w:r w:rsidRPr="002C224A">
        <w:t>: Hlavní důvody zhoršeného přístupu k financování, n=43</w:t>
      </w:r>
    </w:p>
    <w:p w:rsidR="00C32172" w:rsidRPr="00A50943" w:rsidRDefault="007A3F34" w:rsidP="00C32172">
      <w:r w:rsidRPr="00A50943">
        <w:rPr>
          <w:noProof/>
        </w:rPr>
        <w:drawing>
          <wp:inline distT="0" distB="0" distL="0" distR="0" wp14:anchorId="452B5F7D" wp14:editId="2BFB1627">
            <wp:extent cx="5351780" cy="2740025"/>
            <wp:effectExtent l="0" t="0" r="1270" b="3175"/>
            <wp:docPr id="4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2172" w:rsidRPr="002C224A" w:rsidRDefault="00C32172" w:rsidP="00C32172"/>
    <w:p w:rsidR="00C32172" w:rsidRPr="002C224A" w:rsidRDefault="007A3F34" w:rsidP="00C32172">
      <w:r w:rsidRPr="00A50943">
        <w:rPr>
          <w:noProof/>
        </w:rPr>
        <mc:AlternateContent>
          <mc:Choice Requires="wps">
            <w:drawing>
              <wp:anchor distT="45720" distB="45720" distL="114300" distR="114300" simplePos="0" relativeHeight="251658240" behindDoc="0" locked="0" layoutInCell="1" allowOverlap="1" wp14:anchorId="5A8DA48B" wp14:editId="06EE4230">
                <wp:simplePos x="0" y="0"/>
                <wp:positionH relativeFrom="column">
                  <wp:posOffset>635</wp:posOffset>
                </wp:positionH>
                <wp:positionV relativeFrom="paragraph">
                  <wp:posOffset>538480</wp:posOffset>
                </wp:positionV>
                <wp:extent cx="3633470" cy="4043045"/>
                <wp:effectExtent l="5080" t="8255" r="9525" b="6350"/>
                <wp:wrapSquare wrapText="bothSides"/>
                <wp:docPr id="1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4043045"/>
                        </a:xfrm>
                        <a:prstGeom prst="rect">
                          <a:avLst/>
                        </a:prstGeom>
                        <a:solidFill>
                          <a:srgbClr val="FFFFFF"/>
                        </a:solidFill>
                        <a:ln w="9525">
                          <a:solidFill>
                            <a:srgbClr val="000000"/>
                          </a:solidFill>
                          <a:miter lim="800000"/>
                          <a:headEnd/>
                          <a:tailEnd/>
                        </a:ln>
                      </wps:spPr>
                      <wps:txbx>
                        <w:txbxContent>
                          <w:p w:rsidR="001C1A67" w:rsidRPr="00051A10" w:rsidRDefault="001C1A67" w:rsidP="00C32172">
                            <w:pPr>
                              <w:rPr>
                                <w:b/>
                              </w:rPr>
                            </w:pPr>
                            <w:r w:rsidRPr="00051A10">
                              <w:rPr>
                                <w:b/>
                              </w:rPr>
                              <w:t>Box 1: Vybrané komentáře respondentů dotazníkového šetření</w:t>
                            </w:r>
                          </w:p>
                          <w:p w:rsidR="001C1A67" w:rsidRPr="00051A10" w:rsidRDefault="001C1A67" w:rsidP="00C32172"/>
                          <w:p w:rsidR="001C1A67" w:rsidRPr="00142F37" w:rsidRDefault="001C1A67" w:rsidP="00C32172">
                            <w:pPr>
                              <w:rPr>
                                <w:szCs w:val="22"/>
                              </w:rPr>
                            </w:pPr>
                            <w:r w:rsidRPr="00142F37">
                              <w:rPr>
                                <w:szCs w:val="22"/>
                              </w:rPr>
                              <w:t>„V průběhu procesu získávání kapitálu od bank jsem dospěl k závěru, že v ČR je snadnější získat kapitál na lokální pilu, než získat financování pro globální hardwarový startup.“</w:t>
                            </w:r>
                          </w:p>
                          <w:p w:rsidR="001C1A67" w:rsidRDefault="001C1A67" w:rsidP="00C32172">
                            <w:pPr>
                              <w:rPr>
                                <w:szCs w:val="22"/>
                              </w:rPr>
                            </w:pPr>
                          </w:p>
                          <w:p w:rsidR="001C1A67" w:rsidRDefault="001C1A67" w:rsidP="00C32172">
                            <w:pPr>
                              <w:rPr>
                                <w:szCs w:val="22"/>
                              </w:rPr>
                            </w:pPr>
                            <w:r w:rsidRPr="00142F37">
                              <w:rPr>
                                <w:szCs w:val="22"/>
                              </w:rPr>
                              <w:t>„V oblasti kreativních průmyslů stále funguje nedůvěra v návratnost investice, nedostatek informací o přínosech kreativních průmyslů na ekonomiku a propojení s ostatními sektory. Nezrovnoprávnění netechnických inovací na úroveň technických.“</w:t>
                            </w:r>
                          </w:p>
                          <w:p w:rsidR="001C1A67" w:rsidRPr="00142F37" w:rsidRDefault="001C1A67" w:rsidP="00C32172">
                            <w:pPr>
                              <w:rPr>
                                <w:szCs w:val="22"/>
                              </w:rPr>
                            </w:pPr>
                          </w:p>
                          <w:p w:rsidR="001C1A67" w:rsidRPr="00142F37" w:rsidRDefault="001C1A67" w:rsidP="00C32172">
                            <w:pPr>
                              <w:rPr>
                                <w:szCs w:val="22"/>
                              </w:rPr>
                            </w:pPr>
                            <w:r w:rsidRPr="00142F37">
                              <w:rPr>
                                <w:szCs w:val="22"/>
                              </w:rPr>
                              <w:t xml:space="preserve">„Bohužel start firmy z nuly a ve věku 23 let vyžaduje velké rizika a pohyb za hranicí všech splatností a všeho. Vyžaduje velké vyjednávání a nepříjemné situace. Majitel všechny závazky plní a všechny platby provádí, bohužel je ale vázán na platby od klientů a tak se velmi často až pravidelně dostává do problémů spjaté s platbami po splatnosti a tak si jednak žádný úvěr nemůže a nechce dovolit, a jednak mu ani banky žádný neposkytnou. Majitelova rodina si vzala menší bankovní </w:t>
                            </w:r>
                            <w:r>
                              <w:rPr>
                                <w:szCs w:val="22"/>
                              </w:rPr>
                              <w:t>úvěr,</w:t>
                            </w:r>
                            <w:r w:rsidRPr="00142F37">
                              <w:rPr>
                                <w:szCs w:val="22"/>
                              </w:rPr>
                              <w:t xml:space="preserve"> aby mu pomohla s rozjezdem. I tak náklady převyšují pořád a firma negeneruje zisk - ale blíží se nule.“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DA48B" id="_x0000_t202" coordsize="21600,21600" o:spt="202" path="m,l,21600r21600,l21600,xe">
                <v:stroke joinstyle="miter"/>
                <v:path gradientshapeok="t" o:connecttype="rect"/>
              </v:shapetype>
              <v:shape id="Textové pole 2" o:spid="_x0000_s1026" type="#_x0000_t202" style="position:absolute;left:0;text-align:left;margin-left:.05pt;margin-top:42.4pt;width:286.1pt;height:318.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">
                <v:textbox>
                  <w:txbxContent>
                    <w:p w:rsidR="001C1A67" w:rsidRPr="00051A10" w:rsidRDefault="001C1A67" w:rsidP="00C32172">
                      <w:pPr>
                        <w:rPr>
                          <w:b/>
                        </w:rPr>
                      </w:pPr>
                      <w:r w:rsidRPr="00051A10">
                        <w:rPr>
                          <w:b/>
                        </w:rPr>
                        <w:t>Box 1: Vybrané komentáře respondentů dotazníkového šetření</w:t>
                      </w:r>
                    </w:p>
                    <w:p w:rsidR="001C1A67" w:rsidRPr="00051A10" w:rsidRDefault="001C1A67" w:rsidP="00C32172"/>
                    <w:p w:rsidR="001C1A67" w:rsidRPr="00142F37" w:rsidRDefault="001C1A67" w:rsidP="00C32172">
                      <w:pPr>
                        <w:rPr>
                          <w:szCs w:val="22"/>
                        </w:rPr>
                      </w:pPr>
                      <w:r w:rsidRPr="00142F37">
                        <w:rPr>
                          <w:szCs w:val="22"/>
                        </w:rPr>
                        <w:t>„V průběhu procesu získávání kapitálu od bank jsem dospěl k závěru, že v ČR je snadnější získat kapitál na lokální pilu, než získat financování pro globální hardwarový startup.“</w:t>
                      </w:r>
                    </w:p>
                    <w:p w:rsidR="001C1A67" w:rsidRDefault="001C1A67" w:rsidP="00C32172">
                      <w:pPr>
                        <w:rPr>
                          <w:szCs w:val="22"/>
                        </w:rPr>
                      </w:pPr>
                    </w:p>
                    <w:p w:rsidR="001C1A67" w:rsidRDefault="001C1A67" w:rsidP="00C32172">
                      <w:pPr>
                        <w:rPr>
                          <w:szCs w:val="22"/>
                        </w:rPr>
                      </w:pPr>
                      <w:r w:rsidRPr="00142F37">
                        <w:rPr>
                          <w:szCs w:val="22"/>
                        </w:rPr>
                        <w:t>„V oblasti kreativních průmyslů stále funguje nedůvěra v návratnost investice, nedostatek informací o přínosech kreativních průmyslů na ekonomiku a propojení s ostatními sektory. Nezrovnoprávnění netechnických inovací na úroveň technických.“</w:t>
                      </w:r>
                    </w:p>
                    <w:p w:rsidR="001C1A67" w:rsidRPr="00142F37" w:rsidRDefault="001C1A67" w:rsidP="00C32172">
                      <w:pPr>
                        <w:rPr>
                          <w:szCs w:val="22"/>
                        </w:rPr>
                      </w:pPr>
                    </w:p>
                    <w:p w:rsidR="001C1A67" w:rsidRPr="00142F37" w:rsidRDefault="001C1A67" w:rsidP="00C32172">
                      <w:pPr>
                        <w:rPr>
                          <w:szCs w:val="22"/>
                        </w:rPr>
                      </w:pPr>
                      <w:r w:rsidRPr="00142F37">
                        <w:rPr>
                          <w:szCs w:val="22"/>
                        </w:rPr>
                        <w:t xml:space="preserve">„Bohužel start firmy z nuly a ve věku 23 let vyžaduje velké rizika a pohyb za hranicí všech splatností a všeho. Vyžaduje velké vyjednávání a nepříjemné situace. Majitel všechny závazky plní a všechny platby provádí, bohužel je ale vázán na platby od klientů a tak se velmi často až pravidelně dostává do problémů spjaté s platbami po splatnosti a tak si jednak žádný úvěr nemůže a nechce dovolit, a jednak mu ani banky žádný neposkytnou. Majitelova rodina si vzala menší bankovní </w:t>
                      </w:r>
                      <w:r>
                        <w:rPr>
                          <w:szCs w:val="22"/>
                        </w:rPr>
                        <w:t>úvěr,</w:t>
                      </w:r>
                      <w:r w:rsidRPr="00142F37">
                        <w:rPr>
                          <w:szCs w:val="22"/>
                        </w:rPr>
                        <w:t xml:space="preserve"> aby mu pomohla s rozjezdem. I tak náklady převyšují pořád a firma negeneruje zisk - ale blíží se nule.“</w:t>
                      </w:r>
                    </w:p>
                  </w:txbxContent>
                </v:textbox>
                <w10:wrap type="square"/>
              </v:shape>
            </w:pict>
          </mc:Fallback>
        </mc:AlternateContent>
      </w:r>
      <w:r w:rsidR="00C32172" w:rsidRPr="002C224A">
        <w:t xml:space="preserve">Ve srovnání s odhadovanou průměrnou úrokovou sazbou úvěrů pro MSP podle OECD v Česku je financování začínajících podnikatelů mnohem dražší. </w:t>
      </w:r>
      <w:r w:rsidR="00C32172" w:rsidRPr="002C224A">
        <w:rPr>
          <w:b/>
        </w:rPr>
        <w:t>Medián odhadované úrokové sazby financování z cizích zdrojů činil 7,5 %</w:t>
      </w:r>
      <w:r w:rsidR="00C32172" w:rsidRPr="002C224A">
        <w:t>, doba splatnosti byla nejčastěji v rozmezí 3-5 let.</w:t>
      </w:r>
    </w:p>
    <w:p w:rsidR="00C32172" w:rsidRPr="00A50943" w:rsidRDefault="00C32172" w:rsidP="00C32172"/>
    <w:p w:rsidR="00C32172" w:rsidRPr="002C224A" w:rsidRDefault="00C32172" w:rsidP="00C32172">
      <w:pPr>
        <w:rPr>
          <w:b/>
        </w:rPr>
      </w:pPr>
      <w:r w:rsidRPr="002C224A">
        <w:rPr>
          <w:b/>
        </w:rPr>
        <w:t>Důvody, které specificky vedly k nevyužití ekvitních forem financování, byly zejména nedostatek zkušeností, příliš vysoké požadavky potenciálního investora a neochota dělit se o podíl ve firmě</w:t>
      </w:r>
      <w:r w:rsidRPr="002C224A">
        <w:t xml:space="preserve">. Přes 55 % respondentů však zároveň uvedlo, že by bylo ochotno dělit se o řízení společnosti s investorem výměnou za poskytnutí financování na další rozvoj podnikání. </w:t>
      </w:r>
    </w:p>
    <w:p w:rsidR="00C32172" w:rsidRDefault="00C32172" w:rsidP="00C32172">
      <w:pPr>
        <w:rPr>
          <w:b/>
        </w:rPr>
      </w:pPr>
    </w:p>
    <w:p w:rsidR="00C25825" w:rsidRDefault="00C25825" w:rsidP="00C32172">
      <w:pPr>
        <w:rPr>
          <w:b/>
        </w:rPr>
      </w:pPr>
      <w:r>
        <w:rPr>
          <w:b/>
        </w:rPr>
        <w:t>Celkem plánuje pro financování svých investic v příštích 3 letech využít rizikový kapitál 41 % cílových respondentů (24 z 62 odpovědí). O financování svého investičního plánu s podporou OP PIK ve formě kapitálových vstupů by mělo zájem až 59 % cílových respondentů (32 z 54 odpovědí).</w:t>
      </w:r>
    </w:p>
    <w:p w:rsidR="00C25825" w:rsidRPr="002C224A" w:rsidRDefault="00C25825" w:rsidP="00C32172">
      <w:pPr>
        <w:rPr>
          <w:b/>
        </w:rPr>
      </w:pPr>
    </w:p>
    <w:p w:rsidR="00C32172" w:rsidRPr="002C224A" w:rsidRDefault="00C32172" w:rsidP="00C32172">
      <w:pPr>
        <w:rPr>
          <w:b/>
        </w:rPr>
      </w:pPr>
      <w:r w:rsidRPr="002C224A">
        <w:t>V komentářích respondenti mj. uváděli, že o vstup investora mají zájem, ale pouze v případě, že by šlo o partnera, který opravdu podpoří další růst firmy. Pro startupy je při komunikaci s investory důležitá důvěra a kontakty v oboru.</w:t>
      </w:r>
      <w:r w:rsidRPr="002C224A">
        <w:rPr>
          <w:b/>
        </w:rPr>
        <w:t xml:space="preserve"> Často také šetření zaznamenalo odpovědi, že firma je příliš malá a získávání equity příliš časově a administrativně náročné a tudíž neefektivní, proto se členové týmu spíše věnují rozvoji firmy s malým rozsahem vlastních zdrojů.</w:t>
      </w:r>
    </w:p>
    <w:p w:rsidR="00C32172" w:rsidRPr="002C224A" w:rsidRDefault="00C32172" w:rsidP="00C32172"/>
    <w:p w:rsidR="00C32172" w:rsidRPr="002C224A" w:rsidRDefault="00C32172" w:rsidP="00C32172">
      <w:r w:rsidRPr="002C224A">
        <w:rPr>
          <w:b/>
        </w:rPr>
        <w:t xml:space="preserve">Co se týče plánů do budoucna, firmy jsou spíše optimistické a očekávají nárůst svých investic v příštích třech letech ve více než 50 % případů nad </w:t>
      </w:r>
      <w:smartTag w:uri="urn:schemas-microsoft-com:office:smarttags" w:element="metricconverter">
        <w:smartTagPr>
          <w:attr w:name="ProductID" w:val="5 mil"/>
        </w:smartTagPr>
        <w:r w:rsidRPr="002C224A">
          <w:rPr>
            <w:b/>
          </w:rPr>
          <w:t>5 mil</w:t>
        </w:r>
      </w:smartTag>
      <w:r w:rsidRPr="002C224A">
        <w:rPr>
          <w:b/>
        </w:rPr>
        <w:t>. Kč.</w:t>
      </w:r>
      <w:r w:rsidRPr="002C224A">
        <w:t xml:space="preserve"> Začínající firmy tedy odkládají investice na pozdější dobu, kdy již budou generovat stabilní cash flow a budou pro ně dostupnější zejména bankovní úvěry. Preferují tak pozvolný rozjezd svého businessu před komplikovaným a často neúspěšným vyjednáváním s investory.</w:t>
      </w:r>
    </w:p>
    <w:p w:rsidR="00C4105E" w:rsidRDefault="00C4105E" w:rsidP="00C4105E">
      <w:pPr>
        <w:pStyle w:val="Titulek"/>
      </w:pPr>
    </w:p>
    <w:p w:rsidR="00C4105E" w:rsidRPr="002C224A" w:rsidRDefault="00C4105E" w:rsidP="00C4105E">
      <w:pPr>
        <w:pStyle w:val="Titulek"/>
      </w:pPr>
      <w:r w:rsidRPr="002C224A">
        <w:t xml:space="preserve">Tabulka </w:t>
      </w:r>
      <w:r>
        <w:t>32</w:t>
      </w:r>
      <w:r w:rsidRPr="002C224A">
        <w:t xml:space="preserve">: </w:t>
      </w:r>
      <w:r>
        <w:t>budoucí investice</w:t>
      </w:r>
    </w:p>
    <w:tbl>
      <w:tblPr>
        <w:tblW w:w="3231" w:type="dxa"/>
        <w:tblInd w:w="70" w:type="dxa"/>
        <w:tblCellMar>
          <w:left w:w="70" w:type="dxa"/>
          <w:right w:w="70" w:type="dxa"/>
        </w:tblCellMar>
        <w:tblLook w:val="04A0" w:firstRow="1" w:lastRow="0" w:firstColumn="1" w:lastColumn="0" w:noHBand="0" w:noVBand="1"/>
      </w:tblPr>
      <w:tblGrid>
        <w:gridCol w:w="2835"/>
        <w:gridCol w:w="902"/>
      </w:tblGrid>
      <w:tr w:rsidR="00C32172" w:rsidRPr="002C224A" w:rsidTr="0071272B">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b/>
                <w:bCs/>
                <w:sz w:val="20"/>
              </w:rPr>
            </w:pPr>
            <w:r w:rsidRPr="002C224A">
              <w:rPr>
                <w:rFonts w:cs="Arial"/>
                <w:b/>
                <w:bCs/>
                <w:sz w:val="20"/>
              </w:rPr>
              <w:t>Jaká je výše investice, která se s Vámi uvažovaným podnikatelský záměrem pojí?</w:t>
            </w:r>
          </w:p>
        </w:tc>
        <w:tc>
          <w:tcPr>
            <w:tcW w:w="396" w:type="dxa"/>
            <w:tcBorders>
              <w:top w:val="single" w:sz="4" w:space="0" w:color="000000"/>
              <w:left w:val="nil"/>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Podíl odpovědí</w:t>
            </w:r>
          </w:p>
        </w:tc>
      </w:tr>
      <w:tr w:rsidR="00C32172" w:rsidRPr="002C224A" w:rsidTr="0071272B">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0 - </w:t>
            </w:r>
            <w:smartTag w:uri="urn:schemas-microsoft-com:office:smarttags" w:element="metricconverter">
              <w:smartTagPr>
                <w:attr w:name="ProductID" w:val="5 mil"/>
              </w:smartTagPr>
              <w:r w:rsidRPr="002C224A">
                <w:rPr>
                  <w:rFonts w:cs="Arial"/>
                  <w:sz w:val="20"/>
                </w:rPr>
                <w:t>5 mil</w:t>
              </w:r>
            </w:smartTag>
            <w:r w:rsidRPr="002C224A">
              <w:rPr>
                <w:rFonts w:cs="Arial"/>
                <w:sz w:val="20"/>
              </w:rPr>
              <w:t>. Kč</w:t>
            </w:r>
          </w:p>
        </w:tc>
        <w:tc>
          <w:tcPr>
            <w:tcW w:w="396"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46,2%</w:t>
            </w:r>
          </w:p>
        </w:tc>
      </w:tr>
      <w:tr w:rsidR="00C32172" w:rsidRPr="002C224A" w:rsidTr="0071272B">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6 -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396"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25,0%</w:t>
            </w:r>
          </w:p>
        </w:tc>
      </w:tr>
      <w:tr w:rsidR="00C32172" w:rsidRPr="002C224A" w:rsidTr="0071272B">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11 - </w:t>
            </w:r>
            <w:smartTag w:uri="urn:schemas-microsoft-com:office:smarttags" w:element="metricconverter">
              <w:smartTagPr>
                <w:attr w:name="ProductID" w:val="20 mil"/>
              </w:smartTagPr>
              <w:r w:rsidRPr="002C224A">
                <w:rPr>
                  <w:rFonts w:cs="Arial"/>
                  <w:sz w:val="20"/>
                </w:rPr>
                <w:t>20 mil</w:t>
              </w:r>
            </w:smartTag>
            <w:r w:rsidRPr="002C224A">
              <w:rPr>
                <w:rFonts w:cs="Arial"/>
                <w:sz w:val="20"/>
              </w:rPr>
              <w:t>. Kč</w:t>
            </w:r>
          </w:p>
        </w:tc>
        <w:tc>
          <w:tcPr>
            <w:tcW w:w="396"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13,5%</w:t>
            </w:r>
          </w:p>
        </w:tc>
      </w:tr>
      <w:tr w:rsidR="00C32172" w:rsidRPr="002C224A" w:rsidTr="0071272B">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r w:rsidRPr="002C224A">
              <w:rPr>
                <w:rFonts w:cs="Arial"/>
                <w:sz w:val="20"/>
              </w:rPr>
              <w:t xml:space="preserve">21 -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396"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5,8%</w:t>
            </w:r>
          </w:p>
        </w:tc>
      </w:tr>
      <w:tr w:rsidR="00C32172" w:rsidRPr="002C224A" w:rsidTr="0071272B">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rsidR="00C32172" w:rsidRPr="002C224A" w:rsidRDefault="00C32172" w:rsidP="0071272B">
            <w:pPr>
              <w:rPr>
                <w:rFonts w:cs="Arial"/>
                <w:sz w:val="20"/>
              </w:rPr>
            </w:pPr>
            <w:smartTag w:uri="urn:schemas-microsoft-com:office:smarttags" w:element="metricconverter">
              <w:smartTagPr>
                <w:attr w:name="ProductID" w:val="31 mil"/>
              </w:smartTagPr>
              <w:r w:rsidRPr="002C224A">
                <w:rPr>
                  <w:rFonts w:cs="Arial"/>
                  <w:sz w:val="20"/>
                </w:rPr>
                <w:t>31 mil</w:t>
              </w:r>
            </w:smartTag>
            <w:r w:rsidRPr="002C224A">
              <w:rPr>
                <w:rFonts w:cs="Arial"/>
                <w:sz w:val="20"/>
              </w:rPr>
              <w:t>. Kč a více</w:t>
            </w:r>
          </w:p>
        </w:tc>
        <w:tc>
          <w:tcPr>
            <w:tcW w:w="396" w:type="dxa"/>
            <w:tcBorders>
              <w:top w:val="nil"/>
              <w:left w:val="nil"/>
              <w:bottom w:val="single" w:sz="4" w:space="0" w:color="000000"/>
              <w:right w:val="single" w:sz="4" w:space="0" w:color="000000"/>
            </w:tcBorders>
            <w:shd w:val="clear" w:color="auto" w:fill="auto"/>
            <w:noWrap/>
            <w:vAlign w:val="bottom"/>
          </w:tcPr>
          <w:p w:rsidR="00C32172" w:rsidRPr="002C224A" w:rsidRDefault="00C32172" w:rsidP="0071272B">
            <w:pPr>
              <w:jc w:val="right"/>
              <w:rPr>
                <w:rFonts w:cs="Arial"/>
                <w:sz w:val="20"/>
              </w:rPr>
            </w:pPr>
            <w:r w:rsidRPr="002C224A">
              <w:rPr>
                <w:rFonts w:cs="Arial"/>
                <w:sz w:val="20"/>
              </w:rPr>
              <w:t>9,6%</w:t>
            </w:r>
          </w:p>
        </w:tc>
      </w:tr>
    </w:tbl>
    <w:p w:rsidR="00C32172" w:rsidRPr="002C224A" w:rsidRDefault="00C32172" w:rsidP="00C32172">
      <w:r w:rsidRPr="002C224A">
        <w:t>n=52</w:t>
      </w:r>
    </w:p>
    <w:p w:rsidR="00C32172" w:rsidRPr="002C224A" w:rsidRDefault="00C32172" w:rsidP="00C32172"/>
    <w:p w:rsidR="00C32172" w:rsidRPr="002C224A" w:rsidRDefault="00C32172" w:rsidP="00C32172">
      <w:r w:rsidRPr="002C224A">
        <w:t xml:space="preserve">Očekávaná doba návratnosti plánovaných investic je u dotazovaných firem poměrně krátká, ve více než 84 % případů kratší než 5 let, téměř jedna třetina do 3 let, což je způsobeno mj. spíše nižším převládajícím objemem plánovaných investic (v 71 % případů do </w:t>
      </w:r>
      <w:smartTag w:uri="urn:schemas-microsoft-com:office:smarttags" w:element="metricconverter">
        <w:smartTagPr>
          <w:attr w:name="ProductID" w:val="10 mil"/>
        </w:smartTagPr>
        <w:r w:rsidRPr="002C224A">
          <w:t>10 mil</w:t>
        </w:r>
      </w:smartTag>
      <w:r w:rsidRPr="002C224A">
        <w:t>. Kč).</w:t>
      </w:r>
    </w:p>
    <w:p w:rsidR="00C32172" w:rsidRPr="002C224A" w:rsidRDefault="00C32172" w:rsidP="00C32172"/>
    <w:p w:rsidR="00C32172" w:rsidRPr="002C224A" w:rsidRDefault="00C32172" w:rsidP="00C32172">
      <w:pPr>
        <w:pStyle w:val="Titulek"/>
        <w:keepNext/>
      </w:pPr>
      <w:r w:rsidRPr="002C224A">
        <w:t xml:space="preserve">Obrázek </w:t>
      </w:r>
      <w:r w:rsidR="00646277">
        <w:t>20:</w:t>
      </w:r>
      <w:r w:rsidRPr="002C224A">
        <w:t xml:space="preserve"> Výsledky odpovědí na otázku týkající se plánovaných investic v příštích třech letech „V jakém časovém horizontu očekáváte plné splacení investice z generovaných finančních toků (příjmy projektu, vzniklé úspory)?“, n=52</w:t>
      </w:r>
    </w:p>
    <w:p w:rsidR="00C32172" w:rsidRPr="00A50943" w:rsidRDefault="007A3F34" w:rsidP="00C32172">
      <w:pPr>
        <w:rPr>
          <w:noProof/>
        </w:rPr>
      </w:pPr>
      <w:r w:rsidRPr="00A50943">
        <w:rPr>
          <w:noProof/>
        </w:rPr>
        <w:drawing>
          <wp:inline distT="0" distB="0" distL="0" distR="0" wp14:anchorId="7D6DEF2B" wp14:editId="7D7D4C9D">
            <wp:extent cx="4568825" cy="2740025"/>
            <wp:effectExtent l="0" t="0" r="3175" b="3175"/>
            <wp:docPr id="4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2172" w:rsidRPr="002C224A" w:rsidRDefault="00C32172" w:rsidP="00C32172">
      <w:pPr>
        <w:rPr>
          <w:noProof/>
        </w:rPr>
      </w:pPr>
    </w:p>
    <w:p w:rsidR="00C32172" w:rsidRPr="002C224A" w:rsidRDefault="00C32172" w:rsidP="00C32172">
      <w:pPr>
        <w:tabs>
          <w:tab w:val="left" w:pos="2977"/>
          <w:tab w:val="left" w:pos="3261"/>
        </w:tabs>
        <w:rPr>
          <w:b/>
          <w:noProof/>
        </w:rPr>
      </w:pPr>
      <w:r w:rsidRPr="002C224A">
        <w:t xml:space="preserve">Protože je u dotazovaných podnikatelů </w:t>
      </w:r>
      <w:r w:rsidRPr="002C224A">
        <w:rPr>
          <w:noProof/>
        </w:rPr>
        <w:t xml:space="preserve">velký problém získat na své projekty cizí zdroje, není překvapivé, že </w:t>
      </w:r>
      <w:r w:rsidRPr="002C224A">
        <w:rPr>
          <w:b/>
          <w:noProof/>
        </w:rPr>
        <w:t>za nejvhodnější formu asistence považují zlepšení informovanosti o dostupných zdrojích financování v Česku nebo v zahraničí a získání kontaktů následované snížením administrativní bariéry při získávání financování.</w:t>
      </w:r>
    </w:p>
    <w:p w:rsidR="00C4105E" w:rsidRDefault="00C4105E" w:rsidP="00C4105E">
      <w:pPr>
        <w:pStyle w:val="Titulek"/>
      </w:pPr>
    </w:p>
    <w:p w:rsidR="00C4105E" w:rsidRPr="002C224A" w:rsidRDefault="00C4105E" w:rsidP="00C4105E">
      <w:pPr>
        <w:pStyle w:val="Titulek"/>
      </w:pPr>
      <w:r w:rsidRPr="002C224A">
        <w:t xml:space="preserve">Tabulka </w:t>
      </w:r>
      <w:r>
        <w:t>33</w:t>
      </w:r>
      <w:r w:rsidRPr="002C224A">
        <w:t>:</w:t>
      </w:r>
      <w:r>
        <w:t xml:space="preserve"> cesty ke zlepšení financování</w:t>
      </w:r>
    </w:p>
    <w:tbl>
      <w:tblPr>
        <w:tblW w:w="6379" w:type="dxa"/>
        <w:tblInd w:w="70" w:type="dxa"/>
        <w:tblCellMar>
          <w:left w:w="70" w:type="dxa"/>
          <w:right w:w="70" w:type="dxa"/>
        </w:tblCellMar>
        <w:tblLook w:val="04A0" w:firstRow="1" w:lastRow="0" w:firstColumn="1" w:lastColumn="0" w:noHBand="0" w:noVBand="1"/>
      </w:tblPr>
      <w:tblGrid>
        <w:gridCol w:w="4820"/>
        <w:gridCol w:w="1559"/>
      </w:tblGrid>
      <w:tr w:rsidR="00C32172" w:rsidRPr="002C224A" w:rsidTr="0071272B">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b/>
                <w:bCs/>
                <w:sz w:val="20"/>
              </w:rPr>
            </w:pPr>
            <w:r w:rsidRPr="002C224A">
              <w:rPr>
                <w:rFonts w:cs="Arial"/>
                <w:b/>
                <w:bCs/>
                <w:sz w:val="20"/>
              </w:rPr>
              <w:t>Co by mohlo pomoci zlepšit přístup k financování Vašeho projektu tak, aby byl realizován přesně podle Vašich potřeb z hlediska rozsahu, výše financování a času?</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Podíl odpovědí (bylo možné uvést více možností)</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Snížení administrativní bariéry při získávání financování</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49,0%</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lastRenderedPageBreak/>
              <w:t xml:space="preserve">Zapojení do hubu, podnikatelského inkubátoru, lepší spolupráce s universitou, apod. </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7,8%</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Zlepšení informovanosti o dostupných zdrojích financování v ČR, získání kontaktů</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68,6%</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Pomoc při přípravě projektu (např. business plán nebo specializované poradenství)</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29,4%</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Zlepšení informovanosti o dostupných zdrojích financování v zahraničí, získání kontaktů (např. i prostřednictvím podpory výjezdu do zahraniční destinace)</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49,0%</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Zřízení státem spravovaného investičního fondu rizikového kapitálu, poskytujícího kapitálové vstupy za spoluúčasti soukromých investorů</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15,7%</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Zajištění ručení za úvěr</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9,8%</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Zvýhodnění úvěrových podmínek – méně striktní požadavky za ručení</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7,8%</w:t>
            </w:r>
          </w:p>
        </w:tc>
      </w:tr>
      <w:tr w:rsidR="00C32172" w:rsidRPr="002C224A" w:rsidTr="0071272B">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rsidR="00C32172" w:rsidRPr="002C224A" w:rsidRDefault="00C32172" w:rsidP="0071272B">
            <w:pPr>
              <w:rPr>
                <w:rFonts w:cs="Arial"/>
                <w:sz w:val="20"/>
              </w:rPr>
            </w:pPr>
            <w:r w:rsidRPr="002C224A">
              <w:rPr>
                <w:rFonts w:cs="Arial"/>
                <w:sz w:val="20"/>
              </w:rPr>
              <w:t>Zvýhodnění úvěrových podmínek – zvýhodněná úroková sazba</w:t>
            </w:r>
          </w:p>
        </w:tc>
        <w:tc>
          <w:tcPr>
            <w:tcW w:w="1559" w:type="dxa"/>
            <w:tcBorders>
              <w:top w:val="nil"/>
              <w:left w:val="nil"/>
              <w:bottom w:val="single" w:sz="4" w:space="0" w:color="auto"/>
              <w:right w:val="single" w:sz="4" w:space="0" w:color="auto"/>
            </w:tcBorders>
            <w:shd w:val="clear" w:color="auto" w:fill="auto"/>
            <w:noWrap/>
            <w:vAlign w:val="bottom"/>
          </w:tcPr>
          <w:p w:rsidR="00C32172" w:rsidRPr="002C224A" w:rsidRDefault="00C32172" w:rsidP="0071272B">
            <w:pPr>
              <w:jc w:val="right"/>
              <w:rPr>
                <w:rFonts w:cs="Arial"/>
                <w:sz w:val="20"/>
              </w:rPr>
            </w:pPr>
            <w:r w:rsidRPr="002C224A">
              <w:rPr>
                <w:rFonts w:cs="Arial"/>
                <w:sz w:val="20"/>
              </w:rPr>
              <w:t>9,8%</w:t>
            </w:r>
          </w:p>
        </w:tc>
      </w:tr>
    </w:tbl>
    <w:p w:rsidR="00C32172" w:rsidRPr="002C224A" w:rsidRDefault="00C32172" w:rsidP="00C32172"/>
    <w:p w:rsidR="00C32172" w:rsidRPr="002C224A" w:rsidRDefault="00C32172" w:rsidP="00C32172">
      <w:r w:rsidRPr="002C224A">
        <w:t xml:space="preserve">Z hlediska možností podpory z veřejných zdrojů a očekávaných efektů podpory respondenti uvedli, že 64 % z nich by plánované investice realizovalo pouze částečně nebo vůbec, naopak pouze 36 % z nich by realizovalo investice v plném rozsahu. </w:t>
      </w:r>
      <w:r w:rsidRPr="002C224A">
        <w:rPr>
          <w:b/>
        </w:rPr>
        <w:t>Preferovanou formou podpory jsou kapitálové vstupy (73 %), následované s malým odstupem zvýhodněnými úvěry (68 %) a zárukami (61 %).</w:t>
      </w:r>
    </w:p>
    <w:p w:rsidR="00C32172" w:rsidRPr="002C224A" w:rsidRDefault="00C32172" w:rsidP="00C32172"/>
    <w:p w:rsidR="00AD4551" w:rsidRPr="002C224A" w:rsidDel="002E16DE" w:rsidRDefault="00C32172" w:rsidP="00D00A86">
      <w:r w:rsidRPr="002C224A">
        <w:t xml:space="preserve">Výsledky dotazníku mezi prorůstově orientovanými firmami v počátečních fázích podnikání naznačují identifikaci skutečného tržního selhání, kdy tyto firmy mají jen velmi omezený přístup k financování z cizích zdrojů, což jim neumožňuje provádět potřebné investice a blokuje jejich rychlý růst. </w:t>
      </w:r>
      <w:r w:rsidRPr="002C224A">
        <w:rPr>
          <w:b/>
        </w:rPr>
        <w:t>Tržní selhání je možné řešit zejména podporou kapitálových vstupů a záruk. Odpovědi na otázky zároveň indikují potřebu specializovaných poradenských služeb spojených se zlepšením přístupu k financování (zatraktivnění firmy, přístup k síti kontaktů v Česku nebo v zahraničí apod.).</w:t>
      </w:r>
    </w:p>
    <w:p w:rsidR="006D67F1" w:rsidRPr="002C224A" w:rsidRDefault="006D67F1" w:rsidP="00875E68">
      <w:pPr>
        <w:pStyle w:val="Nadpis4"/>
        <w:rPr>
          <w:rFonts w:ascii="Calibri" w:hAnsi="Calibri"/>
        </w:rPr>
      </w:pPr>
      <w:bookmarkStart w:id="720" w:name="_Toc416383730"/>
      <w:bookmarkStart w:id="721" w:name="_Toc416447720"/>
      <w:bookmarkStart w:id="722" w:name="_Toc416383731"/>
      <w:bookmarkStart w:id="723" w:name="_Toc416447721"/>
      <w:bookmarkStart w:id="724" w:name="_Toc416383732"/>
      <w:bookmarkStart w:id="725" w:name="_Toc416447722"/>
      <w:bookmarkStart w:id="726" w:name="_Toc416383733"/>
      <w:bookmarkStart w:id="727" w:name="_Toc416447723"/>
      <w:bookmarkStart w:id="728" w:name="_Toc416383734"/>
      <w:bookmarkStart w:id="729" w:name="_Toc416447724"/>
      <w:bookmarkStart w:id="730" w:name="_Toc416383735"/>
      <w:bookmarkStart w:id="731" w:name="_Toc416447725"/>
      <w:bookmarkStart w:id="732" w:name="_Toc416383736"/>
      <w:bookmarkStart w:id="733" w:name="_Toc416447726"/>
      <w:bookmarkStart w:id="734" w:name="_Toc416383737"/>
      <w:bookmarkStart w:id="735" w:name="_Toc416447727"/>
      <w:bookmarkStart w:id="736" w:name="_Toc416383738"/>
      <w:bookmarkStart w:id="737" w:name="_Toc416447728"/>
      <w:bookmarkStart w:id="738" w:name="_Toc416383739"/>
      <w:bookmarkStart w:id="739" w:name="_Toc416447729"/>
      <w:bookmarkStart w:id="740" w:name="_Toc416383740"/>
      <w:bookmarkStart w:id="741" w:name="_Toc416447730"/>
      <w:bookmarkStart w:id="742" w:name="_Toc416383741"/>
      <w:bookmarkStart w:id="743" w:name="_Toc416447731"/>
      <w:bookmarkStart w:id="744" w:name="_Toc416383742"/>
      <w:bookmarkStart w:id="745" w:name="_Toc416447732"/>
      <w:bookmarkStart w:id="746" w:name="_Toc416383743"/>
      <w:bookmarkStart w:id="747" w:name="_Toc416447733"/>
      <w:bookmarkStart w:id="748" w:name="_Toc416383794"/>
      <w:bookmarkStart w:id="749" w:name="_Toc416447784"/>
      <w:bookmarkStart w:id="750" w:name="_Toc416383795"/>
      <w:bookmarkStart w:id="751" w:name="_Toc416447785"/>
      <w:bookmarkStart w:id="752" w:name="_Toc416383796"/>
      <w:bookmarkStart w:id="753" w:name="_Toc416447786"/>
      <w:bookmarkStart w:id="754" w:name="_Toc416383797"/>
      <w:bookmarkStart w:id="755" w:name="_Toc416447787"/>
      <w:bookmarkStart w:id="756" w:name="_Toc416383798"/>
      <w:bookmarkStart w:id="757" w:name="_Toc416447788"/>
      <w:bookmarkStart w:id="758" w:name="_Toc416383799"/>
      <w:bookmarkStart w:id="759" w:name="_Toc416447789"/>
      <w:bookmarkStart w:id="760" w:name="_Toc416383800"/>
      <w:bookmarkStart w:id="761" w:name="_Toc416447790"/>
      <w:bookmarkStart w:id="762" w:name="_Toc416383801"/>
      <w:bookmarkStart w:id="763" w:name="_Toc416447791"/>
      <w:bookmarkStart w:id="764" w:name="_Toc416383802"/>
      <w:bookmarkStart w:id="765" w:name="_Toc416447792"/>
      <w:bookmarkStart w:id="766" w:name="_Toc416383803"/>
      <w:bookmarkStart w:id="767" w:name="_Toc416447793"/>
      <w:bookmarkStart w:id="768" w:name="_Toc416383804"/>
      <w:bookmarkStart w:id="769" w:name="_Toc416447794"/>
      <w:bookmarkStart w:id="770" w:name="_Toc416383805"/>
      <w:bookmarkStart w:id="771" w:name="_Toc416447795"/>
      <w:bookmarkStart w:id="772" w:name="_Toc416383806"/>
      <w:bookmarkStart w:id="773" w:name="_Toc416447796"/>
      <w:bookmarkStart w:id="774" w:name="_Toc416383807"/>
      <w:bookmarkStart w:id="775" w:name="_Toc416447797"/>
      <w:bookmarkStart w:id="776" w:name="_Toc416383808"/>
      <w:bookmarkStart w:id="777" w:name="_Toc416447798"/>
      <w:bookmarkStart w:id="778" w:name="_Toc416383809"/>
      <w:bookmarkStart w:id="779" w:name="_Toc416447799"/>
      <w:bookmarkStart w:id="780" w:name="_Toc416383810"/>
      <w:bookmarkStart w:id="781" w:name="_Toc416447800"/>
      <w:bookmarkStart w:id="782" w:name="_Toc416383811"/>
      <w:bookmarkStart w:id="783" w:name="_Toc416447801"/>
      <w:bookmarkStart w:id="784" w:name="_Toc41680043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2C224A">
        <w:rPr>
          <w:rFonts w:ascii="Calibri" w:hAnsi="Calibri"/>
        </w:rPr>
        <w:t>Odhad absorpční kapacity veřejné podpory a finančního nástroje</w:t>
      </w:r>
    </w:p>
    <w:bookmarkEnd w:id="784"/>
    <w:p w:rsidR="006D67F1" w:rsidRPr="00A50943" w:rsidRDefault="006D67F1" w:rsidP="0004113A"/>
    <w:p w:rsidR="006D67F1" w:rsidRPr="002C224A" w:rsidRDefault="006D67F1">
      <w:pPr>
        <w:pStyle w:val="Neslovannadpisy"/>
      </w:pPr>
      <w:r w:rsidRPr="002C224A">
        <w:t>Odhad absorpční kapacity navrhovaných finančních nástrojů</w:t>
      </w:r>
    </w:p>
    <w:p w:rsidR="006D67F1" w:rsidRPr="002C224A" w:rsidRDefault="006D67F1" w:rsidP="00B21DA0">
      <w:r w:rsidRPr="002C224A">
        <w:t>Na základě výsledků dotazníku, zde zjištěné poptávce po úvěrech a extrapolaci na základě agregátních dat investiční a úvěrové aktivity MSP v minulých letech podle ČSÚ, MPO a OECD)</w:t>
      </w:r>
      <w:r w:rsidR="00734298">
        <w:t xml:space="preserve"> </w:t>
      </w:r>
      <w:r w:rsidRPr="002C224A">
        <w:t xml:space="preserve">byla namodelována odhadovaná </w:t>
      </w:r>
      <w:r w:rsidRPr="002C224A">
        <w:rPr>
          <w:b/>
        </w:rPr>
        <w:t>poptávka po podnikatelských úvěrech rozvíjejících se MSP v příštích letech (do roku 2020) na 661 mld. Kč</w:t>
      </w:r>
      <w:r w:rsidRPr="002C224A">
        <w:t>.</w:t>
      </w:r>
      <w:r w:rsidR="00114587" w:rsidRPr="002C224A">
        <w:t xml:space="preserve"> </w:t>
      </w:r>
      <w:r w:rsidRPr="002C224A">
        <w:t>Výsledky vycházejí z konzervativní projekce 350 mld. investic MSP ročně a relativně nižšího sklonu k úvěrům (na úrovni roku 2013).</w:t>
      </w:r>
    </w:p>
    <w:p w:rsidR="006D67F1" w:rsidRPr="002C224A" w:rsidRDefault="006D67F1" w:rsidP="00B21DA0"/>
    <w:p w:rsidR="006D67F1" w:rsidRPr="002C224A" w:rsidRDefault="006D67F1" w:rsidP="00B21DA0">
      <w:pPr>
        <w:rPr>
          <w:b/>
        </w:rPr>
      </w:pPr>
      <w:r w:rsidRPr="002C224A">
        <w:t xml:space="preserve">Při kvantifikaci tržního selhání (neuspokojené poptávky životaschopných projektů) je přihlíženo k referenční hodnotě neuspokojené poptávky z analýzy EK 2013 (minimální hodnota) a z neuspokojené poptávky po externím financování v dotazníku (maximální hodnota). </w:t>
      </w:r>
      <w:r w:rsidRPr="002C224A">
        <w:rPr>
          <w:b/>
        </w:rPr>
        <w:t xml:space="preserve">Tržní selhání v oblasti dluhového financování rozvoje MSP vhodné k intervenci finančním nástrojem OP PIK odhadujeme v intervalu </w:t>
      </w:r>
      <w:r w:rsidR="00152E6F" w:rsidRPr="002C224A">
        <w:rPr>
          <w:b/>
        </w:rPr>
        <w:t>27</w:t>
      </w:r>
      <w:r w:rsidRPr="002C224A">
        <w:rPr>
          <w:b/>
        </w:rPr>
        <w:t>-1</w:t>
      </w:r>
      <w:r w:rsidR="00152E6F" w:rsidRPr="002C224A">
        <w:rPr>
          <w:b/>
        </w:rPr>
        <w:t xml:space="preserve">13 </w:t>
      </w:r>
      <w:r w:rsidRPr="002C224A">
        <w:rPr>
          <w:b/>
        </w:rPr>
        <w:t>mld. Kč</w:t>
      </w:r>
      <w:r w:rsidR="00BE7068" w:rsidRPr="002C224A">
        <w:rPr>
          <w:b/>
        </w:rPr>
        <w:t xml:space="preserve"> (vzhledem k aktuálnosti nových dat pravděpodobně blíže k hornímu číslu)</w:t>
      </w:r>
      <w:r w:rsidRPr="002C224A">
        <w:rPr>
          <w:b/>
        </w:rPr>
        <w:t>. Tento rozptyl reprezentuje i vysokou citlivost úvěrové politiky bank a investic MSP na vývoj hospodářství.</w:t>
      </w:r>
    </w:p>
    <w:p w:rsidR="00152E6F" w:rsidRPr="002C224A" w:rsidRDefault="00152E6F" w:rsidP="00B21DA0"/>
    <w:tbl>
      <w:tblPr>
        <w:tblW w:w="9323" w:type="dxa"/>
        <w:tblBorders>
          <w:bottom w:val="single" w:sz="4" w:space="0" w:color="72C7E7"/>
          <w:insideH w:val="single" w:sz="4" w:space="0" w:color="72C7E7"/>
        </w:tblBorders>
        <w:tblCellMar>
          <w:top w:w="28" w:type="dxa"/>
          <w:left w:w="28" w:type="dxa"/>
          <w:bottom w:w="28" w:type="dxa"/>
          <w:right w:w="28" w:type="dxa"/>
        </w:tblCellMar>
        <w:tblLook w:val="04A0" w:firstRow="1" w:lastRow="0" w:firstColumn="1" w:lastColumn="0" w:noHBand="0" w:noVBand="1"/>
      </w:tblPr>
      <w:tblGrid>
        <w:gridCol w:w="2933"/>
        <w:gridCol w:w="1743"/>
        <w:gridCol w:w="2179"/>
        <w:gridCol w:w="1162"/>
        <w:gridCol w:w="1306"/>
      </w:tblGrid>
      <w:tr w:rsidR="00152E6F" w:rsidRPr="002C224A" w:rsidTr="007645D0">
        <w:trPr>
          <w:trHeight w:val="750"/>
        </w:trPr>
        <w:tc>
          <w:tcPr>
            <w:tcW w:w="2933" w:type="dxa"/>
            <w:shd w:val="clear" w:color="auto" w:fill="72C7E7"/>
            <w:vAlign w:val="center"/>
          </w:tcPr>
          <w:p w:rsidR="00152E6F" w:rsidRPr="002C224A" w:rsidRDefault="00152E6F" w:rsidP="007645D0">
            <w:pPr>
              <w:overflowPunct/>
              <w:autoSpaceDE/>
              <w:autoSpaceDN/>
              <w:adjustRightInd/>
              <w:jc w:val="center"/>
              <w:textAlignment w:val="auto"/>
              <w:rPr>
                <w:b/>
                <w:bCs/>
                <w:color w:val="FFFFFF"/>
                <w:sz w:val="19"/>
                <w:szCs w:val="19"/>
              </w:rPr>
            </w:pPr>
            <w:r w:rsidRPr="002C224A">
              <w:rPr>
                <w:b/>
                <w:bCs/>
                <w:color w:val="FFFFFF"/>
                <w:sz w:val="19"/>
                <w:szCs w:val="19"/>
              </w:rPr>
              <w:t>Mil. Kč</w:t>
            </w:r>
          </w:p>
        </w:tc>
        <w:tc>
          <w:tcPr>
            <w:tcW w:w="1743" w:type="dxa"/>
            <w:shd w:val="clear" w:color="auto" w:fill="72C7E7"/>
            <w:vAlign w:val="center"/>
          </w:tcPr>
          <w:p w:rsidR="00152E6F" w:rsidRPr="002C224A" w:rsidRDefault="00152E6F" w:rsidP="007645D0">
            <w:pPr>
              <w:overflowPunct/>
              <w:autoSpaceDE/>
              <w:autoSpaceDN/>
              <w:adjustRightInd/>
              <w:jc w:val="center"/>
              <w:textAlignment w:val="auto"/>
              <w:rPr>
                <w:b/>
                <w:bCs/>
                <w:color w:val="FFFFFF"/>
                <w:sz w:val="19"/>
                <w:szCs w:val="19"/>
              </w:rPr>
            </w:pPr>
            <w:r w:rsidRPr="002C224A">
              <w:rPr>
                <w:b/>
                <w:bCs/>
                <w:color w:val="FFFFFF"/>
                <w:sz w:val="19"/>
                <w:szCs w:val="19"/>
              </w:rPr>
              <w:t>Soubor z dotazníku (603 respondentů)</w:t>
            </w:r>
          </w:p>
        </w:tc>
        <w:tc>
          <w:tcPr>
            <w:tcW w:w="2179" w:type="dxa"/>
            <w:shd w:val="clear" w:color="auto" w:fill="72C7E7"/>
            <w:vAlign w:val="center"/>
          </w:tcPr>
          <w:p w:rsidR="00152E6F" w:rsidRPr="002C224A" w:rsidRDefault="00152E6F" w:rsidP="007645D0">
            <w:pPr>
              <w:overflowPunct/>
              <w:autoSpaceDE/>
              <w:autoSpaceDN/>
              <w:adjustRightInd/>
              <w:jc w:val="center"/>
              <w:textAlignment w:val="auto"/>
              <w:rPr>
                <w:b/>
                <w:bCs/>
                <w:color w:val="FFFFFF"/>
                <w:sz w:val="19"/>
                <w:szCs w:val="19"/>
              </w:rPr>
            </w:pPr>
            <w:r w:rsidRPr="002C224A">
              <w:rPr>
                <w:b/>
                <w:bCs/>
                <w:color w:val="FFFFFF"/>
                <w:sz w:val="19"/>
                <w:szCs w:val="19"/>
              </w:rPr>
              <w:t>Extrapolace (ČR, 2016-2023)</w:t>
            </w:r>
          </w:p>
        </w:tc>
        <w:tc>
          <w:tcPr>
            <w:tcW w:w="1162" w:type="dxa"/>
            <w:shd w:val="clear" w:color="auto" w:fill="72C7E7"/>
            <w:vAlign w:val="center"/>
          </w:tcPr>
          <w:p w:rsidR="00152E6F" w:rsidRPr="002C224A" w:rsidRDefault="00152E6F" w:rsidP="007645D0">
            <w:pPr>
              <w:overflowPunct/>
              <w:autoSpaceDE/>
              <w:autoSpaceDN/>
              <w:adjustRightInd/>
              <w:jc w:val="center"/>
              <w:textAlignment w:val="auto"/>
              <w:rPr>
                <w:b/>
                <w:bCs/>
                <w:color w:val="FFFFFF"/>
                <w:sz w:val="19"/>
                <w:szCs w:val="19"/>
              </w:rPr>
            </w:pPr>
            <w:r w:rsidRPr="002C224A">
              <w:rPr>
                <w:b/>
                <w:bCs/>
                <w:color w:val="FFFFFF"/>
                <w:sz w:val="19"/>
                <w:szCs w:val="19"/>
              </w:rPr>
              <w:t>Tržní selhání (EK)</w:t>
            </w:r>
          </w:p>
        </w:tc>
        <w:tc>
          <w:tcPr>
            <w:tcW w:w="1306" w:type="dxa"/>
            <w:shd w:val="clear" w:color="auto" w:fill="72C7E7"/>
            <w:vAlign w:val="center"/>
          </w:tcPr>
          <w:p w:rsidR="00152E6F" w:rsidRPr="002C224A" w:rsidRDefault="00152E6F" w:rsidP="007645D0">
            <w:pPr>
              <w:overflowPunct/>
              <w:autoSpaceDE/>
              <w:autoSpaceDN/>
              <w:adjustRightInd/>
              <w:jc w:val="center"/>
              <w:textAlignment w:val="auto"/>
              <w:rPr>
                <w:b/>
                <w:bCs/>
                <w:color w:val="FFFFFF"/>
                <w:sz w:val="19"/>
                <w:szCs w:val="19"/>
              </w:rPr>
            </w:pPr>
            <w:r w:rsidRPr="002C224A">
              <w:rPr>
                <w:b/>
                <w:bCs/>
                <w:color w:val="FFFFFF"/>
                <w:sz w:val="19"/>
                <w:szCs w:val="19"/>
              </w:rPr>
              <w:t>Tržní selhání (dotazník)</w:t>
            </w:r>
          </w:p>
        </w:tc>
      </w:tr>
      <w:tr w:rsidR="00152E6F" w:rsidRPr="002C224A" w:rsidTr="007645D0">
        <w:trPr>
          <w:trHeight w:val="315"/>
        </w:trPr>
        <w:tc>
          <w:tcPr>
            <w:tcW w:w="2933" w:type="dxa"/>
            <w:shd w:val="clear" w:color="auto" w:fill="FFFFFF"/>
            <w:noWrap/>
            <w:vAlign w:val="center"/>
          </w:tcPr>
          <w:p w:rsidR="00152E6F" w:rsidRPr="002C224A" w:rsidRDefault="00152E6F" w:rsidP="007645D0">
            <w:pPr>
              <w:overflowPunct/>
              <w:autoSpaceDE/>
              <w:autoSpaceDN/>
              <w:adjustRightInd/>
              <w:jc w:val="center"/>
              <w:textAlignment w:val="auto"/>
              <w:rPr>
                <w:b/>
                <w:bCs/>
                <w:color w:val="000000"/>
                <w:sz w:val="19"/>
                <w:szCs w:val="19"/>
              </w:rPr>
            </w:pPr>
            <w:r w:rsidRPr="00A50943">
              <w:rPr>
                <w:rFonts w:cs="Calibri"/>
                <w:b/>
                <w:bCs/>
                <w:color w:val="000000"/>
                <w:sz w:val="19"/>
                <w:szCs w:val="22"/>
              </w:rPr>
              <w:t>Plánované investice</w:t>
            </w:r>
          </w:p>
        </w:tc>
        <w:tc>
          <w:tcPr>
            <w:tcW w:w="1743"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rFonts w:cs="Calibri"/>
                <w:color w:val="000000"/>
                <w:sz w:val="19"/>
                <w:szCs w:val="22"/>
              </w:rPr>
              <w:t>7 985</w:t>
            </w:r>
          </w:p>
        </w:tc>
        <w:tc>
          <w:tcPr>
            <w:tcW w:w="2179"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rFonts w:cs="Calibri"/>
                <w:color w:val="000000"/>
                <w:sz w:val="19"/>
                <w:szCs w:val="22"/>
              </w:rPr>
              <w:t>780 000</w:t>
            </w:r>
          </w:p>
        </w:tc>
        <w:tc>
          <w:tcPr>
            <w:tcW w:w="1162"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rFonts w:cs="Calibri"/>
                <w:color w:val="000000"/>
                <w:sz w:val="19"/>
                <w:szCs w:val="22"/>
              </w:rPr>
              <w:t>41 000</w:t>
            </w:r>
          </w:p>
        </w:tc>
        <w:tc>
          <w:tcPr>
            <w:tcW w:w="1306"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color w:val="000000"/>
                <w:sz w:val="19"/>
                <w:szCs w:val="19"/>
              </w:rPr>
              <w:t>170 000</w:t>
            </w:r>
          </w:p>
        </w:tc>
      </w:tr>
      <w:tr w:rsidR="00152E6F" w:rsidRPr="002C224A" w:rsidTr="007645D0">
        <w:trPr>
          <w:trHeight w:val="315"/>
        </w:trPr>
        <w:tc>
          <w:tcPr>
            <w:tcW w:w="2933" w:type="dxa"/>
            <w:shd w:val="clear" w:color="auto" w:fill="FFFFFF"/>
            <w:noWrap/>
            <w:vAlign w:val="center"/>
          </w:tcPr>
          <w:p w:rsidR="00152E6F" w:rsidRPr="00A50943" w:rsidRDefault="00152E6F" w:rsidP="007645D0">
            <w:pPr>
              <w:overflowPunct/>
              <w:autoSpaceDE/>
              <w:autoSpaceDN/>
              <w:adjustRightInd/>
              <w:jc w:val="center"/>
              <w:textAlignment w:val="auto"/>
              <w:rPr>
                <w:b/>
                <w:bCs/>
                <w:color w:val="000000"/>
                <w:sz w:val="19"/>
                <w:szCs w:val="19"/>
              </w:rPr>
            </w:pPr>
            <w:r w:rsidRPr="00A50943">
              <w:rPr>
                <w:b/>
                <w:bCs/>
                <w:color w:val="000000"/>
                <w:sz w:val="19"/>
                <w:szCs w:val="19"/>
              </w:rPr>
              <w:t>Plánované externí financování</w:t>
            </w:r>
          </w:p>
        </w:tc>
        <w:tc>
          <w:tcPr>
            <w:tcW w:w="1743"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color w:val="000000"/>
                <w:sz w:val="19"/>
                <w:szCs w:val="19"/>
              </w:rPr>
              <w:t>5 350</w:t>
            </w:r>
          </w:p>
        </w:tc>
        <w:tc>
          <w:tcPr>
            <w:tcW w:w="2179"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color w:val="000000"/>
                <w:sz w:val="19"/>
                <w:szCs w:val="19"/>
              </w:rPr>
              <w:t>535 000</w:t>
            </w:r>
          </w:p>
        </w:tc>
        <w:tc>
          <w:tcPr>
            <w:tcW w:w="1162"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color w:val="000000"/>
                <w:sz w:val="19"/>
                <w:szCs w:val="19"/>
              </w:rPr>
              <w:t>27 000</w:t>
            </w:r>
          </w:p>
        </w:tc>
        <w:tc>
          <w:tcPr>
            <w:tcW w:w="1306" w:type="dxa"/>
            <w:shd w:val="clear" w:color="auto" w:fill="FFFFFF"/>
            <w:noWrap/>
            <w:vAlign w:val="center"/>
          </w:tcPr>
          <w:p w:rsidR="00152E6F" w:rsidRPr="002C224A" w:rsidRDefault="00152E6F" w:rsidP="007645D0">
            <w:pPr>
              <w:overflowPunct/>
              <w:autoSpaceDE/>
              <w:autoSpaceDN/>
              <w:adjustRightInd/>
              <w:jc w:val="center"/>
              <w:textAlignment w:val="auto"/>
              <w:rPr>
                <w:color w:val="000000"/>
                <w:sz w:val="19"/>
                <w:szCs w:val="19"/>
              </w:rPr>
            </w:pPr>
            <w:r w:rsidRPr="002C224A">
              <w:rPr>
                <w:color w:val="000000"/>
                <w:sz w:val="19"/>
                <w:szCs w:val="19"/>
              </w:rPr>
              <w:t>113 000</w:t>
            </w:r>
          </w:p>
        </w:tc>
      </w:tr>
    </w:tbl>
    <w:p w:rsidR="006D67F1" w:rsidRPr="002C224A" w:rsidRDefault="006D67F1" w:rsidP="00D64888">
      <w:pPr>
        <w:pStyle w:val="Titulek"/>
        <w:keepNext/>
      </w:pPr>
      <w:r w:rsidRPr="002C224A">
        <w:lastRenderedPageBreak/>
        <w:t>Tabulka</w:t>
      </w:r>
      <w:r w:rsidR="0084681B" w:rsidRPr="002C224A">
        <w:t xml:space="preserve"> </w:t>
      </w:r>
      <w:r w:rsidR="00C4105E">
        <w:t>34</w:t>
      </w:r>
      <w:r w:rsidRPr="002C224A">
        <w:t>: Odhad absorpční kapacity dluhových nástrojů OP PIK</w:t>
      </w:r>
    </w:p>
    <w:p w:rsidR="006D67F1" w:rsidRPr="00A50943" w:rsidRDefault="006D67F1">
      <w:pPr>
        <w:rPr>
          <w:lang w:eastAsia="en-US"/>
        </w:rPr>
      </w:pPr>
    </w:p>
    <w:p w:rsidR="006D67F1" w:rsidRPr="002C224A" w:rsidRDefault="006D67F1" w:rsidP="00777F5C">
      <w:r w:rsidRPr="002C224A">
        <w:t>V případě oblasti early stage MSP (fáze seed, startup) je vycházeno z indikovaných investic dotazovaných startupů v minulém období a zájmu o kapitálové vstupy (střední hodnota ze zjištění GEM a dotazníku).  Extrapolace je provedena na základě údajů GEM o počtu nových inovujících podnikatelů v technologicky náročnějších odvětvích. Kvůli vyloučení neživotaschopných</w:t>
      </w:r>
      <w:r w:rsidR="00C2097D" w:rsidRPr="002C224A">
        <w:t xml:space="preserve"> a nevhodných</w:t>
      </w:r>
      <w:r w:rsidRPr="002C224A">
        <w:t xml:space="preserve"> projektů je v potaz brána jedna desetina počtu, s projekcí do roku 2023 (index </w:t>
      </w:r>
      <w:r w:rsidR="00C2097D" w:rsidRPr="002C224A">
        <w:t>2,5</w:t>
      </w:r>
      <w:r w:rsidRPr="002C224A">
        <w:t xml:space="preserve">). Tržní selhání odvozujeme z poměru poptávaného a poskytnutého externího financování udávaného v dotazníku, kterého se účastnili převážně pokročilé startup projekty. Na základě těchto předpokladů </w:t>
      </w:r>
      <w:r w:rsidRPr="002C224A">
        <w:rPr>
          <w:b/>
        </w:rPr>
        <w:t xml:space="preserve">odvozujeme poptávku po kapitálových vstupech v příštím období v minimální úrovni </w:t>
      </w:r>
      <w:r w:rsidR="00542AFA" w:rsidRPr="002C224A">
        <w:rPr>
          <w:b/>
        </w:rPr>
        <w:t>3</w:t>
      </w:r>
      <w:r w:rsidR="00734298">
        <w:rPr>
          <w:b/>
        </w:rPr>
        <w:t>,5</w:t>
      </w:r>
      <w:r w:rsidRPr="002C224A">
        <w:rPr>
          <w:b/>
        </w:rPr>
        <w:t xml:space="preserve"> mld. Kč, z toho je </w:t>
      </w:r>
      <w:r w:rsidR="00542AFA" w:rsidRPr="002C224A">
        <w:rPr>
          <w:b/>
        </w:rPr>
        <w:t>1,</w:t>
      </w:r>
      <w:r w:rsidR="00734298">
        <w:rPr>
          <w:b/>
        </w:rPr>
        <w:t>5</w:t>
      </w:r>
      <w:r w:rsidR="00114587" w:rsidRPr="002C224A">
        <w:rPr>
          <w:b/>
        </w:rPr>
        <w:t xml:space="preserve"> </w:t>
      </w:r>
      <w:r w:rsidRPr="002C224A">
        <w:rPr>
          <w:b/>
        </w:rPr>
        <w:t>mld. Kč identifikováno jako tržní mezera pokrytelná finančním nástrojem.</w:t>
      </w:r>
      <w:r w:rsidR="002266A6" w:rsidRPr="002C224A">
        <w:rPr>
          <w:b/>
        </w:rPr>
        <w:t xml:space="preserve"> </w:t>
      </w:r>
      <w:r w:rsidRPr="002C224A">
        <w:t>Absorpční kapacitu může v příštím období pozitivně ovlivnit jak možný incentivizační efekt samotného finančního nástroje, tak další rozvoj měkké státní podpory v oblasti poradenství a podnikatelských inkubátorů. Výrazné navýšení absorpční kapacity pro finanční nástroj by znamenala úspěšná implementace nástroje v SC 1.2 proof-of-concept, které se nicméně může projevit až na konci programovacího období.</w:t>
      </w:r>
    </w:p>
    <w:p w:rsidR="00542AFA" w:rsidRPr="002C224A" w:rsidRDefault="00542AFA" w:rsidP="00777F5C"/>
    <w:p w:rsidR="006D67F1" w:rsidRPr="002C224A" w:rsidRDefault="006D67F1" w:rsidP="00D64888">
      <w:pPr>
        <w:pStyle w:val="Titulek"/>
        <w:keepNext/>
      </w:pPr>
      <w:r w:rsidRPr="002C224A">
        <w:t>Tabulka</w:t>
      </w:r>
      <w:r w:rsidR="00C4105E">
        <w:t xml:space="preserve"> 35</w:t>
      </w:r>
      <w:r w:rsidRPr="002C224A">
        <w:t>: Odhad absorpční kapacity rizikového kapitálu OP PIK</w:t>
      </w:r>
    </w:p>
    <w:tbl>
      <w:tblPr>
        <w:tblpPr w:leftFromText="141" w:rightFromText="141" w:vertAnchor="text" w:tblpY="1"/>
        <w:tblW w:w="8200" w:type="dxa"/>
        <w:tblBorders>
          <w:bottom w:val="single" w:sz="4" w:space="0" w:color="72C7E7"/>
          <w:insideH w:val="single" w:sz="4" w:space="0" w:color="72C7E7"/>
        </w:tblBorders>
        <w:tblCellMar>
          <w:top w:w="28" w:type="dxa"/>
          <w:left w:w="28" w:type="dxa"/>
          <w:bottom w:w="28" w:type="dxa"/>
          <w:right w:w="28" w:type="dxa"/>
        </w:tblCellMar>
        <w:tblLook w:val="04A0" w:firstRow="1" w:lastRow="0" w:firstColumn="1" w:lastColumn="0" w:noHBand="0" w:noVBand="1"/>
      </w:tblPr>
      <w:tblGrid>
        <w:gridCol w:w="3160"/>
        <w:gridCol w:w="1960"/>
        <w:gridCol w:w="1720"/>
        <w:gridCol w:w="1360"/>
      </w:tblGrid>
      <w:tr w:rsidR="00542AFA" w:rsidRPr="002C224A" w:rsidTr="005B4E91">
        <w:trPr>
          <w:trHeight w:val="750"/>
        </w:trPr>
        <w:tc>
          <w:tcPr>
            <w:tcW w:w="3160" w:type="dxa"/>
            <w:shd w:val="clear" w:color="auto" w:fill="72C7E7"/>
            <w:noWrap/>
          </w:tcPr>
          <w:p w:rsidR="00542AFA" w:rsidRPr="002C224A" w:rsidRDefault="00542AFA" w:rsidP="005B4E91">
            <w:pPr>
              <w:overflowPunct/>
              <w:autoSpaceDE/>
              <w:autoSpaceDN/>
              <w:adjustRightInd/>
              <w:jc w:val="center"/>
              <w:textAlignment w:val="auto"/>
              <w:rPr>
                <w:b/>
                <w:bCs/>
                <w:color w:val="FFFFFF"/>
                <w:szCs w:val="22"/>
              </w:rPr>
            </w:pPr>
            <w:r w:rsidRPr="00A50943">
              <w:rPr>
                <w:b/>
                <w:bCs/>
                <w:color w:val="FFFFFF"/>
                <w:szCs w:val="22"/>
              </w:rPr>
              <w:t>Mi</w:t>
            </w:r>
            <w:r w:rsidRPr="002C224A">
              <w:rPr>
                <w:b/>
                <w:bCs/>
                <w:color w:val="FFFFFF"/>
                <w:szCs w:val="22"/>
              </w:rPr>
              <w:t>l. Kč</w:t>
            </w:r>
          </w:p>
        </w:tc>
        <w:tc>
          <w:tcPr>
            <w:tcW w:w="1960" w:type="dxa"/>
            <w:shd w:val="clear" w:color="auto" w:fill="72C7E7"/>
          </w:tcPr>
          <w:p w:rsidR="00542AFA" w:rsidRPr="002C224A" w:rsidRDefault="00542AFA" w:rsidP="005B4E91">
            <w:pPr>
              <w:overflowPunct/>
              <w:autoSpaceDE/>
              <w:autoSpaceDN/>
              <w:adjustRightInd/>
              <w:jc w:val="center"/>
              <w:textAlignment w:val="auto"/>
              <w:rPr>
                <w:b/>
                <w:bCs/>
                <w:color w:val="FFFFFF"/>
                <w:szCs w:val="22"/>
              </w:rPr>
            </w:pPr>
            <w:r w:rsidRPr="002C224A">
              <w:rPr>
                <w:b/>
                <w:bCs/>
                <w:color w:val="FFFFFF"/>
                <w:szCs w:val="22"/>
              </w:rPr>
              <w:t>Soubor z dotazníku (55)</w:t>
            </w:r>
          </w:p>
        </w:tc>
        <w:tc>
          <w:tcPr>
            <w:tcW w:w="1720" w:type="dxa"/>
            <w:shd w:val="clear" w:color="auto" w:fill="72C7E7"/>
          </w:tcPr>
          <w:p w:rsidR="00542AFA" w:rsidRPr="002C224A" w:rsidRDefault="00542AFA" w:rsidP="005B4E91">
            <w:pPr>
              <w:overflowPunct/>
              <w:autoSpaceDE/>
              <w:autoSpaceDN/>
              <w:adjustRightInd/>
              <w:jc w:val="center"/>
              <w:textAlignment w:val="auto"/>
              <w:rPr>
                <w:b/>
                <w:bCs/>
                <w:color w:val="FFFFFF"/>
                <w:szCs w:val="22"/>
              </w:rPr>
            </w:pPr>
            <w:r w:rsidRPr="002C224A">
              <w:rPr>
                <w:b/>
                <w:bCs/>
                <w:color w:val="FFFFFF"/>
                <w:szCs w:val="22"/>
              </w:rPr>
              <w:t>Extrapolace (GEM, 2016-2023)</w:t>
            </w:r>
          </w:p>
        </w:tc>
        <w:tc>
          <w:tcPr>
            <w:tcW w:w="1360" w:type="dxa"/>
            <w:shd w:val="clear" w:color="auto" w:fill="72C7E7"/>
          </w:tcPr>
          <w:p w:rsidR="00542AFA" w:rsidRPr="002C224A" w:rsidRDefault="00542AFA" w:rsidP="005B4E91">
            <w:pPr>
              <w:overflowPunct/>
              <w:autoSpaceDE/>
              <w:autoSpaceDN/>
              <w:adjustRightInd/>
              <w:jc w:val="center"/>
              <w:textAlignment w:val="auto"/>
              <w:rPr>
                <w:b/>
                <w:bCs/>
                <w:color w:val="FFFFFF"/>
                <w:szCs w:val="22"/>
              </w:rPr>
            </w:pPr>
            <w:r w:rsidRPr="002C224A">
              <w:rPr>
                <w:b/>
                <w:bCs/>
                <w:color w:val="FFFFFF"/>
                <w:szCs w:val="22"/>
              </w:rPr>
              <w:t>Tržní selhání (dotazník)</w:t>
            </w:r>
          </w:p>
        </w:tc>
      </w:tr>
      <w:tr w:rsidR="00EE0DF5" w:rsidRPr="002C224A" w:rsidTr="00331BB7">
        <w:trPr>
          <w:trHeight w:val="300"/>
        </w:trPr>
        <w:tc>
          <w:tcPr>
            <w:tcW w:w="3160" w:type="dxa"/>
            <w:shd w:val="clear" w:color="auto" w:fill="FFFFFF"/>
            <w:noWrap/>
          </w:tcPr>
          <w:p w:rsidR="00EE0DF5" w:rsidRPr="00A50943" w:rsidRDefault="00EE0DF5" w:rsidP="00EE0DF5">
            <w:pPr>
              <w:overflowPunct/>
              <w:autoSpaceDE/>
              <w:autoSpaceDN/>
              <w:adjustRightInd/>
              <w:jc w:val="center"/>
              <w:textAlignment w:val="auto"/>
              <w:rPr>
                <w:b/>
                <w:bCs/>
                <w:color w:val="000000"/>
                <w:szCs w:val="22"/>
              </w:rPr>
            </w:pPr>
            <w:r w:rsidRPr="00A50943">
              <w:rPr>
                <w:b/>
                <w:bCs/>
                <w:color w:val="000000"/>
                <w:szCs w:val="22"/>
              </w:rPr>
              <w:t>Investiční poptávka</w:t>
            </w:r>
          </w:p>
        </w:tc>
        <w:tc>
          <w:tcPr>
            <w:tcW w:w="1960" w:type="dxa"/>
            <w:shd w:val="clear" w:color="auto" w:fill="FFFFFF"/>
            <w:noWrap/>
            <w:vAlign w:val="center"/>
          </w:tcPr>
          <w:p w:rsidR="00EE0DF5" w:rsidRPr="002C224A" w:rsidRDefault="00EE0DF5" w:rsidP="00EE0DF5">
            <w:pPr>
              <w:overflowPunct/>
              <w:autoSpaceDE/>
              <w:autoSpaceDN/>
              <w:adjustRightInd/>
              <w:jc w:val="center"/>
              <w:textAlignment w:val="auto"/>
              <w:rPr>
                <w:color w:val="000000"/>
                <w:szCs w:val="22"/>
              </w:rPr>
            </w:pPr>
            <w:r>
              <w:rPr>
                <w:color w:val="000000"/>
                <w:szCs w:val="22"/>
              </w:rPr>
              <w:t xml:space="preserve">                               570    </w:t>
            </w:r>
          </w:p>
        </w:tc>
        <w:tc>
          <w:tcPr>
            <w:tcW w:w="1720" w:type="dxa"/>
            <w:shd w:val="clear" w:color="auto" w:fill="FFFFFF"/>
            <w:noWrap/>
            <w:vAlign w:val="center"/>
          </w:tcPr>
          <w:p w:rsidR="00EE0DF5" w:rsidRPr="002C224A" w:rsidRDefault="00EE0DF5" w:rsidP="005E0C75">
            <w:pPr>
              <w:overflowPunct/>
              <w:autoSpaceDE/>
              <w:autoSpaceDN/>
              <w:adjustRightInd/>
              <w:jc w:val="center"/>
              <w:textAlignment w:val="auto"/>
              <w:rPr>
                <w:color w:val="000000"/>
                <w:szCs w:val="22"/>
              </w:rPr>
            </w:pPr>
            <w:r>
              <w:rPr>
                <w:color w:val="000000"/>
                <w:szCs w:val="22"/>
              </w:rPr>
              <w:t xml:space="preserve">                      7 470    </w:t>
            </w:r>
          </w:p>
        </w:tc>
        <w:tc>
          <w:tcPr>
            <w:tcW w:w="1360" w:type="dxa"/>
            <w:shd w:val="clear" w:color="auto" w:fill="FFFFFF"/>
            <w:noWrap/>
            <w:vAlign w:val="center"/>
          </w:tcPr>
          <w:p w:rsidR="00EE0DF5" w:rsidRPr="002C224A" w:rsidRDefault="00EE0DF5" w:rsidP="00EE0DF5">
            <w:pPr>
              <w:overflowPunct/>
              <w:autoSpaceDE/>
              <w:autoSpaceDN/>
              <w:adjustRightInd/>
              <w:jc w:val="center"/>
              <w:textAlignment w:val="auto"/>
              <w:rPr>
                <w:color w:val="000000"/>
                <w:szCs w:val="22"/>
              </w:rPr>
            </w:pPr>
            <w:r>
              <w:rPr>
                <w:color w:val="000000"/>
                <w:szCs w:val="22"/>
              </w:rPr>
              <w:t xml:space="preserve">              3 560    </w:t>
            </w:r>
          </w:p>
        </w:tc>
      </w:tr>
      <w:tr w:rsidR="00EE0DF5" w:rsidRPr="002C224A" w:rsidTr="00331BB7">
        <w:trPr>
          <w:trHeight w:val="300"/>
        </w:trPr>
        <w:tc>
          <w:tcPr>
            <w:tcW w:w="3160" w:type="dxa"/>
            <w:shd w:val="clear" w:color="auto" w:fill="FFFFFF"/>
          </w:tcPr>
          <w:p w:rsidR="00EE0DF5" w:rsidRPr="00A50943" w:rsidRDefault="00EE0DF5" w:rsidP="00EE0DF5">
            <w:pPr>
              <w:overflowPunct/>
              <w:autoSpaceDE/>
              <w:autoSpaceDN/>
              <w:adjustRightInd/>
              <w:jc w:val="center"/>
              <w:textAlignment w:val="auto"/>
              <w:rPr>
                <w:b/>
                <w:bCs/>
                <w:color w:val="000000"/>
                <w:szCs w:val="22"/>
              </w:rPr>
            </w:pPr>
            <w:r w:rsidRPr="00A50943">
              <w:rPr>
                <w:b/>
                <w:bCs/>
                <w:color w:val="000000"/>
                <w:szCs w:val="22"/>
              </w:rPr>
              <w:t>Externí financování</w:t>
            </w:r>
          </w:p>
        </w:tc>
        <w:tc>
          <w:tcPr>
            <w:tcW w:w="1960" w:type="dxa"/>
            <w:shd w:val="clear" w:color="auto" w:fill="FFFFFF"/>
            <w:noWrap/>
            <w:vAlign w:val="center"/>
          </w:tcPr>
          <w:p w:rsidR="00EE0DF5" w:rsidRPr="002C224A" w:rsidRDefault="00EE0DF5" w:rsidP="00EE0DF5">
            <w:pPr>
              <w:overflowPunct/>
              <w:autoSpaceDE/>
              <w:autoSpaceDN/>
              <w:adjustRightInd/>
              <w:jc w:val="center"/>
              <w:textAlignment w:val="auto"/>
              <w:rPr>
                <w:color w:val="000000"/>
                <w:szCs w:val="22"/>
              </w:rPr>
            </w:pPr>
            <w:r>
              <w:rPr>
                <w:color w:val="000000"/>
                <w:szCs w:val="22"/>
              </w:rPr>
              <w:t xml:space="preserve">                               407    </w:t>
            </w:r>
          </w:p>
        </w:tc>
        <w:tc>
          <w:tcPr>
            <w:tcW w:w="1720" w:type="dxa"/>
            <w:shd w:val="clear" w:color="auto" w:fill="FFFFFF"/>
            <w:noWrap/>
            <w:vAlign w:val="center"/>
          </w:tcPr>
          <w:p w:rsidR="00EE0DF5" w:rsidRPr="002C224A" w:rsidRDefault="00EE0DF5" w:rsidP="005E0C75">
            <w:pPr>
              <w:overflowPunct/>
              <w:autoSpaceDE/>
              <w:autoSpaceDN/>
              <w:adjustRightInd/>
              <w:jc w:val="center"/>
              <w:textAlignment w:val="auto"/>
              <w:rPr>
                <w:color w:val="000000"/>
                <w:szCs w:val="22"/>
              </w:rPr>
            </w:pPr>
            <w:r>
              <w:rPr>
                <w:color w:val="000000"/>
                <w:szCs w:val="22"/>
              </w:rPr>
              <w:t xml:space="preserve">                      5 340    </w:t>
            </w:r>
          </w:p>
        </w:tc>
        <w:tc>
          <w:tcPr>
            <w:tcW w:w="1360" w:type="dxa"/>
            <w:shd w:val="clear" w:color="auto" w:fill="FFFFFF"/>
            <w:noWrap/>
            <w:vAlign w:val="center"/>
          </w:tcPr>
          <w:p w:rsidR="00EE0DF5" w:rsidRPr="002C224A" w:rsidRDefault="00EE0DF5" w:rsidP="00EE0DF5">
            <w:pPr>
              <w:overflowPunct/>
              <w:autoSpaceDE/>
              <w:autoSpaceDN/>
              <w:adjustRightInd/>
              <w:jc w:val="center"/>
              <w:textAlignment w:val="auto"/>
              <w:rPr>
                <w:color w:val="000000"/>
                <w:szCs w:val="22"/>
              </w:rPr>
            </w:pPr>
            <w:r>
              <w:rPr>
                <w:color w:val="000000"/>
                <w:szCs w:val="22"/>
              </w:rPr>
              <w:t xml:space="preserve">              2 540    </w:t>
            </w:r>
          </w:p>
        </w:tc>
      </w:tr>
      <w:tr w:rsidR="00EE0DF5" w:rsidRPr="002C224A" w:rsidTr="00331BB7">
        <w:trPr>
          <w:trHeight w:val="396"/>
        </w:trPr>
        <w:tc>
          <w:tcPr>
            <w:tcW w:w="3160" w:type="dxa"/>
            <w:shd w:val="clear" w:color="auto" w:fill="FFFFFF"/>
          </w:tcPr>
          <w:p w:rsidR="00EE0DF5" w:rsidRPr="00A50943" w:rsidRDefault="00EE0DF5" w:rsidP="00EE0DF5">
            <w:pPr>
              <w:overflowPunct/>
              <w:autoSpaceDE/>
              <w:autoSpaceDN/>
              <w:adjustRightInd/>
              <w:jc w:val="center"/>
              <w:textAlignment w:val="auto"/>
              <w:rPr>
                <w:b/>
                <w:bCs/>
                <w:color w:val="000000"/>
                <w:szCs w:val="22"/>
              </w:rPr>
            </w:pPr>
            <w:r w:rsidRPr="00A50943">
              <w:rPr>
                <w:b/>
                <w:bCs/>
                <w:color w:val="000000"/>
                <w:szCs w:val="22"/>
              </w:rPr>
              <w:t>Absorpční kapacita</w:t>
            </w:r>
            <w:r>
              <w:rPr>
                <w:b/>
                <w:bCs/>
                <w:color w:val="000000"/>
                <w:szCs w:val="22"/>
              </w:rPr>
              <w:t xml:space="preserve"> nástroje</w:t>
            </w:r>
            <w:r w:rsidRPr="00A50943">
              <w:rPr>
                <w:b/>
                <w:bCs/>
                <w:color w:val="000000"/>
                <w:szCs w:val="22"/>
              </w:rPr>
              <w:t xml:space="preserve"> kapitálových vstupů</w:t>
            </w:r>
          </w:p>
        </w:tc>
        <w:tc>
          <w:tcPr>
            <w:tcW w:w="1960" w:type="dxa"/>
            <w:shd w:val="clear" w:color="auto" w:fill="FFFFFF"/>
            <w:noWrap/>
            <w:vAlign w:val="center"/>
          </w:tcPr>
          <w:p w:rsidR="00EE0DF5" w:rsidRPr="002C224A" w:rsidRDefault="00EE0DF5" w:rsidP="00EE0DF5">
            <w:pPr>
              <w:overflowPunct/>
              <w:autoSpaceDE/>
              <w:autoSpaceDN/>
              <w:adjustRightInd/>
              <w:jc w:val="center"/>
              <w:textAlignment w:val="auto"/>
              <w:rPr>
                <w:color w:val="000000"/>
                <w:szCs w:val="22"/>
              </w:rPr>
            </w:pPr>
            <w:r>
              <w:rPr>
                <w:color w:val="000000"/>
                <w:szCs w:val="22"/>
              </w:rPr>
              <w:t xml:space="preserve">                               240    </w:t>
            </w:r>
          </w:p>
        </w:tc>
        <w:tc>
          <w:tcPr>
            <w:tcW w:w="1720" w:type="dxa"/>
            <w:shd w:val="clear" w:color="auto" w:fill="FFFFFF"/>
            <w:noWrap/>
            <w:vAlign w:val="center"/>
          </w:tcPr>
          <w:p w:rsidR="00EE0DF5" w:rsidRPr="002C224A" w:rsidRDefault="00EE0DF5" w:rsidP="005E0C75">
            <w:pPr>
              <w:overflowPunct/>
              <w:autoSpaceDE/>
              <w:autoSpaceDN/>
              <w:adjustRightInd/>
              <w:jc w:val="center"/>
              <w:textAlignment w:val="auto"/>
              <w:rPr>
                <w:color w:val="000000"/>
                <w:szCs w:val="22"/>
              </w:rPr>
            </w:pPr>
            <w:r>
              <w:rPr>
                <w:color w:val="000000"/>
                <w:szCs w:val="22"/>
              </w:rPr>
              <w:t xml:space="preserve">                      3 150    </w:t>
            </w:r>
          </w:p>
        </w:tc>
        <w:tc>
          <w:tcPr>
            <w:tcW w:w="1360" w:type="dxa"/>
            <w:shd w:val="clear" w:color="auto" w:fill="FFFFFF"/>
            <w:noWrap/>
            <w:vAlign w:val="center"/>
          </w:tcPr>
          <w:p w:rsidR="00EE0DF5" w:rsidRPr="002C224A" w:rsidRDefault="00EE0DF5" w:rsidP="00EE0DF5">
            <w:pPr>
              <w:overflowPunct/>
              <w:autoSpaceDE/>
              <w:autoSpaceDN/>
              <w:adjustRightInd/>
              <w:jc w:val="center"/>
              <w:textAlignment w:val="auto"/>
              <w:rPr>
                <w:color w:val="000000"/>
                <w:szCs w:val="22"/>
              </w:rPr>
            </w:pPr>
            <w:r>
              <w:rPr>
                <w:color w:val="000000"/>
                <w:szCs w:val="22"/>
              </w:rPr>
              <w:t xml:space="preserve">              1 500    </w:t>
            </w:r>
          </w:p>
        </w:tc>
      </w:tr>
    </w:tbl>
    <w:p w:rsidR="006D67F1" w:rsidRPr="00A50943" w:rsidRDefault="006D67F1" w:rsidP="00777F5C"/>
    <w:p w:rsidR="006D67F1" w:rsidRPr="002C224A" w:rsidRDefault="006D67F1" w:rsidP="00063A4C">
      <w:pPr>
        <w:pStyle w:val="Nadpis4"/>
        <w:rPr>
          <w:rFonts w:ascii="Calibri" w:hAnsi="Calibri"/>
        </w:rPr>
      </w:pPr>
      <w:bookmarkStart w:id="785" w:name="_Toc416800439"/>
      <w:r w:rsidRPr="002C224A">
        <w:rPr>
          <w:rFonts w:ascii="Calibri" w:hAnsi="Calibri"/>
        </w:rPr>
        <w:t>Identifikace selhání trhu a suboptimálních investičních situací</w:t>
      </w:r>
    </w:p>
    <w:p w:rsidR="006D67F1" w:rsidRPr="00A50943" w:rsidRDefault="006D67F1" w:rsidP="00D92A2B">
      <w:pPr>
        <w:pStyle w:val="Neslovannadpisy"/>
      </w:pPr>
    </w:p>
    <w:bookmarkEnd w:id="785"/>
    <w:p w:rsidR="006D67F1" w:rsidRPr="002C224A" w:rsidRDefault="006D67F1" w:rsidP="00D92A2B">
      <w:pPr>
        <w:pStyle w:val="Neslovannadpisy"/>
      </w:pPr>
      <w:r w:rsidRPr="002C224A">
        <w:t>Financování rozvinutých MSP</w:t>
      </w:r>
    </w:p>
    <w:p w:rsidR="006D67F1" w:rsidRPr="002C224A" w:rsidRDefault="006D67F1" w:rsidP="00D92A2B">
      <w:r w:rsidRPr="002C224A">
        <w:t>Schopnost finančního trhu efektivně alokovat zdroje ve prospěch financování MSP lze odvodit od celkové výše úvěrů poskytnutých malým a středním podnikům za určité období, jejich počtu, podílu na celkovém počtu MSP, podílu MSP, které žádaly o financování a především odhadovaného podílu malých a středních podniků, které nezískaly potřebné financování, ačkoliv byly schopné předložit životaschopný obchodní plán (odmítnuté, nezískaly financování v plné výši nebo o něj nežádaly).</w:t>
      </w:r>
    </w:p>
    <w:p w:rsidR="006D67F1" w:rsidRPr="002C224A" w:rsidRDefault="006D67F1" w:rsidP="00871EC9"/>
    <w:p w:rsidR="006D67F1" w:rsidRPr="002C224A" w:rsidRDefault="006D67F1" w:rsidP="00871EC9">
      <w:r w:rsidRPr="002C224A">
        <w:t>Výsledky dotazníkového šetření uvedené v předešlé kapitole a technické příloze ukazují obecně relativně dobrý přístup MSP k úvěrům, byť omezení pro rizikovější projekty existuje.</w:t>
      </w:r>
      <w:r w:rsidR="00114587" w:rsidRPr="002C224A">
        <w:t xml:space="preserve"> </w:t>
      </w:r>
      <w:r w:rsidRPr="002C224A">
        <w:t xml:space="preserve">S těmito závěry korespondují i nezávislé analýzy, které dokládají relativně dobrý přístup MSP ke kapitálu. </w:t>
      </w:r>
      <w:r w:rsidRPr="002C224A">
        <w:rPr>
          <w:b/>
        </w:rPr>
        <w:t>Z</w:t>
      </w:r>
      <w:r w:rsidR="00734298">
        <w:rPr>
          <w:b/>
        </w:rPr>
        <w:t>e starší</w:t>
      </w:r>
      <w:r w:rsidRPr="002C224A">
        <w:rPr>
          <w:b/>
        </w:rPr>
        <w:t xml:space="preserve"> analýzy Evropské komise vyplývá neuspokojená investiční potřeba životaschopných projektů mezi lety 2009 -2011 v rozmezí 124 – </w:t>
      </w:r>
      <w:smartTag w:uri="urn:schemas-microsoft-com:office:smarttags" w:element="metricconverter">
        <w:smartTagPr>
          <w:attr w:name="ProductID" w:val="871 mil"/>
        </w:smartTagPr>
        <w:r w:rsidRPr="002C224A">
          <w:rPr>
            <w:b/>
          </w:rPr>
          <w:t>871 mil</w:t>
        </w:r>
      </w:smartTag>
      <w:r w:rsidRPr="002C224A">
        <w:rPr>
          <w:b/>
        </w:rPr>
        <w:t>. €</w:t>
      </w:r>
      <w:r w:rsidRPr="002C224A">
        <w:t xml:space="preserve">. Dále EK dochází k závěru, že </w:t>
      </w:r>
      <w:r w:rsidRPr="002C224A">
        <w:rPr>
          <w:b/>
        </w:rPr>
        <w:t>podíl finančně životaschopných MSP v České republice, které nezískaly potřebné financování, byl v období 2009-2011 5,1 %</w:t>
      </w:r>
      <w:r w:rsidRPr="00A50943">
        <w:rPr>
          <w:vertAlign w:val="superscript"/>
        </w:rPr>
        <w:footnoteReference w:id="27"/>
      </w:r>
      <w:r w:rsidRPr="00A50943">
        <w:t>.</w:t>
      </w:r>
      <w:r w:rsidR="00114587" w:rsidRPr="002C224A">
        <w:t xml:space="preserve"> </w:t>
      </w:r>
      <w:r w:rsidRPr="002C224A">
        <w:t>Úroveň úvěrů zůstávala od té doby konstantní kromě poklesu v roce 2013, který bude ale vzhledem k růstu hospodářství zřejmě korigován v dalších letech. Z hodnoty se tedy dá vycházet jako z referenční. Starší analýza EIF z roku 2007</w:t>
      </w:r>
      <w:r w:rsidRPr="002C224A">
        <w:rPr>
          <w:rStyle w:val="Znakapoznpodarou"/>
          <w:rFonts w:ascii="Calibri" w:hAnsi="Calibri"/>
        </w:rPr>
        <w:footnoteReference w:id="28"/>
      </w:r>
      <w:r w:rsidRPr="00A50943">
        <w:t xml:space="preserve"> uvádí, že o komerční úvěr žádalo 60 % českých MSP, přičemž uspěly dvě třetiny z nich</w:t>
      </w:r>
      <w:r w:rsidRPr="002C224A">
        <w:rPr>
          <w:b/>
        </w:rPr>
        <w:t>.</w:t>
      </w:r>
      <w:r w:rsidRPr="002C224A">
        <w:t xml:space="preserve"> Nejčastějšími důvody nedokončení úvěrovacího procesu byly dle vyjádření žadatelů přílišné informační požadavky bank, složitá administrace úvěru a příliš dlouhá doba trvání vyřízení. V evropském průměru se dluhově financuje více než 50 % MSP.</w:t>
      </w:r>
    </w:p>
    <w:p w:rsidR="006D67F1" w:rsidRPr="002C224A" w:rsidRDefault="006D67F1" w:rsidP="00D92A2B"/>
    <w:p w:rsidR="006D67F1" w:rsidRPr="002C224A" w:rsidRDefault="006D67F1" w:rsidP="00A25D0A">
      <w:r w:rsidRPr="002C224A">
        <w:lastRenderedPageBreak/>
        <w:t>I jiné zdroje docházejí k podobným závěrům – v České republice není problémem přístup k financování MSP jako celku. V podmínkách České republiky lze hovořit spíše o suboptimálních investičních situacích než o přímých tržních selháních.</w:t>
      </w:r>
      <w:r w:rsidR="0021034B" w:rsidRPr="002C224A">
        <w:t xml:space="preserve"> </w:t>
      </w:r>
      <w:r w:rsidRPr="002C224A">
        <w:t>Problém do jisté míry představují faktory ležící mimo finanční trh.</w:t>
      </w:r>
      <w:r w:rsidR="0021034B" w:rsidRPr="002C224A">
        <w:t xml:space="preserve"> </w:t>
      </w:r>
      <w:r w:rsidRPr="002C224A">
        <w:t xml:space="preserve">Útlum investic navazuje na ztížený odbyt na domácím trhu (spotřeba byla hlavní příčinou hospodářského poklesu ČR v roce 2013) i trzích hlavních obchodních partnerů. Malé a střední podniky tedy často své investiční aktivity nerealizují vůbec, nebo je realizují jen v omezeném rozsahu z důvodu nejistoty spolehlivosti predikcí budoucího vývoje hospodářství a tedy i finančních toků a základních ekonomických parametrů investice. </w:t>
      </w:r>
      <w:r w:rsidRPr="002C224A">
        <w:rPr>
          <w:b/>
        </w:rPr>
        <w:t>Lze předpokládat poměrně značný podíl podniků, které svůj obchodní plán vůbec nepředložily</w:t>
      </w:r>
      <w:r w:rsidRPr="002C224A">
        <w:t xml:space="preserve">, </w:t>
      </w:r>
      <w:r w:rsidRPr="002C224A">
        <w:rPr>
          <w:b/>
        </w:rPr>
        <w:t>a to z důvodů ležících zejména mimo finanční trhy.</w:t>
      </w:r>
    </w:p>
    <w:p w:rsidR="006D67F1" w:rsidRPr="002C224A" w:rsidRDefault="006D67F1" w:rsidP="00003786">
      <w:pPr>
        <w:rPr>
          <w:b/>
        </w:rPr>
      </w:pPr>
    </w:p>
    <w:p w:rsidR="006D67F1" w:rsidRPr="002C224A" w:rsidRDefault="006D67F1" w:rsidP="00E74691">
      <w:r w:rsidRPr="002C224A">
        <w:t>Rozsah problémů se samotnou dostupností úvěrů pro MSP však v současné době může narůstat, i přes klesající úrokové sazby. Z vývoje sazeb je zřejmé, že i přes současný pokles depozitních sazeb se nutně musela snížit úroková marže bank. Bankovní sektor je současně pod tlakem opatření regulátora k posílení stability bank, což se projevilo na zvýšení ukazatele kapitálového poměru. Nákladové tlaky a tlaky na banky vedoucí k poklesu výnosů rostou. Současně však neslábne tlak jejich akcionářů na ziskovost, která se u velkých bank drží v evropském srovnání na velmi vysoké úrovni. Z uvedených důvodů nezbytně roste úsilí bank o co nejvyšší míru zajištění úvěrů a tím i minimalizaci ztrát z úvěrů v případě defaultu klienta. I přes klesající úrokové sazby tedy může být pro některé MSP na současném trhu přístup k úvěrovému financování obtížnější.</w:t>
      </w:r>
    </w:p>
    <w:p w:rsidR="006D67F1" w:rsidRPr="002C224A" w:rsidRDefault="006D67F1" w:rsidP="00E74691"/>
    <w:p w:rsidR="006D67F1" w:rsidRPr="002C224A" w:rsidRDefault="006D67F1" w:rsidP="00E74691">
      <w:r w:rsidRPr="002C224A">
        <w:t>Nutno také dodat, že relativně dobrou dostupnost úvěrů MSP v minulém období ovlivnila významně i veřejná podpora formou záručních a úvěrových nástrojů nabízených ČMZRB, která tak ukazuje svou funkčnost.</w:t>
      </w:r>
    </w:p>
    <w:p w:rsidR="006D67F1" w:rsidRPr="002C224A" w:rsidRDefault="006D67F1" w:rsidP="00003786"/>
    <w:p w:rsidR="006D67F1" w:rsidRPr="002C224A" w:rsidRDefault="006D67F1" w:rsidP="00A25D0A">
      <w:r w:rsidRPr="002C224A">
        <w:t>Podpora prostřednictvím záruk a zvýhodněných úvěrů může při vhodném nastavení pomoci efektivně zaplnit předpokládanou tržní mezeru z důvodu snížení rizika jak na straně úvěrující instituce, tak především i na straně úvěrovaného MSP, kterému pomůže snížit náklady na financování.</w:t>
      </w:r>
    </w:p>
    <w:p w:rsidR="006D67F1" w:rsidRPr="002C224A" w:rsidRDefault="006D67F1" w:rsidP="00D92A2B"/>
    <w:p w:rsidR="006D67F1" w:rsidRPr="002C224A" w:rsidRDefault="006D67F1" w:rsidP="00D740C1">
      <w:pPr>
        <w:pStyle w:val="Neslovannadpisy"/>
      </w:pPr>
      <w:r w:rsidRPr="002C224A">
        <w:t>Financování early</w:t>
      </w:r>
      <w:r w:rsidR="00F34F41" w:rsidRPr="002C224A">
        <w:t xml:space="preserve"> </w:t>
      </w:r>
      <w:r w:rsidRPr="002C224A">
        <w:t>stage</w:t>
      </w:r>
    </w:p>
    <w:p w:rsidR="006D67F1" w:rsidRPr="002C224A" w:rsidRDefault="006D67F1" w:rsidP="009A0183">
      <w:r w:rsidRPr="002C224A">
        <w:t>Rizikový kapitál a kvazi-kapitálové vstupy jsou pro firmy ve stádiu early</w:t>
      </w:r>
      <w:r w:rsidR="00F34F41" w:rsidRPr="002C224A">
        <w:t xml:space="preserve"> </w:t>
      </w:r>
      <w:r w:rsidRPr="002C224A">
        <w:t>stage nejefektivnější formou financování z hlediska jejich rychlého růstu.</w:t>
      </w:r>
      <w:r w:rsidR="002266A6" w:rsidRPr="002C224A">
        <w:t xml:space="preserve"> </w:t>
      </w:r>
      <w:r w:rsidRPr="002C224A">
        <w:rPr>
          <w:b/>
        </w:rPr>
        <w:t>Malá rozvinutost českého trhu v této oblasti tak ukazuje na významné tržní selhání, které omezuje potenciál rozvoje nových inovativních podnikatelských projektů v ČR.</w:t>
      </w:r>
    </w:p>
    <w:p w:rsidR="006D67F1" w:rsidRPr="002C224A" w:rsidRDefault="006D67F1" w:rsidP="009A0183"/>
    <w:p w:rsidR="006D67F1" w:rsidRPr="002C224A" w:rsidRDefault="006D67F1">
      <w:r w:rsidRPr="002C224A">
        <w:t>Jak vyplývá z výše popsané analýzy trhu PE a VC financování, přes pozitivní trend posledního vývoje je investiční aktivita v ČR v oblasti rizikového kapitálu velmi malá.</w:t>
      </w:r>
      <w:r w:rsidR="0021034B" w:rsidRPr="002C224A">
        <w:t xml:space="preserve"> </w:t>
      </w:r>
      <w:r w:rsidRPr="002C224A">
        <w:t>Nezájem investorů lze identifikovat jak v segmentu later</w:t>
      </w:r>
      <w:r w:rsidR="00873BA8" w:rsidRPr="002C224A">
        <w:t xml:space="preserve"> </w:t>
      </w:r>
      <w:r w:rsidRPr="002C224A">
        <w:t>stage investic, tak zejména early</w:t>
      </w:r>
      <w:r w:rsidR="00873BA8" w:rsidRPr="002C224A">
        <w:t xml:space="preserve"> </w:t>
      </w:r>
      <w:r w:rsidRPr="002C224A">
        <w:t>stage.</w:t>
      </w:r>
      <w:r w:rsidR="0021034B" w:rsidRPr="002C224A">
        <w:t xml:space="preserve"> </w:t>
      </w:r>
      <w:r w:rsidRPr="002C224A">
        <w:rPr>
          <w:rFonts w:cs="Calibri"/>
          <w:szCs w:val="24"/>
        </w:rPr>
        <w:t>Jak vyplývá i z rozhovorů s oslovenými experty a investory, problémem v oblasti early</w:t>
      </w:r>
      <w:r w:rsidR="00873BA8" w:rsidRPr="002C224A">
        <w:rPr>
          <w:rFonts w:cs="Calibri"/>
          <w:szCs w:val="24"/>
        </w:rPr>
        <w:t xml:space="preserve"> </w:t>
      </w:r>
      <w:r w:rsidRPr="002C224A">
        <w:rPr>
          <w:rFonts w:cs="Calibri"/>
          <w:szCs w:val="24"/>
        </w:rPr>
        <w:t>stage VC není čistě nedostatek kapitálu, ale spíše jiné faktory.</w:t>
      </w:r>
    </w:p>
    <w:p w:rsidR="006D67F1" w:rsidRPr="002C224A" w:rsidRDefault="006D67F1" w:rsidP="00A1045A"/>
    <w:p w:rsidR="006D67F1" w:rsidRPr="002C224A" w:rsidRDefault="006D67F1" w:rsidP="00A1045A">
      <w:r w:rsidRPr="002C224A">
        <w:t>Analýza příčin naznačuje existenci tržního selhání na straně investorů i příjemců. Kvůli nedostatečné manažerské zkušenosti a chybějícím poradenským službám nejsou často autoři projektů schopni efektivní komercializace svého záměru, popřípadě prezentace, která by vzbudila zájem soukromých investorů. Projektům často chybí správný business model.</w:t>
      </w:r>
      <w:r w:rsidR="002266A6" w:rsidRPr="002C224A">
        <w:t xml:space="preserve"> </w:t>
      </w:r>
      <w:r w:rsidRPr="002C224A">
        <w:rPr>
          <w:b/>
        </w:rPr>
        <w:t>Nabídka poradenských a asistenčních služeb začínajícím podnikatelům se s aktivitami CzechEkoSystem a CzechAccelerator agentury CzechInvest v posledním období znatelně zlepšila. Výrazně se zvýšila také nabídka soukromých podnikatelských inkubátorů (např. StartupYard, Node5, StarCube) a jiných programů (např. eClub, iCollege), další důraz na kultivaci prostředí a podporu podnikatelských inkubátorů je nicméně nezbytný</w:t>
      </w:r>
      <w:r w:rsidRPr="002C224A">
        <w:t>.</w:t>
      </w:r>
    </w:p>
    <w:p w:rsidR="006D67F1" w:rsidRPr="002C224A" w:rsidRDefault="006D67F1" w:rsidP="00A1045A"/>
    <w:p w:rsidR="006D67F1" w:rsidRPr="002C224A" w:rsidRDefault="006D67F1" w:rsidP="00A1045A">
      <w:r w:rsidRPr="002C224A">
        <w:rPr>
          <w:b/>
        </w:rPr>
        <w:t>Počet institucionálních investorů v oblasti rizikového kapitálu je v ČR stále velmi malý, byť se v poslední době zvyšuje</w:t>
      </w:r>
      <w:r w:rsidRPr="002C224A">
        <w:t xml:space="preserve">. Totéž se dá říct o aktivitě zahraničních investorů na českém trhu, která sice </w:t>
      </w:r>
      <w:r w:rsidRPr="002C224A">
        <w:lastRenderedPageBreak/>
        <w:t>v poslední době roste, ale obecně je zatím nízká. Český trh je pro zahraniční investory oproti větším a vyspělejším trhům obecně méně zajímavý a známý. Oba problémy vycházejí i ze specificky českých regulatorních bariér, které zamezují pensijním fondům v investování do těchto fondů.</w:t>
      </w:r>
    </w:p>
    <w:p w:rsidR="006D67F1" w:rsidRPr="002C224A" w:rsidRDefault="006D67F1" w:rsidP="00A1045A"/>
    <w:p w:rsidR="006D67F1" w:rsidRPr="002C224A" w:rsidRDefault="006D67F1" w:rsidP="00A1045A">
      <w:r w:rsidRPr="002C224A">
        <w:t xml:space="preserve">V oblasti rizikového kapitálu spatřujeme relativně menší tržní selhání na straně financování startupů v kapitálově méně náročnějších sektorech ICT a inovativních služeb, kde již dnes působí aktivní investoři ochotní velmi nadějným projektům kapitál poskytovat. </w:t>
      </w:r>
      <w:r w:rsidRPr="002C224A">
        <w:rPr>
          <w:b/>
        </w:rPr>
        <w:t>Bariérou je však i zde stále vysoká averze investorů vůči riziku</w:t>
      </w:r>
      <w:r w:rsidRPr="002C224A">
        <w:t>, byť vychází i z nižší kvality a potenciálu mnoha projektů. Relativní dostatek kapitálu na straně investorů tedy hledá obtížně cestu ke zhodnocení.</w:t>
      </w:r>
      <w:r w:rsidR="00CF5519" w:rsidRPr="002C224A">
        <w:t xml:space="preserve"> </w:t>
      </w:r>
      <w:r w:rsidRPr="002C224A">
        <w:t xml:space="preserve">Státní intervence na straně financování může pomoci především rozředěním rizika díky preferenčnímu nastavení. Může být též impulsem ke vzniku dalších investičních fondů s potřebným zaměřením a většímu zájmu ze zahraničí. </w:t>
      </w:r>
    </w:p>
    <w:p w:rsidR="006D67F1" w:rsidRPr="002C224A" w:rsidRDefault="006D67F1" w:rsidP="00A1045A"/>
    <w:p w:rsidR="006D67F1" w:rsidRPr="002C224A" w:rsidRDefault="006D67F1" w:rsidP="00A1045A">
      <w:r w:rsidRPr="002C224A">
        <w:t>Problémy v rámci uvedených tržních bariér lze nalézt též v oblasti late</w:t>
      </w:r>
      <w:r w:rsidR="00873BA8" w:rsidRPr="002C224A">
        <w:t xml:space="preserve">r </w:t>
      </w:r>
      <w:r w:rsidRPr="002C224A">
        <w:t>stage rizikových investic (od cca 1-</w:t>
      </w:r>
      <w:smartTag w:uri="urn:schemas-microsoft-com:office:smarttags" w:element="metricconverter">
        <w:smartTagPr>
          <w:attr w:name="ProductID" w:val="4 mil"/>
        </w:smartTagPr>
        <w:r w:rsidRPr="002C224A">
          <w:t>4 mil</w:t>
        </w:r>
      </w:smartTag>
      <w:r w:rsidRPr="002C224A">
        <w:t>. EUR), kde v současnosti podle CVCA v rámci českých VC fondů existuje pouze jeden s tímto zaměřením.</w:t>
      </w:r>
    </w:p>
    <w:p w:rsidR="006D67F1" w:rsidRPr="002C224A" w:rsidRDefault="006D67F1" w:rsidP="00A1045A"/>
    <w:p w:rsidR="006D67F1" w:rsidRPr="002C224A" w:rsidRDefault="006D67F1" w:rsidP="00362E2E">
      <w:pPr>
        <w:rPr>
          <w:b/>
        </w:rPr>
      </w:pPr>
      <w:r w:rsidRPr="002C224A">
        <w:rPr>
          <w:b/>
        </w:rPr>
        <w:t>Hlavní tržní selhání však pozorujeme v nedostatku podpořených i dostupných projektů v jiných vysoce inovativních oblastech</w:t>
      </w:r>
      <w:r w:rsidRPr="002C224A">
        <w:t>,</w:t>
      </w:r>
      <w:r w:rsidRPr="002C224A">
        <w:rPr>
          <w:b/>
        </w:rPr>
        <w:t xml:space="preserve"> kde jsou uplatnitelné výsledky veřejného VaV.</w:t>
      </w:r>
      <w:r w:rsidRPr="002C224A">
        <w:t xml:space="preserve"> Tato oblast stojí mimo zájem v ČR aktivních venture fondů kvůli vysokému riziku, investičním nákladům i složitosti specializované problematiky, stejně jako kvůli malému počtu kvalitních univerzitních spin-offů, do kterých by investice mohly jít. Významný díl tržního selhání přikládáme neschopnosti veřejných subjektů podporovat komercializaci záměrů ve výzkumných centrech vzniklých za využití veřejné podpory, vědeckotechnických parcích a při předních univerzitách. </w:t>
      </w:r>
      <w:r w:rsidRPr="002C224A">
        <w:rPr>
          <w:b/>
        </w:rPr>
        <w:t>Tržní mezeru je zde tedy možné hledat opět jak na straně investorů, tak na straně komercializace VaV a podpory přípravy projektů vhodných pro investování.</w:t>
      </w:r>
    </w:p>
    <w:p w:rsidR="00303107" w:rsidRPr="002C224A" w:rsidRDefault="00303107" w:rsidP="00362E2E">
      <w:pPr>
        <w:rPr>
          <w:b/>
        </w:rPr>
      </w:pPr>
    </w:p>
    <w:p w:rsidR="006D67F1" w:rsidRPr="002C224A" w:rsidRDefault="006D67F1" w:rsidP="00063A4C">
      <w:pPr>
        <w:pStyle w:val="Nadpis4"/>
        <w:rPr>
          <w:rFonts w:ascii="Calibri" w:hAnsi="Calibri"/>
        </w:rPr>
      </w:pPr>
      <w:bookmarkStart w:id="786" w:name="_Toc416800440"/>
      <w:r w:rsidRPr="002C224A">
        <w:rPr>
          <w:rFonts w:ascii="Calibri" w:hAnsi="Calibri"/>
        </w:rPr>
        <w:t>Návrh řešení identifikovaných tržních selhání</w:t>
      </w:r>
    </w:p>
    <w:bookmarkEnd w:id="786"/>
    <w:p w:rsidR="006D67F1" w:rsidRPr="002C224A" w:rsidRDefault="006D67F1" w:rsidP="00DB7744">
      <w:r w:rsidRPr="00A50943">
        <w:t>Vzhledem k ziskovému potenciálu úspěšných projektů jed</w:t>
      </w:r>
      <w:r w:rsidRPr="002C224A">
        <w:t>noznačně doporučujeme využití finančních nástrojů v obou analyzovaných oblastech SC 2.1.</w:t>
      </w:r>
    </w:p>
    <w:p w:rsidR="006D67F1" w:rsidRPr="002C224A" w:rsidRDefault="006D67F1" w:rsidP="00DB7744"/>
    <w:p w:rsidR="006D67F1" w:rsidRPr="002C224A" w:rsidRDefault="006D67F1" w:rsidP="00DB7744">
      <w:r w:rsidRPr="002C224A">
        <w:t xml:space="preserve">V oblasti financování rozvojových investic stabilizovaných a déle existujících MSP, kteří standardně hledají externí financování v podobě úvěrů, </w:t>
      </w:r>
      <w:r w:rsidRPr="002C224A">
        <w:rPr>
          <w:b/>
        </w:rPr>
        <w:t>se jeví vhodným navázání na dosavadní podporu zvýhodněných úvěrů a záruk – jak v individuální a tak v portfoliové podobě</w:t>
      </w:r>
      <w:r w:rsidRPr="002C224A">
        <w:t>.</w:t>
      </w:r>
    </w:p>
    <w:p w:rsidR="006D67F1" w:rsidRPr="002C224A" w:rsidRDefault="006D67F1" w:rsidP="00DB7744">
      <w:pPr>
        <w:rPr>
          <w:b/>
        </w:rPr>
      </w:pPr>
    </w:p>
    <w:p w:rsidR="006D67F1" w:rsidRPr="002C224A" w:rsidRDefault="006D67F1" w:rsidP="00DB7744">
      <w:r w:rsidRPr="002C224A">
        <w:t>V případě segmentu nových inovativních podniků ve fázi earl</w:t>
      </w:r>
      <w:r w:rsidR="00873BA8" w:rsidRPr="002C224A">
        <w:t xml:space="preserve">y </w:t>
      </w:r>
      <w:r w:rsidRPr="002C224A">
        <w:t>stage (seed, startup) mohou být účelnou formou podpory státem poskytované kapitálové vstupy – ať už přímo do jednotlivých inovativních podniků, tak do investičních fondů rizikového kapitálu, které budou dodržovat investiční strategii určenou řídícím orgánem. Podmínkou každopádně musí být zapojení soukromého kapitálu na úrovni koinvestic či fondu. Veřejný fond rizikového kapitálu by neměl soukromým fondům konkurovat, ale vhodně je doplňovat a snižovat riziko společných investic.</w:t>
      </w:r>
    </w:p>
    <w:p w:rsidR="006D67F1" w:rsidRPr="002C224A" w:rsidRDefault="006D67F1" w:rsidP="00DB7744"/>
    <w:p w:rsidR="006D67F1" w:rsidRPr="002C224A" w:rsidRDefault="006D67F1" w:rsidP="00DB7744">
      <w:r w:rsidRPr="002C224A">
        <w:t>Jako velmi vhodné se zde jeví zacílení investiční strategie na segment seedového financování high-tech projektů využívajících výsledky VaV, kde je pozorována největší tržní mezera. V tomto ohledu je důležité paralelní fungování s nástrojem kapitálových vstupů pro fázi pre-seed, v SC 1.2. Důležité je také propojení s podporou programů poradenství a rozvoje podnikatelských dovedností agentury CzechInvest</w:t>
      </w:r>
      <w:r w:rsidR="001E08E2">
        <w:t>/API</w:t>
      </w:r>
      <w:r w:rsidRPr="002C224A">
        <w:t>.</w:t>
      </w:r>
    </w:p>
    <w:p w:rsidR="006D67F1" w:rsidRPr="002C224A" w:rsidRDefault="006D67F1" w:rsidP="00DB7744"/>
    <w:p w:rsidR="006D67F1" w:rsidRPr="002C224A" w:rsidRDefault="006D67F1" w:rsidP="002433DA">
      <w:pPr>
        <w:pStyle w:val="Nadpis3"/>
        <w:rPr>
          <w:rFonts w:ascii="Calibri" w:hAnsi="Calibri"/>
        </w:rPr>
      </w:pPr>
      <w:bookmarkStart w:id="787" w:name="_Toc416383815"/>
      <w:bookmarkStart w:id="788" w:name="_Toc416447805"/>
      <w:bookmarkStart w:id="789" w:name="_Toc416383816"/>
      <w:bookmarkStart w:id="790" w:name="_Toc416447806"/>
      <w:bookmarkStart w:id="791" w:name="_Toc416383817"/>
      <w:bookmarkStart w:id="792" w:name="_Toc416447807"/>
      <w:bookmarkStart w:id="793" w:name="_Toc416383818"/>
      <w:bookmarkStart w:id="794" w:name="_Toc416447808"/>
      <w:bookmarkStart w:id="795" w:name="_Toc416383819"/>
      <w:bookmarkStart w:id="796" w:name="_Toc416447809"/>
      <w:bookmarkStart w:id="797" w:name="_Toc416383820"/>
      <w:bookmarkStart w:id="798" w:name="_Toc416447810"/>
      <w:bookmarkStart w:id="799" w:name="_Toc416383821"/>
      <w:bookmarkStart w:id="800" w:name="_Toc416447811"/>
      <w:bookmarkStart w:id="801" w:name="_Toc416383822"/>
      <w:bookmarkStart w:id="802" w:name="_Toc416447812"/>
      <w:bookmarkStart w:id="803" w:name="_Toc416383823"/>
      <w:bookmarkStart w:id="804" w:name="_Toc416447813"/>
      <w:bookmarkStart w:id="805" w:name="_Toc416800441"/>
      <w:bookmarkStart w:id="806" w:name="_Toc421534288"/>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2C224A">
        <w:rPr>
          <w:rFonts w:ascii="Calibri" w:hAnsi="Calibri"/>
        </w:rPr>
        <w:lastRenderedPageBreak/>
        <w:t>Posouzení přidané hodnoty finančních nástrojů</w:t>
      </w:r>
      <w:bookmarkEnd w:id="805"/>
      <w:bookmarkEnd w:id="806"/>
    </w:p>
    <w:p w:rsidR="006D67F1" w:rsidRPr="002C224A" w:rsidRDefault="006D67F1" w:rsidP="00063A4C">
      <w:pPr>
        <w:pStyle w:val="Nadpis4"/>
        <w:rPr>
          <w:rFonts w:ascii="Calibri" w:hAnsi="Calibri"/>
        </w:rPr>
      </w:pPr>
      <w:r w:rsidRPr="002C224A">
        <w:rPr>
          <w:rFonts w:ascii="Calibri" w:hAnsi="Calibri"/>
        </w:rPr>
        <w:t>Představení typových projektů</w:t>
      </w:r>
    </w:p>
    <w:p w:rsidR="006D67F1" w:rsidRPr="002C224A" w:rsidRDefault="006D67F1">
      <w:r w:rsidRPr="00A50943">
        <w:rPr>
          <w:b/>
        </w:rPr>
        <w:t>Typovým projektem dluhových nástrojů</w:t>
      </w:r>
      <w:r w:rsidRPr="002C224A">
        <w:t xml:space="preserve"> pro podporu rozvoje etablovaných firem je výrobce strojů a zařízení z kategorie středních podniků.</w:t>
      </w:r>
      <w:r w:rsidR="00ED526C" w:rsidRPr="002C224A">
        <w:t xml:space="preserve"> </w:t>
      </w:r>
      <w:r w:rsidRPr="002C224A">
        <w:t>Za účelem zavedení nového typu výroby společnost hledala financování investice do strojů a zařízení ve výši 18 mil</w:t>
      </w:r>
      <w:r w:rsidR="00FD7FA0">
        <w:t>. Kč</w:t>
      </w:r>
      <w:r w:rsidRPr="002C224A">
        <w:t>.</w:t>
      </w:r>
    </w:p>
    <w:p w:rsidR="006D67F1" w:rsidRPr="002C224A" w:rsidRDefault="006D67F1"/>
    <w:p w:rsidR="006D67F1" w:rsidRPr="002C224A" w:rsidRDefault="006D67F1">
      <w:r w:rsidRPr="002C224A">
        <w:t xml:space="preserve">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 </w:t>
      </w:r>
    </w:p>
    <w:p w:rsidR="006D67F1" w:rsidRPr="002C224A" w:rsidRDefault="006D67F1" w:rsidP="007447E9"/>
    <w:tbl>
      <w:tblPr>
        <w:tblW w:w="8882" w:type="dxa"/>
        <w:tblInd w:w="55" w:type="dxa"/>
        <w:tblCellMar>
          <w:left w:w="0" w:type="dxa"/>
          <w:right w:w="0" w:type="dxa"/>
        </w:tblCellMar>
        <w:tblLook w:val="00A0" w:firstRow="1" w:lastRow="0" w:firstColumn="1" w:lastColumn="0" w:noHBand="0" w:noVBand="0"/>
      </w:tblPr>
      <w:tblGrid>
        <w:gridCol w:w="2388"/>
        <w:gridCol w:w="1562"/>
        <w:gridCol w:w="1570"/>
        <w:gridCol w:w="1724"/>
        <w:gridCol w:w="1702"/>
      </w:tblGrid>
      <w:tr w:rsidR="006D67F1" w:rsidRPr="002C224A" w:rsidTr="007447E9">
        <w:trPr>
          <w:trHeight w:val="20"/>
        </w:trPr>
        <w:tc>
          <w:tcPr>
            <w:tcW w:w="2372" w:type="dxa"/>
            <w:tcBorders>
              <w:top w:val="single" w:sz="4" w:space="0" w:color="002776"/>
              <w:left w:val="single" w:sz="4" w:space="0" w:color="002776"/>
              <w:bottom w:val="nil"/>
              <w:right w:val="nil"/>
            </w:tcBorders>
            <w:shd w:val="clear" w:color="auto" w:fill="002060"/>
            <w:noWrap/>
            <w:vAlign w:val="center"/>
          </w:tcPr>
          <w:p w:rsidR="006D67F1" w:rsidRPr="002C224A" w:rsidRDefault="006D67F1">
            <w:pPr>
              <w:jc w:val="center"/>
              <w:rPr>
                <w:rFonts w:cs="Arial"/>
                <w:b/>
                <w:bCs/>
                <w:color w:val="EEECE1"/>
                <w:sz w:val="18"/>
                <w:szCs w:val="18"/>
              </w:rPr>
            </w:pPr>
          </w:p>
        </w:tc>
        <w:tc>
          <w:tcPr>
            <w:tcW w:w="1546" w:type="dxa"/>
            <w:tcBorders>
              <w:top w:val="single" w:sz="4" w:space="0" w:color="002776"/>
              <w:left w:val="nil"/>
              <w:bottom w:val="nil"/>
              <w:right w:val="nil"/>
            </w:tcBorders>
            <w:shd w:val="clear" w:color="auto" w:fill="002060"/>
            <w:noWrap/>
            <w:vAlign w:val="bottom"/>
          </w:tcPr>
          <w:p w:rsidR="006D67F1" w:rsidRPr="002C224A" w:rsidRDefault="006D67F1">
            <w:pPr>
              <w:jc w:val="left"/>
              <w:rPr>
                <w:rFonts w:cs="Arial"/>
                <w:b/>
                <w:bCs/>
                <w:color w:val="EEECE1"/>
                <w:sz w:val="18"/>
                <w:szCs w:val="18"/>
              </w:rPr>
            </w:pPr>
            <w:r w:rsidRPr="00A50943">
              <w:rPr>
                <w:b/>
                <w:bCs/>
                <w:color w:val="EEECE1"/>
                <w:sz w:val="18"/>
                <w:szCs w:val="18"/>
              </w:rPr>
              <w:t> </w:t>
            </w:r>
          </w:p>
        </w:tc>
        <w:tc>
          <w:tcPr>
            <w:tcW w:w="1554" w:type="dxa"/>
            <w:tcBorders>
              <w:top w:val="single" w:sz="4" w:space="0" w:color="002776"/>
              <w:left w:val="nil"/>
              <w:bottom w:val="nil"/>
              <w:right w:val="nil"/>
            </w:tcBorders>
            <w:shd w:val="clear" w:color="auto" w:fill="002060"/>
            <w:noWrap/>
            <w:vAlign w:val="bottom"/>
          </w:tcPr>
          <w:p w:rsidR="006D67F1" w:rsidRPr="002C224A" w:rsidRDefault="006D67F1">
            <w:pPr>
              <w:jc w:val="left"/>
              <w:rPr>
                <w:rFonts w:cs="Arial"/>
                <w:b/>
                <w:bCs/>
                <w:color w:val="EEECE1"/>
                <w:sz w:val="18"/>
                <w:szCs w:val="18"/>
              </w:rPr>
            </w:pPr>
            <w:r w:rsidRPr="00A50943">
              <w:rPr>
                <w:b/>
                <w:bCs/>
                <w:color w:val="EEECE1"/>
                <w:sz w:val="18"/>
                <w:szCs w:val="18"/>
              </w:rPr>
              <w:t> </w:t>
            </w:r>
          </w:p>
        </w:tc>
        <w:tc>
          <w:tcPr>
            <w:tcW w:w="3410" w:type="dxa"/>
            <w:gridSpan w:val="2"/>
            <w:tcBorders>
              <w:top w:val="single" w:sz="4" w:space="0" w:color="002776"/>
              <w:left w:val="nil"/>
              <w:bottom w:val="single" w:sz="4" w:space="0" w:color="FFFFFF"/>
              <w:right w:val="single" w:sz="4" w:space="0" w:color="002776"/>
            </w:tcBorders>
            <w:shd w:val="clear" w:color="auto" w:fill="002060"/>
            <w:vAlign w:val="bottom"/>
          </w:tcPr>
          <w:p w:rsidR="006D67F1" w:rsidRPr="002C224A" w:rsidRDefault="006D67F1">
            <w:pPr>
              <w:ind w:left="-678"/>
              <w:jc w:val="right"/>
              <w:rPr>
                <w:rFonts w:cs="Arial"/>
                <w:b/>
                <w:bCs/>
                <w:i/>
                <w:iCs/>
                <w:color w:val="EEECE1"/>
                <w:sz w:val="18"/>
                <w:szCs w:val="18"/>
              </w:rPr>
            </w:pPr>
            <w:r w:rsidRPr="00A50943">
              <w:rPr>
                <w:b/>
                <w:bCs/>
                <w:i/>
                <w:iCs/>
                <w:color w:val="EEECE1"/>
                <w:sz w:val="18"/>
                <w:szCs w:val="18"/>
              </w:rPr>
              <w:t xml:space="preserve">Investice: 18 000 000 Kč </w:t>
            </w:r>
            <w:r w:rsidRPr="00A50943">
              <w:rPr>
                <w:b/>
                <w:bCs/>
                <w:i/>
                <w:iCs/>
                <w:color w:val="EEECE1"/>
                <w:sz w:val="18"/>
                <w:szCs w:val="18"/>
              </w:rPr>
              <w:br/>
              <w:t xml:space="preserve">Roční výnos: variabilní   </w:t>
            </w:r>
            <w:r w:rsidRPr="00A50943">
              <w:rPr>
                <w:b/>
                <w:bCs/>
                <w:i/>
                <w:iCs/>
                <w:color w:val="EEECE1"/>
                <w:sz w:val="18"/>
                <w:szCs w:val="18"/>
              </w:rPr>
              <w:br/>
              <w:t>Komerční úvěr - úroková sazba</w:t>
            </w:r>
            <w:r w:rsidRPr="002C224A">
              <w:rPr>
                <w:b/>
                <w:bCs/>
                <w:i/>
                <w:iCs/>
                <w:color w:val="EEECE1"/>
                <w:sz w:val="18"/>
                <w:szCs w:val="18"/>
              </w:rPr>
              <w:t>: 4,0 % Zvýhodněný úvěr- úroková sazba: 2,0 %</w:t>
            </w:r>
          </w:p>
        </w:tc>
      </w:tr>
      <w:tr w:rsidR="006D67F1" w:rsidRPr="002C224A" w:rsidTr="007447E9">
        <w:trPr>
          <w:trHeight w:val="20"/>
        </w:trPr>
        <w:tc>
          <w:tcPr>
            <w:tcW w:w="2372" w:type="dxa"/>
            <w:tcBorders>
              <w:top w:val="nil"/>
              <w:left w:val="single" w:sz="4" w:space="0" w:color="002776"/>
              <w:bottom w:val="single" w:sz="4" w:space="0" w:color="002776"/>
              <w:right w:val="nil"/>
            </w:tcBorders>
            <w:shd w:val="clear" w:color="auto" w:fill="002060"/>
            <w:noWrap/>
            <w:vAlign w:val="center"/>
          </w:tcPr>
          <w:p w:rsidR="006D67F1" w:rsidRPr="002C224A" w:rsidRDefault="006D67F1">
            <w:pPr>
              <w:jc w:val="left"/>
              <w:rPr>
                <w:rFonts w:cs="Arial"/>
                <w:b/>
                <w:bCs/>
                <w:color w:val="EEECE1"/>
                <w:sz w:val="18"/>
                <w:szCs w:val="18"/>
              </w:rPr>
            </w:pPr>
            <w:r w:rsidRPr="002C224A">
              <w:rPr>
                <w:b/>
                <w:bCs/>
                <w:color w:val="EEECE1"/>
                <w:sz w:val="18"/>
                <w:szCs w:val="18"/>
              </w:rPr>
              <w:t> </w:t>
            </w:r>
          </w:p>
        </w:tc>
        <w:tc>
          <w:tcPr>
            <w:tcW w:w="1546" w:type="dxa"/>
            <w:tcBorders>
              <w:top w:val="single" w:sz="4" w:space="0" w:color="FFFFFF"/>
              <w:left w:val="nil"/>
              <w:bottom w:val="single" w:sz="4" w:space="0" w:color="002776"/>
              <w:right w:val="nil"/>
            </w:tcBorders>
            <w:shd w:val="clear" w:color="auto" w:fill="002060"/>
            <w:noWrap/>
            <w:vAlign w:val="center"/>
          </w:tcPr>
          <w:p w:rsidR="006D67F1" w:rsidRPr="002C224A" w:rsidRDefault="006D67F1">
            <w:pPr>
              <w:jc w:val="center"/>
              <w:rPr>
                <w:rFonts w:cs="Arial"/>
                <w:b/>
                <w:bCs/>
                <w:color w:val="EEECE1"/>
                <w:sz w:val="18"/>
                <w:szCs w:val="18"/>
              </w:rPr>
            </w:pPr>
            <w:r w:rsidRPr="00A50943">
              <w:rPr>
                <w:b/>
                <w:bCs/>
                <w:color w:val="EEECE1"/>
                <w:sz w:val="18"/>
                <w:szCs w:val="18"/>
              </w:rPr>
              <w:t>100 % tržní úvěr</w:t>
            </w:r>
          </w:p>
        </w:tc>
        <w:tc>
          <w:tcPr>
            <w:tcW w:w="1554" w:type="dxa"/>
            <w:tcBorders>
              <w:top w:val="single" w:sz="4" w:space="0" w:color="FFFFFF"/>
              <w:left w:val="nil"/>
              <w:bottom w:val="single" w:sz="4" w:space="0" w:color="002776"/>
              <w:right w:val="nil"/>
            </w:tcBorders>
            <w:shd w:val="clear" w:color="auto" w:fill="002060"/>
            <w:vAlign w:val="center"/>
          </w:tcPr>
          <w:p w:rsidR="006D67F1" w:rsidRPr="002C224A" w:rsidRDefault="006D67F1">
            <w:pPr>
              <w:jc w:val="center"/>
              <w:rPr>
                <w:rFonts w:cs="Arial"/>
                <w:b/>
                <w:bCs/>
                <w:color w:val="EEECE1"/>
                <w:sz w:val="18"/>
                <w:szCs w:val="18"/>
              </w:rPr>
            </w:pPr>
            <w:r w:rsidRPr="00A50943">
              <w:rPr>
                <w:b/>
                <w:bCs/>
                <w:color w:val="EEECE1"/>
                <w:sz w:val="18"/>
                <w:szCs w:val="18"/>
              </w:rPr>
              <w:t>50 % tržní úvěr, 50 % dotace</w:t>
            </w:r>
          </w:p>
        </w:tc>
        <w:tc>
          <w:tcPr>
            <w:tcW w:w="1716" w:type="dxa"/>
            <w:tcBorders>
              <w:top w:val="nil"/>
              <w:left w:val="nil"/>
              <w:bottom w:val="single" w:sz="4" w:space="0" w:color="002776"/>
              <w:right w:val="nil"/>
            </w:tcBorders>
            <w:shd w:val="clear" w:color="auto" w:fill="002060"/>
            <w:vAlign w:val="center"/>
          </w:tcPr>
          <w:p w:rsidR="006D67F1" w:rsidRPr="002C224A" w:rsidRDefault="006D67F1">
            <w:pPr>
              <w:jc w:val="center"/>
              <w:rPr>
                <w:rFonts w:cs="Arial"/>
                <w:b/>
                <w:bCs/>
                <w:color w:val="EEECE1"/>
                <w:sz w:val="18"/>
                <w:szCs w:val="18"/>
              </w:rPr>
            </w:pPr>
            <w:r w:rsidRPr="00A50943">
              <w:rPr>
                <w:b/>
                <w:bCs/>
                <w:color w:val="EEECE1"/>
                <w:sz w:val="18"/>
                <w:szCs w:val="18"/>
              </w:rPr>
              <w:t>20 % dotace, 80 % zvýhodněný úvěr</w:t>
            </w:r>
          </w:p>
        </w:tc>
        <w:tc>
          <w:tcPr>
            <w:tcW w:w="1694" w:type="dxa"/>
            <w:tcBorders>
              <w:top w:val="nil"/>
              <w:left w:val="nil"/>
              <w:bottom w:val="single" w:sz="4" w:space="0" w:color="002776"/>
              <w:right w:val="single" w:sz="4" w:space="0" w:color="002776"/>
            </w:tcBorders>
            <w:shd w:val="clear" w:color="auto" w:fill="002060"/>
            <w:vAlign w:val="center"/>
          </w:tcPr>
          <w:p w:rsidR="006D67F1" w:rsidRPr="002C224A" w:rsidRDefault="006D67F1">
            <w:pPr>
              <w:jc w:val="center"/>
              <w:rPr>
                <w:rFonts w:cs="Arial"/>
                <w:b/>
                <w:bCs/>
                <w:color w:val="EEECE1"/>
                <w:sz w:val="18"/>
                <w:szCs w:val="18"/>
              </w:rPr>
            </w:pPr>
            <w:r w:rsidRPr="00A50943">
              <w:rPr>
                <w:b/>
                <w:bCs/>
                <w:color w:val="EEECE1"/>
                <w:sz w:val="18"/>
                <w:szCs w:val="18"/>
              </w:rPr>
              <w:t>100 % zvýhodněný úvěr</w:t>
            </w:r>
          </w:p>
        </w:tc>
      </w:tr>
      <w:tr w:rsidR="006D67F1" w:rsidRPr="002C224A" w:rsidTr="007447E9">
        <w:trPr>
          <w:trHeight w:val="20"/>
        </w:trPr>
        <w:tc>
          <w:tcPr>
            <w:tcW w:w="2372" w:type="dxa"/>
            <w:tcBorders>
              <w:top w:val="nil"/>
              <w:left w:val="single" w:sz="4" w:space="0" w:color="002776"/>
              <w:bottom w:val="single" w:sz="4" w:space="0" w:color="002776"/>
              <w:right w:val="nil"/>
            </w:tcBorders>
            <w:noWrap/>
            <w:vAlign w:val="center"/>
          </w:tcPr>
          <w:p w:rsidR="006D67F1" w:rsidRPr="002C224A" w:rsidRDefault="006D67F1">
            <w:pPr>
              <w:jc w:val="left"/>
              <w:rPr>
                <w:rFonts w:cs="Arial"/>
                <w:color w:val="000000"/>
                <w:sz w:val="18"/>
                <w:szCs w:val="18"/>
              </w:rPr>
            </w:pPr>
            <w:r w:rsidRPr="002C224A">
              <w:rPr>
                <w:color w:val="000000"/>
                <w:sz w:val="18"/>
                <w:szCs w:val="18"/>
              </w:rPr>
              <w:t>Vnitřní výnosové procento (IRR)</w:t>
            </w:r>
          </w:p>
        </w:tc>
        <w:tc>
          <w:tcPr>
            <w:tcW w:w="154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14,29%</w:t>
            </w:r>
          </w:p>
        </w:tc>
        <w:tc>
          <w:tcPr>
            <w:tcW w:w="1554"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25,63%</w:t>
            </w:r>
          </w:p>
        </w:tc>
        <w:tc>
          <w:tcPr>
            <w:tcW w:w="171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17,82%</w:t>
            </w:r>
          </w:p>
        </w:tc>
        <w:tc>
          <w:tcPr>
            <w:tcW w:w="1694" w:type="dxa"/>
            <w:tcBorders>
              <w:top w:val="nil"/>
              <w:left w:val="nil"/>
              <w:bottom w:val="single" w:sz="4" w:space="0" w:color="002776"/>
              <w:right w:val="single" w:sz="4" w:space="0" w:color="002776"/>
            </w:tcBorders>
            <w:noWrap/>
            <w:vAlign w:val="center"/>
          </w:tcPr>
          <w:p w:rsidR="006D67F1" w:rsidRPr="002C224A" w:rsidRDefault="006D67F1">
            <w:pPr>
              <w:jc w:val="center"/>
              <w:rPr>
                <w:rFonts w:cs="Arial"/>
                <w:color w:val="000000"/>
                <w:sz w:val="18"/>
                <w:szCs w:val="18"/>
              </w:rPr>
            </w:pPr>
            <w:r w:rsidRPr="00A50943">
              <w:t>14,29%</w:t>
            </w:r>
          </w:p>
        </w:tc>
      </w:tr>
      <w:tr w:rsidR="006D67F1" w:rsidRPr="002C224A" w:rsidTr="007447E9">
        <w:trPr>
          <w:trHeight w:val="20"/>
        </w:trPr>
        <w:tc>
          <w:tcPr>
            <w:tcW w:w="2372" w:type="dxa"/>
            <w:tcBorders>
              <w:top w:val="nil"/>
              <w:left w:val="single" w:sz="4" w:space="0" w:color="002776"/>
              <w:bottom w:val="single" w:sz="4" w:space="0" w:color="002776"/>
              <w:right w:val="nil"/>
            </w:tcBorders>
            <w:noWrap/>
            <w:vAlign w:val="center"/>
          </w:tcPr>
          <w:p w:rsidR="006D67F1" w:rsidRPr="002C224A" w:rsidRDefault="006D67F1">
            <w:pPr>
              <w:jc w:val="left"/>
              <w:rPr>
                <w:rFonts w:cs="Arial"/>
                <w:color w:val="000000"/>
                <w:sz w:val="18"/>
                <w:szCs w:val="18"/>
              </w:rPr>
            </w:pPr>
            <w:r w:rsidRPr="002C224A">
              <w:rPr>
                <w:color w:val="000000"/>
                <w:sz w:val="18"/>
                <w:szCs w:val="18"/>
              </w:rPr>
              <w:t>Čistá současná hodnota (NPV v tis. Kč)</w:t>
            </w:r>
          </w:p>
        </w:tc>
        <w:tc>
          <w:tcPr>
            <w:tcW w:w="154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17 5</w:t>
            </w:r>
            <w:r w:rsidRPr="002C224A">
              <w:t>83</w:t>
            </w:r>
          </w:p>
        </w:tc>
        <w:tc>
          <w:tcPr>
            <w:tcW w:w="1554"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26 237</w:t>
            </w:r>
          </w:p>
        </w:tc>
        <w:tc>
          <w:tcPr>
            <w:tcW w:w="171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27 081</w:t>
            </w:r>
          </w:p>
        </w:tc>
        <w:tc>
          <w:tcPr>
            <w:tcW w:w="1694" w:type="dxa"/>
            <w:tcBorders>
              <w:top w:val="nil"/>
              <w:left w:val="nil"/>
              <w:bottom w:val="single" w:sz="4" w:space="0" w:color="002776"/>
              <w:right w:val="single" w:sz="4" w:space="0" w:color="002776"/>
            </w:tcBorders>
            <w:noWrap/>
            <w:vAlign w:val="center"/>
          </w:tcPr>
          <w:p w:rsidR="006D67F1" w:rsidRPr="002C224A" w:rsidRDefault="006D67F1">
            <w:pPr>
              <w:jc w:val="center"/>
              <w:rPr>
                <w:rFonts w:cs="Arial"/>
                <w:color w:val="000000"/>
                <w:sz w:val="18"/>
                <w:szCs w:val="18"/>
              </w:rPr>
            </w:pPr>
            <w:r w:rsidRPr="00A50943">
              <w:t>23 551</w:t>
            </w:r>
          </w:p>
        </w:tc>
      </w:tr>
      <w:tr w:rsidR="006D67F1" w:rsidRPr="002C224A" w:rsidTr="007447E9">
        <w:trPr>
          <w:trHeight w:val="20"/>
        </w:trPr>
        <w:tc>
          <w:tcPr>
            <w:tcW w:w="2372" w:type="dxa"/>
            <w:tcBorders>
              <w:top w:val="nil"/>
              <w:left w:val="single" w:sz="4" w:space="0" w:color="002776"/>
              <w:bottom w:val="single" w:sz="4" w:space="0" w:color="002776"/>
              <w:right w:val="nil"/>
            </w:tcBorders>
            <w:noWrap/>
            <w:vAlign w:val="center"/>
          </w:tcPr>
          <w:p w:rsidR="006D67F1" w:rsidRPr="002C224A" w:rsidRDefault="006D67F1">
            <w:pPr>
              <w:jc w:val="left"/>
              <w:rPr>
                <w:rFonts w:cs="Arial"/>
                <w:color w:val="000000"/>
                <w:sz w:val="18"/>
                <w:szCs w:val="18"/>
              </w:rPr>
            </w:pPr>
            <w:r w:rsidRPr="002C224A">
              <w:rPr>
                <w:color w:val="000000"/>
                <w:sz w:val="18"/>
                <w:szCs w:val="18"/>
              </w:rPr>
              <w:t>Prostá doba návratnosti (roky)</w:t>
            </w:r>
          </w:p>
        </w:tc>
        <w:tc>
          <w:tcPr>
            <w:tcW w:w="154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6,42</w:t>
            </w:r>
          </w:p>
        </w:tc>
        <w:tc>
          <w:tcPr>
            <w:tcW w:w="1554"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5,02</w:t>
            </w:r>
          </w:p>
        </w:tc>
        <w:tc>
          <w:tcPr>
            <w:tcW w:w="171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5,89</w:t>
            </w:r>
          </w:p>
        </w:tc>
        <w:tc>
          <w:tcPr>
            <w:tcW w:w="1694" w:type="dxa"/>
            <w:tcBorders>
              <w:top w:val="nil"/>
              <w:left w:val="nil"/>
              <w:bottom w:val="single" w:sz="4" w:space="0" w:color="002776"/>
              <w:right w:val="single" w:sz="4" w:space="0" w:color="002776"/>
            </w:tcBorders>
            <w:noWrap/>
            <w:vAlign w:val="center"/>
          </w:tcPr>
          <w:p w:rsidR="006D67F1" w:rsidRPr="002C224A" w:rsidRDefault="006D67F1">
            <w:pPr>
              <w:jc w:val="center"/>
              <w:rPr>
                <w:rFonts w:cs="Arial"/>
                <w:color w:val="000000"/>
                <w:sz w:val="18"/>
                <w:szCs w:val="18"/>
              </w:rPr>
            </w:pPr>
            <w:r w:rsidRPr="00A50943">
              <w:t>6,42</w:t>
            </w:r>
          </w:p>
        </w:tc>
      </w:tr>
      <w:tr w:rsidR="006D67F1" w:rsidRPr="002C224A" w:rsidTr="007447E9">
        <w:trPr>
          <w:trHeight w:val="20"/>
        </w:trPr>
        <w:tc>
          <w:tcPr>
            <w:tcW w:w="2372" w:type="dxa"/>
            <w:tcBorders>
              <w:top w:val="nil"/>
              <w:left w:val="single" w:sz="4" w:space="0" w:color="002776"/>
              <w:bottom w:val="single" w:sz="4" w:space="0" w:color="002776"/>
              <w:right w:val="nil"/>
            </w:tcBorders>
            <w:noWrap/>
            <w:vAlign w:val="center"/>
          </w:tcPr>
          <w:p w:rsidR="006D67F1" w:rsidRPr="002C224A" w:rsidRDefault="006D67F1">
            <w:pPr>
              <w:jc w:val="left"/>
              <w:rPr>
                <w:rFonts w:cs="Arial"/>
                <w:color w:val="000000"/>
                <w:sz w:val="18"/>
                <w:szCs w:val="18"/>
              </w:rPr>
            </w:pPr>
            <w:r w:rsidRPr="002C224A">
              <w:rPr>
                <w:color w:val="000000"/>
                <w:sz w:val="18"/>
                <w:szCs w:val="18"/>
              </w:rPr>
              <w:t>Diskontovaná doba návratnosti (roky)</w:t>
            </w:r>
          </w:p>
        </w:tc>
        <w:tc>
          <w:tcPr>
            <w:tcW w:w="154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7,1</w:t>
            </w:r>
          </w:p>
        </w:tc>
        <w:tc>
          <w:tcPr>
            <w:tcW w:w="1554"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6,3</w:t>
            </w:r>
          </w:p>
        </w:tc>
        <w:tc>
          <w:tcPr>
            <w:tcW w:w="1716" w:type="dxa"/>
            <w:tcBorders>
              <w:top w:val="nil"/>
              <w:left w:val="nil"/>
              <w:bottom w:val="single" w:sz="4" w:space="0" w:color="002776"/>
              <w:right w:val="nil"/>
            </w:tcBorders>
            <w:noWrap/>
            <w:vAlign w:val="center"/>
          </w:tcPr>
          <w:p w:rsidR="006D67F1" w:rsidRPr="002C224A" w:rsidRDefault="006D67F1">
            <w:pPr>
              <w:jc w:val="center"/>
              <w:rPr>
                <w:rFonts w:cs="Arial"/>
                <w:color w:val="000000"/>
                <w:sz w:val="18"/>
                <w:szCs w:val="18"/>
              </w:rPr>
            </w:pPr>
            <w:r w:rsidRPr="00A50943">
              <w:t>6,1</w:t>
            </w:r>
          </w:p>
        </w:tc>
        <w:tc>
          <w:tcPr>
            <w:tcW w:w="1694" w:type="dxa"/>
            <w:tcBorders>
              <w:top w:val="nil"/>
              <w:left w:val="nil"/>
              <w:bottom w:val="single" w:sz="4" w:space="0" w:color="002776"/>
              <w:right w:val="single" w:sz="4" w:space="0" w:color="002776"/>
            </w:tcBorders>
            <w:noWrap/>
            <w:vAlign w:val="center"/>
          </w:tcPr>
          <w:p w:rsidR="006D67F1" w:rsidRPr="002C224A" w:rsidRDefault="006D67F1">
            <w:pPr>
              <w:keepNext/>
              <w:jc w:val="center"/>
              <w:rPr>
                <w:rFonts w:cs="Arial"/>
                <w:color w:val="000000"/>
                <w:sz w:val="18"/>
                <w:szCs w:val="18"/>
              </w:rPr>
            </w:pPr>
            <w:r w:rsidRPr="00A50943">
              <w:t>6,7</w:t>
            </w:r>
          </w:p>
        </w:tc>
      </w:tr>
    </w:tbl>
    <w:p w:rsidR="006D67F1" w:rsidRPr="002C224A" w:rsidRDefault="006D67F1" w:rsidP="007447E9">
      <w:pPr>
        <w:pStyle w:val="Titulek"/>
        <w:jc w:val="center"/>
      </w:pPr>
      <w:r w:rsidRPr="002C224A">
        <w:t>Tabulka</w:t>
      </w:r>
      <w:r w:rsidR="00FD7FA0">
        <w:t xml:space="preserve"> </w:t>
      </w:r>
      <w:r w:rsidR="00240E1D" w:rsidRPr="002C224A">
        <w:t>3</w:t>
      </w:r>
      <w:r w:rsidR="00C4105E">
        <w:t>6</w:t>
      </w:r>
      <w:r w:rsidRPr="002C224A">
        <w:rPr>
          <w:noProof/>
        </w:rPr>
        <w:t>:</w:t>
      </w:r>
      <w:r w:rsidRPr="002C224A">
        <w:t xml:space="preserve"> Vliv podpory na ekonomiku projektu</w:t>
      </w:r>
    </w:p>
    <w:p w:rsidR="006D67F1" w:rsidRPr="00A50943" w:rsidRDefault="006D67F1" w:rsidP="007447E9"/>
    <w:p w:rsidR="006D67F1" w:rsidRPr="002C224A" w:rsidRDefault="006D67F1" w:rsidP="007447E9">
      <w:r w:rsidRPr="002C224A">
        <w:t>Projekt je z hlediska svých ekonomických parametrů i typu společnosti optimálním pro podporu finančním dluhovým nástrojem.</w:t>
      </w:r>
    </w:p>
    <w:p w:rsidR="006D67F1" w:rsidRPr="002C224A" w:rsidRDefault="006D67F1" w:rsidP="007447E9"/>
    <w:p w:rsidR="006D67F1" w:rsidRPr="002C224A" w:rsidRDefault="006D67F1" w:rsidP="00BF09B7">
      <w:r w:rsidRPr="002C224A">
        <w:rPr>
          <w:b/>
        </w:rPr>
        <w:t>Typový projekt pro podporu kapitálovými vstupy</w:t>
      </w:r>
      <w:r w:rsidRPr="002C224A">
        <w:t xml:space="preserve"> je vzhledem k široké variabilitě potenciálních projektů obtížné určit. Obecně se však bude jednat o podniky ve stáří do 3 let existence, které doposud vykazují jen omezený či záporný zisk či jsou ještě přímo ve fázi začátku komerčního fungování, avšak obsahují významný růstový a ziskový potenciál, i na evropské úrovni.</w:t>
      </w:r>
      <w:r w:rsidR="00422394" w:rsidRPr="002C224A">
        <w:t xml:space="preserve"> </w:t>
      </w:r>
      <w:r w:rsidRPr="002C224A">
        <w:t xml:space="preserve">V dotazníku je nejčastěji požadované kapitálové financování dotazovaných podniků kolem </w:t>
      </w:r>
      <w:smartTag w:uri="urn:schemas-microsoft-com:office:smarttags" w:element="metricconverter">
        <w:smartTagPr>
          <w:attr w:name="ProductID" w:val="5 mil"/>
        </w:smartTagPr>
        <w:r w:rsidRPr="002C224A">
          <w:t>5 mil</w:t>
        </w:r>
      </w:smartTag>
      <w:r w:rsidRPr="002C224A">
        <w:t>. Kč, je však nutné počítat s výraznou variabilitou.</w:t>
      </w:r>
    </w:p>
    <w:p w:rsidR="006D67F1" w:rsidRPr="002C224A" w:rsidRDefault="006D67F1" w:rsidP="00BF09B7"/>
    <w:p w:rsidR="006D67F1" w:rsidRPr="002C224A" w:rsidRDefault="006D67F1" w:rsidP="00BF09B7">
      <w:r w:rsidRPr="002C224A">
        <w:t>Společnost Deloitte Advisory jako typový projekt udává účastníka programu CzechEkoSystem, podnikajícího v oboru nanotechnologie s předpokladem globálního působení. Podnik rok po založení již funguje na trhu, nicméně stále operuje se záporným ročním cash flow (především z důvodu vysoké vázanosti kapitálu v materiálu skladových zásob, potřebnému k plnění existujících objednávek). V rámci programu CzechEkoSystem využil podnik poradenských služeb v oblasti vhodného nastavení obchodního modelu a distribuční sítě pro produkt, analýzu konkurence, návrh implementace zvolené formy obchodního modelu a pro vypočtení potřeby financování na základě hodnoty firmy a očekávaných peněžních toků.</w:t>
      </w:r>
      <w:r w:rsidR="00422394" w:rsidRPr="002C224A">
        <w:t xml:space="preserve"> </w:t>
      </w:r>
      <w:r w:rsidRPr="002C224A">
        <w:t>Podnik usiluje o vstup v pořadí již druhého investora, především z důvodu potřeby posílení provozního kapitálu (nákup drahého materiálu na vypořádání přijatých a zasmluvněných objednávek). Na základě vyčíslení hodnoty firmy (metoda diskontovaných budoucích peněžních toků na budoucích 5 let) usiluje podnik o vstup investora v objemu kapitálu do výše cca 500.000 USD, s nabídkou majetkového podílu výše 10 - 25%. Dle pohovorů s vedením podniku je hledání investora velmi náročnou záležitostí a bez pomoci programu CES by pravděpodobně uvedená snaha nebyla úspěšná. Uvedená zkušenost potvrzuje, že kvalitní projekty mohou získat potřebné financování rozvoje tržně (vstup investora nyní je velmi pravděpodobný), nicméně bez aktivní podpory je tento krok velmi obtížný.</w:t>
      </w:r>
    </w:p>
    <w:p w:rsidR="006D67F1" w:rsidRPr="002C224A" w:rsidRDefault="006D67F1" w:rsidP="007447E9"/>
    <w:p w:rsidR="006D67F1" w:rsidRPr="002C224A" w:rsidRDefault="006D67F1" w:rsidP="00063A4C">
      <w:pPr>
        <w:pStyle w:val="Nadpis4"/>
        <w:rPr>
          <w:rFonts w:ascii="Calibri" w:hAnsi="Calibri"/>
        </w:rPr>
      </w:pPr>
      <w:r w:rsidRPr="002C224A">
        <w:rPr>
          <w:rFonts w:ascii="Calibri" w:hAnsi="Calibri"/>
        </w:rPr>
        <w:lastRenderedPageBreak/>
        <w:t>Přidaná hodnota finančního nástroje, problémy, rizika a srovnání s jinými formami podpory</w:t>
      </w:r>
    </w:p>
    <w:p w:rsidR="006D67F1" w:rsidRPr="002C224A" w:rsidRDefault="006D67F1" w:rsidP="0018186D">
      <w:r w:rsidRPr="00A50943">
        <w:t xml:space="preserve">V rámci tabulek níže je uveden </w:t>
      </w:r>
      <w:r w:rsidRPr="002C224A">
        <w:t>přehled přidané hodnoty, problémů a rizik z pohledu konečného příjemce a ŘO a z pohledu celkového dopadu na absorpční kapacitu a dosažení cílů SC 2.1, se zohledněním dopadů na tržní prostředí. Porovnány jsou zvažované nástroje formou záruk, zvýhodněných úvěrů, kapitálového vstupu a dotace.</w:t>
      </w:r>
    </w:p>
    <w:p w:rsidR="006D67F1" w:rsidRPr="002C224A" w:rsidRDefault="006D67F1" w:rsidP="006F771D">
      <w:pPr>
        <w:pStyle w:val="Neslovannadpisy"/>
      </w:pPr>
      <w:r w:rsidRPr="002C224A">
        <w:t>Rozvojové etablované MSP</w:t>
      </w:r>
    </w:p>
    <w:p w:rsidR="006D67F1" w:rsidRPr="002C224A" w:rsidRDefault="006D67F1"/>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67F1" w:rsidRPr="002C224A" w:rsidTr="008A7685">
        <w:trPr>
          <w:trHeight w:val="315"/>
        </w:trPr>
        <w:tc>
          <w:tcPr>
            <w:tcW w:w="960" w:type="dxa"/>
            <w:shd w:val="clear" w:color="auto" w:fill="365F91"/>
            <w:noWrap/>
            <w:vAlign w:val="bottom"/>
          </w:tcPr>
          <w:p w:rsidR="006D67F1" w:rsidRPr="002C224A" w:rsidRDefault="006D67F1" w:rsidP="008A7685">
            <w:pPr>
              <w:jc w:val="left"/>
              <w:rPr>
                <w:sz w:val="24"/>
                <w:szCs w:val="24"/>
              </w:rPr>
            </w:pPr>
          </w:p>
        </w:tc>
        <w:tc>
          <w:tcPr>
            <w:tcW w:w="960" w:type="dxa"/>
            <w:shd w:val="clear" w:color="auto" w:fill="365F91"/>
            <w:noWrap/>
            <w:vAlign w:val="bottom"/>
          </w:tcPr>
          <w:p w:rsidR="006D67F1" w:rsidRPr="002C224A" w:rsidRDefault="006D67F1" w:rsidP="008A7685">
            <w:pPr>
              <w:jc w:val="left"/>
              <w:rPr>
                <w:color w:val="000000"/>
                <w:sz w:val="24"/>
                <w:szCs w:val="24"/>
              </w:rPr>
            </w:pPr>
            <w:r w:rsidRPr="002C224A">
              <w:rPr>
                <w:color w:val="000000"/>
                <w:sz w:val="24"/>
                <w:szCs w:val="24"/>
              </w:rPr>
              <w:t> </w:t>
            </w:r>
          </w:p>
        </w:tc>
        <w:tc>
          <w:tcPr>
            <w:tcW w:w="4744" w:type="dxa"/>
            <w:gridSpan w:val="2"/>
            <w:shd w:val="clear" w:color="auto" w:fill="365F91"/>
            <w:noWrap/>
            <w:vAlign w:val="center"/>
          </w:tcPr>
          <w:p w:rsidR="006D67F1" w:rsidRPr="00A50943" w:rsidRDefault="006D67F1" w:rsidP="008A7685">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8A7685">
            <w:pPr>
              <w:jc w:val="center"/>
              <w:rPr>
                <w:b/>
                <w:bCs/>
                <w:color w:val="FFFFFF"/>
                <w:sz w:val="24"/>
                <w:szCs w:val="24"/>
              </w:rPr>
            </w:pPr>
            <w:r w:rsidRPr="002C224A">
              <w:rPr>
                <w:b/>
                <w:bCs/>
                <w:color w:val="FFFFFF"/>
                <w:sz w:val="24"/>
                <w:szCs w:val="24"/>
              </w:rPr>
              <w:t>Dotace</w:t>
            </w:r>
          </w:p>
        </w:tc>
      </w:tr>
      <w:tr w:rsidR="006D67F1" w:rsidRPr="002C224A" w:rsidTr="008A7685">
        <w:trPr>
          <w:trHeight w:val="315"/>
        </w:trPr>
        <w:tc>
          <w:tcPr>
            <w:tcW w:w="960" w:type="dxa"/>
            <w:shd w:val="clear" w:color="auto" w:fill="365F91"/>
            <w:noWrap/>
            <w:vAlign w:val="center"/>
          </w:tcPr>
          <w:p w:rsidR="006D67F1" w:rsidRPr="002C224A" w:rsidRDefault="006D67F1" w:rsidP="008A7685">
            <w:pPr>
              <w:jc w:val="center"/>
              <w:rPr>
                <w:b/>
                <w:bCs/>
                <w:color w:val="000000"/>
                <w:sz w:val="24"/>
                <w:szCs w:val="24"/>
              </w:rPr>
            </w:pPr>
          </w:p>
        </w:tc>
        <w:tc>
          <w:tcPr>
            <w:tcW w:w="960" w:type="dxa"/>
            <w:shd w:val="clear" w:color="auto" w:fill="365F91"/>
            <w:noWrap/>
            <w:vAlign w:val="center"/>
          </w:tcPr>
          <w:p w:rsidR="006D67F1" w:rsidRPr="002C224A" w:rsidRDefault="006D67F1" w:rsidP="008A7685">
            <w:pPr>
              <w:jc w:val="left"/>
              <w:rPr>
                <w:color w:val="000000"/>
                <w:sz w:val="24"/>
                <w:szCs w:val="24"/>
              </w:rPr>
            </w:pPr>
            <w:r w:rsidRPr="002C224A">
              <w:rPr>
                <w:color w:val="000000"/>
                <w:sz w:val="24"/>
                <w:szCs w:val="24"/>
              </w:rPr>
              <w:t> </w:t>
            </w:r>
          </w:p>
        </w:tc>
        <w:tc>
          <w:tcPr>
            <w:tcW w:w="2414" w:type="dxa"/>
            <w:shd w:val="clear" w:color="auto" w:fill="365F91"/>
            <w:vAlign w:val="center"/>
          </w:tcPr>
          <w:p w:rsidR="006D67F1" w:rsidRPr="002C224A" w:rsidRDefault="006D67F1" w:rsidP="008A7685">
            <w:pPr>
              <w:jc w:val="center"/>
              <w:rPr>
                <w:b/>
                <w:bCs/>
                <w:color w:val="FFFFFF"/>
                <w:sz w:val="24"/>
                <w:szCs w:val="24"/>
              </w:rPr>
            </w:pPr>
            <w:r w:rsidRPr="002C224A">
              <w:rPr>
                <w:b/>
                <w:bCs/>
                <w:color w:val="FFFFFF"/>
                <w:sz w:val="24"/>
                <w:szCs w:val="24"/>
              </w:rPr>
              <w:t>Záruční nástroj</w:t>
            </w:r>
          </w:p>
        </w:tc>
        <w:tc>
          <w:tcPr>
            <w:tcW w:w="2330" w:type="dxa"/>
            <w:shd w:val="clear" w:color="auto" w:fill="365F91"/>
            <w:vAlign w:val="center"/>
          </w:tcPr>
          <w:p w:rsidR="006D67F1" w:rsidRPr="002C224A" w:rsidRDefault="006D67F1" w:rsidP="008A7685">
            <w:pPr>
              <w:jc w:val="center"/>
              <w:rPr>
                <w:b/>
                <w:bCs/>
                <w:color w:val="FFFFFF"/>
                <w:sz w:val="24"/>
                <w:szCs w:val="24"/>
              </w:rPr>
            </w:pPr>
            <w:r w:rsidRPr="002C224A">
              <w:rPr>
                <w:b/>
                <w:bCs/>
                <w:color w:val="FFFFFF"/>
                <w:sz w:val="24"/>
                <w:szCs w:val="24"/>
              </w:rPr>
              <w:t>Zvýhodněný úvěr</w:t>
            </w:r>
          </w:p>
        </w:tc>
        <w:tc>
          <w:tcPr>
            <w:tcW w:w="2330" w:type="dxa"/>
            <w:shd w:val="clear" w:color="auto" w:fill="365F91"/>
          </w:tcPr>
          <w:p w:rsidR="006D67F1" w:rsidRPr="002C224A" w:rsidRDefault="006D67F1" w:rsidP="008A7685">
            <w:pPr>
              <w:jc w:val="center"/>
              <w:rPr>
                <w:b/>
                <w:bCs/>
                <w:color w:val="FFFFFF"/>
                <w:sz w:val="24"/>
                <w:szCs w:val="24"/>
              </w:rPr>
            </w:pPr>
          </w:p>
        </w:tc>
      </w:tr>
      <w:tr w:rsidR="006D67F1" w:rsidRPr="002C224A" w:rsidTr="008A7685">
        <w:trPr>
          <w:trHeight w:val="720"/>
        </w:trPr>
        <w:tc>
          <w:tcPr>
            <w:tcW w:w="960" w:type="dxa"/>
            <w:vMerge w:val="restart"/>
            <w:shd w:val="clear" w:color="auto" w:fill="8DB3E2"/>
            <w:noWrap/>
            <w:textDirection w:val="btLr"/>
            <w:vAlign w:val="center"/>
          </w:tcPr>
          <w:p w:rsidR="006D67F1" w:rsidRPr="002C224A" w:rsidRDefault="003D7EB1" w:rsidP="008A7685">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vAlign w:val="center"/>
          </w:tcPr>
          <w:p w:rsidR="006D67F1" w:rsidRPr="002C224A" w:rsidRDefault="006D67F1" w:rsidP="008A7685">
            <w:pPr>
              <w:jc w:val="center"/>
              <w:rPr>
                <w:b/>
                <w:bCs/>
                <w:color w:val="FFFFFF"/>
                <w:sz w:val="24"/>
                <w:szCs w:val="24"/>
              </w:rPr>
            </w:pPr>
            <w:r w:rsidRPr="002C224A">
              <w:rPr>
                <w:b/>
                <w:bCs/>
                <w:color w:val="FFFFFF"/>
                <w:sz w:val="24"/>
                <w:szCs w:val="24"/>
              </w:rPr>
              <w:t>Konečný příjemce</w:t>
            </w: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Zpřístupnění nedosažitelného financování</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Zpřístupnění vyšší míry externího financování</w:t>
            </w:r>
          </w:p>
        </w:tc>
        <w:tc>
          <w:tcPr>
            <w:tcW w:w="2330" w:type="dxa"/>
            <w:shd w:val="clear" w:color="auto" w:fill="8DB3E2"/>
          </w:tcPr>
          <w:p w:rsidR="006D67F1" w:rsidRPr="002C224A" w:rsidRDefault="006D67F1" w:rsidP="008A7685">
            <w:pPr>
              <w:jc w:val="center"/>
              <w:rPr>
                <w:b/>
                <w:color w:val="FFFFFF"/>
                <w:sz w:val="20"/>
              </w:rPr>
            </w:pPr>
            <w:r w:rsidRPr="002C224A">
              <w:rPr>
                <w:b/>
                <w:color w:val="FFFFFF"/>
                <w:sz w:val="20"/>
              </w:rPr>
              <w:t>Nevratný příspěvek na projekt</w:t>
            </w:r>
          </w:p>
        </w:tc>
      </w:tr>
      <w:tr w:rsidR="006D67F1" w:rsidRPr="002C224A" w:rsidTr="008A7685">
        <w:trPr>
          <w:trHeight w:val="480"/>
        </w:trPr>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Částečné snížení úrokové sazby snížením rizikové přirážky</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Snížení úrokové sazby</w:t>
            </w:r>
          </w:p>
        </w:tc>
        <w:tc>
          <w:tcPr>
            <w:tcW w:w="2330" w:type="dxa"/>
            <w:shd w:val="clear" w:color="auto" w:fill="8DB3E2"/>
          </w:tcPr>
          <w:p w:rsidR="006D67F1" w:rsidRPr="002C224A" w:rsidRDefault="006D67F1" w:rsidP="002F7B85">
            <w:pPr>
              <w:jc w:val="center"/>
              <w:rPr>
                <w:b/>
                <w:color w:val="FFFFFF"/>
                <w:sz w:val="20"/>
              </w:rPr>
            </w:pPr>
            <w:r w:rsidRPr="002C224A">
              <w:rPr>
                <w:b/>
                <w:color w:val="FFFFFF"/>
                <w:sz w:val="20"/>
              </w:rPr>
              <w:t xml:space="preserve">Vysoce snížená doba návratnosti </w:t>
            </w:r>
          </w:p>
        </w:tc>
      </w:tr>
      <w:tr w:rsidR="006D67F1" w:rsidRPr="002C224A" w:rsidTr="008A7685">
        <w:trPr>
          <w:trHeight w:val="720"/>
        </w:trPr>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Snížení nároků na zástavu podniku</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8A7685">
            <w:pPr>
              <w:jc w:val="center"/>
              <w:rPr>
                <w:b/>
                <w:color w:val="FFFFFF"/>
                <w:sz w:val="20"/>
              </w:rPr>
            </w:pPr>
            <w:r w:rsidRPr="002C224A">
              <w:rPr>
                <w:b/>
                <w:color w:val="FFFFFF"/>
                <w:sz w:val="20"/>
              </w:rPr>
              <w:t>Snazší opatření úvěru na zbytek nákladů projektu</w:t>
            </w:r>
          </w:p>
        </w:tc>
      </w:tr>
      <w:tr w:rsidR="006D67F1" w:rsidRPr="002C224A" w:rsidTr="008A7685">
        <w:trPr>
          <w:trHeight w:val="478"/>
        </w:trPr>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2414" w:type="dxa"/>
            <w:shd w:val="clear" w:color="auto" w:fill="8DB3E2"/>
            <w:noWrap/>
            <w:vAlign w:val="center"/>
          </w:tcPr>
          <w:p w:rsidR="006D67F1" w:rsidRPr="002C224A" w:rsidRDefault="006D67F1" w:rsidP="008A7685">
            <w:pPr>
              <w:jc w:val="center"/>
              <w:rPr>
                <w:b/>
                <w:color w:val="FFFFFF"/>
                <w:sz w:val="20"/>
              </w:rPr>
            </w:pP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Snížená doba návratnosti</w:t>
            </w:r>
          </w:p>
        </w:tc>
        <w:tc>
          <w:tcPr>
            <w:tcW w:w="2330" w:type="dxa"/>
            <w:shd w:val="clear" w:color="auto" w:fill="8DB3E2"/>
          </w:tcPr>
          <w:p w:rsidR="006D67F1" w:rsidRPr="002C224A" w:rsidRDefault="006D67F1" w:rsidP="008A7685">
            <w:pPr>
              <w:jc w:val="center"/>
              <w:rPr>
                <w:b/>
                <w:color w:val="FFFFFF"/>
                <w:sz w:val="20"/>
              </w:rPr>
            </w:pPr>
            <w:r w:rsidRPr="002C224A">
              <w:rPr>
                <w:b/>
                <w:color w:val="FFFFFF"/>
                <w:sz w:val="20"/>
              </w:rPr>
              <w:t>Možnost investovat nadměrný zisk do dalších investic</w:t>
            </w:r>
          </w:p>
        </w:tc>
      </w:tr>
      <w:tr w:rsidR="006D67F1" w:rsidRPr="002C224A" w:rsidTr="008A7685">
        <w:trPr>
          <w:trHeight w:val="680"/>
        </w:trPr>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Platba v předstihu v podobě úvěru</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8A7685">
            <w:pPr>
              <w:jc w:val="center"/>
              <w:rPr>
                <w:b/>
                <w:color w:val="FFFFFF"/>
                <w:sz w:val="20"/>
              </w:rPr>
            </w:pPr>
          </w:p>
        </w:tc>
      </w:tr>
      <w:tr w:rsidR="006D67F1" w:rsidRPr="002C224A" w:rsidTr="008A7685">
        <w:trPr>
          <w:trHeight w:val="690"/>
        </w:trPr>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Nižší administrativní náročnost</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8A7685">
            <w:pPr>
              <w:jc w:val="left"/>
              <w:rPr>
                <w:b/>
                <w:color w:val="FFFFFF"/>
                <w:sz w:val="20"/>
              </w:rPr>
            </w:pPr>
          </w:p>
        </w:tc>
      </w:tr>
      <w:tr w:rsidR="006D67F1" w:rsidRPr="002C224A" w:rsidTr="008A7685">
        <w:trPr>
          <w:trHeight w:val="735"/>
        </w:trPr>
        <w:tc>
          <w:tcPr>
            <w:tcW w:w="960" w:type="dxa"/>
            <w:vMerge/>
            <w:shd w:val="clear" w:color="auto" w:fill="8DB3E2"/>
            <w:vAlign w:val="center"/>
          </w:tcPr>
          <w:p w:rsidR="006D67F1" w:rsidRPr="002C224A" w:rsidRDefault="006D67F1" w:rsidP="008A7685">
            <w:pPr>
              <w:jc w:val="left"/>
              <w:rPr>
                <w:b/>
                <w:bCs/>
                <w:color w:val="FFFFFF"/>
                <w:sz w:val="24"/>
                <w:szCs w:val="24"/>
              </w:rPr>
            </w:pPr>
          </w:p>
        </w:tc>
        <w:tc>
          <w:tcPr>
            <w:tcW w:w="960" w:type="dxa"/>
            <w:vMerge w:val="restart"/>
            <w:shd w:val="clear" w:color="auto" w:fill="8DB3E2"/>
            <w:noWrap/>
            <w:textDirection w:val="btLr"/>
            <w:vAlign w:val="center"/>
          </w:tcPr>
          <w:p w:rsidR="006D67F1" w:rsidRPr="002C224A" w:rsidRDefault="006D67F1" w:rsidP="008A7685">
            <w:pPr>
              <w:jc w:val="center"/>
              <w:rPr>
                <w:b/>
                <w:bCs/>
                <w:color w:val="FFFFFF"/>
                <w:sz w:val="24"/>
                <w:szCs w:val="24"/>
              </w:rPr>
            </w:pPr>
            <w:r w:rsidRPr="002C224A">
              <w:rPr>
                <w:b/>
                <w:bCs/>
                <w:color w:val="FFFFFF"/>
                <w:sz w:val="24"/>
                <w:szCs w:val="24"/>
              </w:rPr>
              <w:t>ŘO</w:t>
            </w: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Vysoký pákový efekt a širší objem podpořených projektů a investic</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Vysoký revolvingový efekt a podpoření projektů v dalších cyklech</w:t>
            </w:r>
          </w:p>
        </w:tc>
        <w:tc>
          <w:tcPr>
            <w:tcW w:w="2330" w:type="dxa"/>
            <w:shd w:val="clear" w:color="auto" w:fill="8DB3E2"/>
          </w:tcPr>
          <w:p w:rsidR="006D67F1" w:rsidRPr="002C224A" w:rsidRDefault="006D67F1" w:rsidP="008A7685">
            <w:pPr>
              <w:jc w:val="center"/>
              <w:rPr>
                <w:b/>
                <w:color w:val="FFFFFF"/>
                <w:sz w:val="20"/>
              </w:rPr>
            </w:pPr>
          </w:p>
        </w:tc>
      </w:tr>
      <w:tr w:rsidR="006D67F1" w:rsidRPr="002C224A" w:rsidTr="008A7685">
        <w:trPr>
          <w:trHeight w:val="735"/>
        </w:trPr>
        <w:tc>
          <w:tcPr>
            <w:tcW w:w="960" w:type="dxa"/>
            <w:vMerge/>
            <w:shd w:val="clear" w:color="auto" w:fill="8DB3E2"/>
            <w:vAlign w:val="center"/>
          </w:tcPr>
          <w:p w:rsidR="006D67F1" w:rsidRPr="002C224A" w:rsidRDefault="006D67F1" w:rsidP="008A7685">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8A7685">
            <w:pPr>
              <w:jc w:val="center"/>
              <w:rPr>
                <w:b/>
                <w:bCs/>
                <w:color w:val="FFFFFF"/>
                <w:sz w:val="18"/>
                <w:szCs w:val="18"/>
              </w:rPr>
            </w:pPr>
          </w:p>
        </w:tc>
        <w:tc>
          <w:tcPr>
            <w:tcW w:w="2414" w:type="dxa"/>
            <w:shd w:val="clear" w:color="auto" w:fill="8DB3E2"/>
            <w:vAlign w:val="center"/>
          </w:tcPr>
          <w:p w:rsidR="006D67F1" w:rsidRPr="002C224A" w:rsidRDefault="006D67F1" w:rsidP="008A7685">
            <w:pPr>
              <w:jc w:val="center"/>
              <w:rPr>
                <w:b/>
                <w:color w:val="FFFFFF"/>
                <w:sz w:val="20"/>
              </w:rPr>
            </w:pPr>
            <w:r w:rsidRPr="002C224A">
              <w:rPr>
                <w:b/>
                <w:color w:val="FFFFFF"/>
                <w:sz w:val="20"/>
              </w:rPr>
              <w:t>Možnost revolvingu v závislosti na rizikové strategii</w:t>
            </w:r>
          </w:p>
        </w:tc>
        <w:tc>
          <w:tcPr>
            <w:tcW w:w="2330" w:type="dxa"/>
            <w:shd w:val="clear" w:color="auto" w:fill="8DB3E2"/>
            <w:vAlign w:val="center"/>
          </w:tcPr>
          <w:p w:rsidR="006D67F1" w:rsidRPr="002C224A" w:rsidRDefault="006D67F1" w:rsidP="008A7685">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8A7685">
            <w:pPr>
              <w:jc w:val="center"/>
              <w:rPr>
                <w:b/>
                <w:color w:val="FFFFFF"/>
                <w:sz w:val="20"/>
              </w:rPr>
            </w:pPr>
          </w:p>
        </w:tc>
      </w:tr>
      <w:tr w:rsidR="006D67F1" w:rsidRPr="002C224A" w:rsidTr="00165EB0">
        <w:trPr>
          <w:trHeight w:val="311"/>
        </w:trPr>
        <w:tc>
          <w:tcPr>
            <w:tcW w:w="960" w:type="dxa"/>
            <w:vMerge/>
            <w:tcBorders>
              <w:bottom w:val="single" w:sz="4" w:space="0" w:color="auto"/>
            </w:tcBorders>
            <w:shd w:val="clear" w:color="auto" w:fill="8DB3E2"/>
            <w:vAlign w:val="center"/>
          </w:tcPr>
          <w:p w:rsidR="006D67F1" w:rsidRPr="002C224A" w:rsidRDefault="006D67F1" w:rsidP="008A7685">
            <w:pPr>
              <w:jc w:val="left"/>
              <w:rPr>
                <w:b/>
                <w:bCs/>
                <w:color w:val="FFFFFF"/>
                <w:sz w:val="18"/>
                <w:szCs w:val="18"/>
              </w:rPr>
            </w:pPr>
          </w:p>
        </w:tc>
        <w:tc>
          <w:tcPr>
            <w:tcW w:w="960" w:type="dxa"/>
            <w:vMerge/>
            <w:tcBorders>
              <w:bottom w:val="single" w:sz="4" w:space="0" w:color="auto"/>
            </w:tcBorders>
            <w:shd w:val="clear" w:color="auto" w:fill="8DB3E2"/>
            <w:noWrap/>
            <w:textDirection w:val="btLr"/>
            <w:vAlign w:val="center"/>
          </w:tcPr>
          <w:p w:rsidR="006D67F1" w:rsidRPr="002C224A" w:rsidRDefault="006D67F1" w:rsidP="008A7685">
            <w:pPr>
              <w:jc w:val="center"/>
              <w:rPr>
                <w:b/>
                <w:bCs/>
                <w:color w:val="FFFFFF"/>
                <w:sz w:val="18"/>
                <w:szCs w:val="18"/>
              </w:rPr>
            </w:pPr>
          </w:p>
        </w:tc>
        <w:tc>
          <w:tcPr>
            <w:tcW w:w="2414" w:type="dxa"/>
            <w:tcBorders>
              <w:bottom w:val="single" w:sz="4" w:space="0" w:color="auto"/>
            </w:tcBorders>
            <w:shd w:val="clear" w:color="auto" w:fill="8DB3E2"/>
            <w:vAlign w:val="center"/>
          </w:tcPr>
          <w:p w:rsidR="006D67F1" w:rsidRPr="002C224A" w:rsidRDefault="006D67F1" w:rsidP="008A7685">
            <w:pPr>
              <w:jc w:val="center"/>
              <w:rPr>
                <w:b/>
                <w:color w:val="FFFFFF"/>
                <w:sz w:val="20"/>
              </w:rPr>
            </w:pPr>
            <w:r w:rsidRPr="002C224A">
              <w:rPr>
                <w:b/>
                <w:color w:val="FFFFFF"/>
                <w:sz w:val="20"/>
              </w:rPr>
              <w:t>Rychlé čerpání</w:t>
            </w:r>
          </w:p>
        </w:tc>
        <w:tc>
          <w:tcPr>
            <w:tcW w:w="2330" w:type="dxa"/>
            <w:tcBorders>
              <w:bottom w:val="single" w:sz="4" w:space="0" w:color="auto"/>
            </w:tcBorders>
            <w:shd w:val="clear" w:color="auto" w:fill="8DB3E2"/>
            <w:vAlign w:val="center"/>
          </w:tcPr>
          <w:p w:rsidR="006D67F1" w:rsidRPr="002C224A" w:rsidRDefault="006D67F1" w:rsidP="008A7685">
            <w:pPr>
              <w:jc w:val="center"/>
              <w:rPr>
                <w:b/>
                <w:color w:val="FFFFFF"/>
                <w:sz w:val="20"/>
              </w:rPr>
            </w:pPr>
            <w:r w:rsidRPr="002C224A">
              <w:rPr>
                <w:b/>
                <w:color w:val="FFFFFF"/>
                <w:sz w:val="20"/>
              </w:rPr>
              <w:t>Rychlé čerpání</w:t>
            </w:r>
          </w:p>
        </w:tc>
        <w:tc>
          <w:tcPr>
            <w:tcW w:w="2330" w:type="dxa"/>
            <w:tcBorders>
              <w:bottom w:val="single" w:sz="4" w:space="0" w:color="auto"/>
            </w:tcBorders>
            <w:shd w:val="clear" w:color="auto" w:fill="8DB3E2"/>
          </w:tcPr>
          <w:p w:rsidR="006D67F1" w:rsidRPr="002C224A" w:rsidRDefault="006D67F1" w:rsidP="008A7685">
            <w:pPr>
              <w:jc w:val="center"/>
              <w:rPr>
                <w:b/>
                <w:color w:val="FFFFFF"/>
                <w:sz w:val="20"/>
              </w:rPr>
            </w:pPr>
          </w:p>
        </w:tc>
      </w:tr>
      <w:tr w:rsidR="006D67F1" w:rsidRPr="002C224A" w:rsidTr="008A7685">
        <w:trPr>
          <w:trHeight w:val="735"/>
        </w:trPr>
        <w:tc>
          <w:tcPr>
            <w:tcW w:w="960" w:type="dxa"/>
            <w:vMerge w:val="restart"/>
            <w:shd w:val="clear" w:color="auto" w:fill="FF0000"/>
            <w:textDirection w:val="btLr"/>
            <w:vAlign w:val="center"/>
          </w:tcPr>
          <w:p w:rsidR="006D67F1" w:rsidRPr="002C224A" w:rsidRDefault="006D67F1" w:rsidP="007A392E">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vAlign w:val="center"/>
          </w:tcPr>
          <w:p w:rsidR="006D67F1" w:rsidRPr="002C224A" w:rsidRDefault="006D67F1" w:rsidP="007A392E">
            <w:pPr>
              <w:jc w:val="center"/>
              <w:rPr>
                <w:b/>
                <w:bCs/>
                <w:color w:val="FFFFFF"/>
                <w:sz w:val="24"/>
                <w:szCs w:val="24"/>
              </w:rPr>
            </w:pPr>
            <w:r w:rsidRPr="002C224A">
              <w:rPr>
                <w:b/>
                <w:bCs/>
                <w:color w:val="FFFFFF"/>
                <w:sz w:val="24"/>
                <w:szCs w:val="24"/>
              </w:rPr>
              <w:t>Konečný příjemce</w:t>
            </w:r>
          </w:p>
        </w:tc>
        <w:tc>
          <w:tcPr>
            <w:tcW w:w="2414" w:type="dxa"/>
            <w:shd w:val="clear" w:color="auto" w:fill="FF0000"/>
            <w:vAlign w:val="center"/>
          </w:tcPr>
          <w:p w:rsidR="006D67F1" w:rsidRPr="002C224A" w:rsidRDefault="006D67F1" w:rsidP="007A392E">
            <w:pPr>
              <w:jc w:val="center"/>
              <w:rPr>
                <w:b/>
                <w:color w:val="FFFFFF"/>
                <w:sz w:val="20"/>
              </w:rPr>
            </w:pPr>
            <w:r w:rsidRPr="002C224A">
              <w:rPr>
                <w:b/>
                <w:color w:val="FFFFFF"/>
                <w:sz w:val="20"/>
              </w:rPr>
              <w:t>Nedostává peníze, musí splácet</w:t>
            </w:r>
          </w:p>
        </w:tc>
        <w:tc>
          <w:tcPr>
            <w:tcW w:w="2330" w:type="dxa"/>
            <w:shd w:val="clear" w:color="auto" w:fill="FF0000"/>
            <w:vAlign w:val="center"/>
          </w:tcPr>
          <w:p w:rsidR="006D67F1" w:rsidRPr="002C224A" w:rsidRDefault="006D67F1" w:rsidP="007A392E">
            <w:pPr>
              <w:jc w:val="center"/>
              <w:rPr>
                <w:b/>
                <w:color w:val="FFFFFF"/>
                <w:sz w:val="20"/>
              </w:rPr>
            </w:pPr>
            <w:r w:rsidRPr="002C224A">
              <w:rPr>
                <w:b/>
                <w:color w:val="FFFFFF"/>
                <w:sz w:val="20"/>
              </w:rPr>
              <w:t>Nedostává peníze, musí splácet</w:t>
            </w:r>
          </w:p>
        </w:tc>
        <w:tc>
          <w:tcPr>
            <w:tcW w:w="2330" w:type="dxa"/>
            <w:shd w:val="clear" w:color="auto" w:fill="FF0000"/>
          </w:tcPr>
          <w:p w:rsidR="006D67F1" w:rsidRPr="002C224A" w:rsidRDefault="006D67F1" w:rsidP="007A392E">
            <w:pPr>
              <w:jc w:val="center"/>
              <w:rPr>
                <w:b/>
                <w:color w:val="FFFFFF"/>
                <w:sz w:val="20"/>
              </w:rPr>
            </w:pPr>
            <w:r w:rsidRPr="002C224A">
              <w:rPr>
                <w:b/>
                <w:color w:val="FFFFFF"/>
                <w:sz w:val="20"/>
              </w:rPr>
              <w:t>Vysoká administrativní náročnost</w:t>
            </w:r>
          </w:p>
        </w:tc>
      </w:tr>
      <w:tr w:rsidR="006D67F1" w:rsidRPr="002C224A" w:rsidTr="008A7685">
        <w:trPr>
          <w:trHeight w:val="735"/>
        </w:trPr>
        <w:tc>
          <w:tcPr>
            <w:tcW w:w="960" w:type="dxa"/>
            <w:vMerge/>
            <w:shd w:val="clear" w:color="auto" w:fill="FF0000"/>
            <w:vAlign w:val="center"/>
          </w:tcPr>
          <w:p w:rsidR="006D67F1" w:rsidRPr="002C224A" w:rsidRDefault="006D67F1" w:rsidP="007A392E">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7A392E">
            <w:pPr>
              <w:jc w:val="center"/>
              <w:rPr>
                <w:b/>
                <w:bCs/>
                <w:color w:val="000000"/>
                <w:sz w:val="24"/>
                <w:szCs w:val="24"/>
              </w:rPr>
            </w:pPr>
          </w:p>
        </w:tc>
        <w:tc>
          <w:tcPr>
            <w:tcW w:w="2414" w:type="dxa"/>
            <w:shd w:val="clear" w:color="auto" w:fill="FF0000"/>
            <w:vAlign w:val="center"/>
          </w:tcPr>
          <w:p w:rsidR="006D67F1" w:rsidRPr="002C224A" w:rsidRDefault="006D67F1" w:rsidP="007A392E">
            <w:pPr>
              <w:jc w:val="center"/>
              <w:rPr>
                <w:b/>
                <w:color w:val="FFFFFF"/>
                <w:sz w:val="20"/>
              </w:rPr>
            </w:pPr>
            <w:r w:rsidRPr="002C224A">
              <w:rPr>
                <w:b/>
                <w:color w:val="FFFFFF"/>
                <w:sz w:val="20"/>
              </w:rPr>
              <w:t>Malý efekt na snížení úroků</w:t>
            </w:r>
          </w:p>
        </w:tc>
        <w:tc>
          <w:tcPr>
            <w:tcW w:w="2330" w:type="dxa"/>
            <w:shd w:val="clear" w:color="auto" w:fill="FF0000"/>
            <w:vAlign w:val="center"/>
          </w:tcPr>
          <w:p w:rsidR="006D67F1" w:rsidRPr="002C224A" w:rsidRDefault="006D67F1" w:rsidP="007A392E">
            <w:pPr>
              <w:jc w:val="center"/>
              <w:rPr>
                <w:b/>
                <w:color w:val="FFFFFF"/>
                <w:sz w:val="20"/>
              </w:rPr>
            </w:pPr>
            <w:r w:rsidRPr="002C224A">
              <w:rPr>
                <w:b/>
                <w:color w:val="FFFFFF"/>
                <w:sz w:val="20"/>
              </w:rPr>
              <w:t>Nižší efekt na návratnost projektu v porovnání s dotací</w:t>
            </w:r>
          </w:p>
        </w:tc>
        <w:tc>
          <w:tcPr>
            <w:tcW w:w="2330" w:type="dxa"/>
            <w:shd w:val="clear" w:color="auto" w:fill="FF0000"/>
          </w:tcPr>
          <w:p w:rsidR="006D67F1" w:rsidRPr="002C224A" w:rsidRDefault="006D67F1" w:rsidP="007A392E">
            <w:pPr>
              <w:jc w:val="center"/>
              <w:rPr>
                <w:b/>
                <w:color w:val="FFFFFF"/>
                <w:sz w:val="20"/>
              </w:rPr>
            </w:pPr>
            <w:r w:rsidRPr="002C224A">
              <w:rPr>
                <w:b/>
                <w:color w:val="FFFFFF"/>
                <w:sz w:val="20"/>
              </w:rPr>
              <w:t>Regulovaná výběrová řízení na dodavatele – vyšší náklady</w:t>
            </w:r>
          </w:p>
        </w:tc>
      </w:tr>
      <w:tr w:rsidR="006D67F1" w:rsidRPr="002C224A" w:rsidTr="008A7685">
        <w:trPr>
          <w:trHeight w:val="456"/>
        </w:trPr>
        <w:tc>
          <w:tcPr>
            <w:tcW w:w="960" w:type="dxa"/>
            <w:vMerge/>
            <w:shd w:val="clear" w:color="auto" w:fill="FF0000"/>
            <w:vAlign w:val="center"/>
          </w:tcPr>
          <w:p w:rsidR="006D67F1" w:rsidRPr="002C224A" w:rsidRDefault="006D67F1" w:rsidP="007A392E">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7A392E">
            <w:pPr>
              <w:jc w:val="center"/>
              <w:rPr>
                <w:b/>
                <w:bCs/>
                <w:color w:val="000000"/>
                <w:sz w:val="24"/>
                <w:szCs w:val="24"/>
              </w:rPr>
            </w:pPr>
          </w:p>
        </w:tc>
        <w:tc>
          <w:tcPr>
            <w:tcW w:w="2414" w:type="dxa"/>
            <w:shd w:val="clear" w:color="auto" w:fill="FF0000"/>
            <w:vAlign w:val="center"/>
          </w:tcPr>
          <w:p w:rsidR="006D67F1" w:rsidRPr="002C224A" w:rsidRDefault="006D67F1" w:rsidP="007A392E">
            <w:pPr>
              <w:jc w:val="center"/>
              <w:rPr>
                <w:b/>
                <w:color w:val="FFFFFF"/>
                <w:sz w:val="20"/>
              </w:rPr>
            </w:pPr>
          </w:p>
        </w:tc>
        <w:tc>
          <w:tcPr>
            <w:tcW w:w="2330" w:type="dxa"/>
            <w:shd w:val="clear" w:color="auto" w:fill="FF0000"/>
            <w:vAlign w:val="center"/>
          </w:tcPr>
          <w:p w:rsidR="006D67F1" w:rsidRPr="002C224A" w:rsidRDefault="006D67F1" w:rsidP="007A392E">
            <w:pPr>
              <w:jc w:val="center"/>
              <w:rPr>
                <w:b/>
                <w:color w:val="FFFFFF"/>
                <w:sz w:val="20"/>
              </w:rPr>
            </w:pPr>
            <w:r w:rsidRPr="002C224A">
              <w:rPr>
                <w:b/>
                <w:color w:val="FFFFFF"/>
                <w:sz w:val="20"/>
              </w:rPr>
              <w:t>Nižší efekt zpřístupnění financování pro velmi rizikové projekty</w:t>
            </w:r>
          </w:p>
        </w:tc>
        <w:tc>
          <w:tcPr>
            <w:tcW w:w="2330" w:type="dxa"/>
            <w:shd w:val="clear" w:color="auto" w:fill="FF0000"/>
          </w:tcPr>
          <w:p w:rsidR="006D67F1" w:rsidRPr="002C224A" w:rsidRDefault="006D67F1" w:rsidP="007A392E">
            <w:pPr>
              <w:jc w:val="center"/>
              <w:rPr>
                <w:b/>
                <w:color w:val="FFFFFF"/>
                <w:sz w:val="20"/>
              </w:rPr>
            </w:pPr>
            <w:r w:rsidRPr="002C224A">
              <w:rPr>
                <w:b/>
                <w:color w:val="FFFFFF"/>
                <w:sz w:val="20"/>
              </w:rPr>
              <w:t>Nutnost předfinancování – platba ex post</w:t>
            </w:r>
          </w:p>
        </w:tc>
      </w:tr>
      <w:tr w:rsidR="006D67F1" w:rsidRPr="002C224A" w:rsidTr="008A7685">
        <w:trPr>
          <w:trHeight w:val="735"/>
        </w:trPr>
        <w:tc>
          <w:tcPr>
            <w:tcW w:w="960" w:type="dxa"/>
            <w:vMerge/>
            <w:shd w:val="clear" w:color="auto" w:fill="FF0000"/>
            <w:vAlign w:val="center"/>
          </w:tcPr>
          <w:p w:rsidR="006D67F1" w:rsidRPr="002C224A" w:rsidRDefault="006D67F1" w:rsidP="007A392E">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7A392E">
            <w:pPr>
              <w:jc w:val="center"/>
              <w:rPr>
                <w:b/>
                <w:bCs/>
                <w:color w:val="000000"/>
                <w:sz w:val="24"/>
                <w:szCs w:val="24"/>
              </w:rPr>
            </w:pPr>
          </w:p>
        </w:tc>
        <w:tc>
          <w:tcPr>
            <w:tcW w:w="2414" w:type="dxa"/>
            <w:shd w:val="clear" w:color="auto" w:fill="FF0000"/>
            <w:vAlign w:val="center"/>
          </w:tcPr>
          <w:p w:rsidR="006D67F1" w:rsidRPr="002C224A" w:rsidRDefault="006D67F1" w:rsidP="007A392E">
            <w:pPr>
              <w:jc w:val="center"/>
              <w:rPr>
                <w:b/>
                <w:color w:val="FFFFFF"/>
                <w:sz w:val="20"/>
              </w:rPr>
            </w:pPr>
          </w:p>
        </w:tc>
        <w:tc>
          <w:tcPr>
            <w:tcW w:w="2330" w:type="dxa"/>
            <w:shd w:val="clear" w:color="auto" w:fill="FF0000"/>
            <w:vAlign w:val="center"/>
          </w:tcPr>
          <w:p w:rsidR="006D67F1" w:rsidRPr="002C224A" w:rsidRDefault="006D67F1" w:rsidP="007A392E">
            <w:pPr>
              <w:jc w:val="center"/>
              <w:rPr>
                <w:b/>
                <w:color w:val="FFFFFF"/>
                <w:sz w:val="20"/>
              </w:rPr>
            </w:pPr>
          </w:p>
        </w:tc>
        <w:tc>
          <w:tcPr>
            <w:tcW w:w="2330" w:type="dxa"/>
            <w:shd w:val="clear" w:color="auto" w:fill="FF0000"/>
          </w:tcPr>
          <w:p w:rsidR="006D67F1" w:rsidRPr="002C224A" w:rsidRDefault="006D67F1" w:rsidP="007A392E">
            <w:pPr>
              <w:jc w:val="center"/>
              <w:rPr>
                <w:b/>
                <w:color w:val="FFFFFF"/>
                <w:sz w:val="20"/>
              </w:rPr>
            </w:pPr>
            <w:r w:rsidRPr="002C224A">
              <w:rPr>
                <w:b/>
                <w:color w:val="FFFFFF"/>
                <w:sz w:val="20"/>
              </w:rPr>
              <w:t>Riziko dodatečného odebrání dotace z důvodu chyb v projektu a nesplnění podmínek</w:t>
            </w:r>
          </w:p>
        </w:tc>
      </w:tr>
      <w:tr w:rsidR="006D67F1" w:rsidRPr="002C224A" w:rsidTr="008A7685">
        <w:trPr>
          <w:trHeight w:val="735"/>
        </w:trPr>
        <w:tc>
          <w:tcPr>
            <w:tcW w:w="960" w:type="dxa"/>
            <w:vMerge/>
            <w:shd w:val="clear" w:color="auto" w:fill="FF0000"/>
            <w:vAlign w:val="center"/>
          </w:tcPr>
          <w:p w:rsidR="006D67F1" w:rsidRPr="002C224A" w:rsidRDefault="006D67F1" w:rsidP="007A392E">
            <w:pPr>
              <w:jc w:val="left"/>
              <w:rPr>
                <w:b/>
                <w:bCs/>
                <w:color w:val="000000"/>
                <w:sz w:val="24"/>
                <w:szCs w:val="24"/>
              </w:rPr>
            </w:pPr>
          </w:p>
        </w:tc>
        <w:tc>
          <w:tcPr>
            <w:tcW w:w="960" w:type="dxa"/>
            <w:vMerge w:val="restart"/>
            <w:shd w:val="clear" w:color="auto" w:fill="FF0000"/>
            <w:noWrap/>
            <w:textDirection w:val="btLr"/>
            <w:vAlign w:val="center"/>
          </w:tcPr>
          <w:p w:rsidR="006D67F1" w:rsidRPr="002C224A" w:rsidRDefault="006D67F1" w:rsidP="007A392E">
            <w:pPr>
              <w:jc w:val="center"/>
              <w:rPr>
                <w:b/>
                <w:bCs/>
                <w:color w:val="FFFFFF"/>
                <w:sz w:val="24"/>
                <w:szCs w:val="24"/>
              </w:rPr>
            </w:pPr>
            <w:r w:rsidRPr="002C224A">
              <w:rPr>
                <w:b/>
                <w:bCs/>
                <w:color w:val="FFFFFF"/>
                <w:sz w:val="24"/>
                <w:szCs w:val="24"/>
              </w:rPr>
              <w:t>ŘO</w:t>
            </w:r>
          </w:p>
        </w:tc>
        <w:tc>
          <w:tcPr>
            <w:tcW w:w="2414" w:type="dxa"/>
            <w:shd w:val="clear" w:color="auto" w:fill="FF0000"/>
            <w:vAlign w:val="center"/>
          </w:tcPr>
          <w:p w:rsidR="006D67F1" w:rsidRPr="002C224A" w:rsidRDefault="006D67F1" w:rsidP="00C767FC">
            <w:pPr>
              <w:jc w:val="center"/>
              <w:rPr>
                <w:b/>
                <w:color w:val="FFFFFF"/>
                <w:sz w:val="20"/>
              </w:rPr>
            </w:pPr>
            <w:r w:rsidRPr="002C224A">
              <w:rPr>
                <w:b/>
                <w:color w:val="FFFFFF"/>
                <w:sz w:val="20"/>
              </w:rPr>
              <w:t>Velmi nízký revolvingový efekt</w:t>
            </w:r>
          </w:p>
        </w:tc>
        <w:tc>
          <w:tcPr>
            <w:tcW w:w="2330" w:type="dxa"/>
            <w:shd w:val="clear" w:color="auto" w:fill="FF0000"/>
            <w:vAlign w:val="center"/>
          </w:tcPr>
          <w:p w:rsidR="006D67F1" w:rsidRPr="002C224A" w:rsidRDefault="006D67F1" w:rsidP="007A392E">
            <w:pPr>
              <w:jc w:val="center"/>
              <w:rPr>
                <w:b/>
                <w:color w:val="FFFFFF"/>
                <w:sz w:val="20"/>
              </w:rPr>
            </w:pPr>
            <w:r w:rsidRPr="002C224A">
              <w:rPr>
                <w:b/>
                <w:color w:val="FFFFFF"/>
                <w:sz w:val="20"/>
              </w:rPr>
              <w:t>Nižší pákový efekt než záruky</w:t>
            </w:r>
          </w:p>
        </w:tc>
        <w:tc>
          <w:tcPr>
            <w:tcW w:w="2330" w:type="dxa"/>
            <w:shd w:val="clear" w:color="auto" w:fill="FF0000"/>
          </w:tcPr>
          <w:p w:rsidR="006D67F1" w:rsidRPr="002C224A" w:rsidRDefault="006D67F1" w:rsidP="007A392E">
            <w:pPr>
              <w:jc w:val="center"/>
              <w:rPr>
                <w:b/>
                <w:color w:val="FFFFFF"/>
                <w:sz w:val="20"/>
              </w:rPr>
            </w:pPr>
            <w:r w:rsidRPr="002C224A">
              <w:rPr>
                <w:b/>
                <w:color w:val="FFFFFF"/>
                <w:sz w:val="20"/>
              </w:rPr>
              <w:t>Nenávratné výdaje</w:t>
            </w:r>
          </w:p>
        </w:tc>
      </w:tr>
      <w:tr w:rsidR="006D67F1" w:rsidRPr="002C224A" w:rsidTr="00165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66"/>
        </w:trPr>
        <w:tc>
          <w:tcPr>
            <w:tcW w:w="960" w:type="dxa"/>
            <w:vMerge/>
            <w:tcBorders>
              <w:top w:val="single" w:sz="4" w:space="0" w:color="auto"/>
              <w:left w:val="single" w:sz="4" w:space="0" w:color="auto"/>
              <w:bottom w:val="single" w:sz="4" w:space="0" w:color="auto"/>
              <w:right w:val="single" w:sz="4" w:space="0" w:color="auto"/>
            </w:tcBorders>
          </w:tcPr>
          <w:p w:rsidR="006D67F1" w:rsidRPr="002C224A" w:rsidRDefault="006D67F1" w:rsidP="009E4F28">
            <w:pPr>
              <w:jc w:val="left"/>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noWrap/>
            <w:textDirection w:val="btLr"/>
          </w:tcPr>
          <w:p w:rsidR="006D67F1" w:rsidRPr="002C224A" w:rsidRDefault="006D67F1" w:rsidP="009E4F28">
            <w:pPr>
              <w:jc w:val="center"/>
              <w:rPr>
                <w:b/>
                <w:bCs/>
                <w:color w:val="000000"/>
                <w:sz w:val="18"/>
                <w:szCs w:val="18"/>
              </w:rPr>
            </w:pPr>
          </w:p>
        </w:tc>
        <w:tc>
          <w:tcPr>
            <w:tcW w:w="2414" w:type="dxa"/>
            <w:tcBorders>
              <w:top w:val="single" w:sz="4" w:space="0" w:color="auto"/>
              <w:left w:val="single" w:sz="4" w:space="0" w:color="auto"/>
              <w:bottom w:val="single" w:sz="4" w:space="0" w:color="auto"/>
              <w:right w:val="single" w:sz="4" w:space="0" w:color="auto"/>
            </w:tcBorders>
            <w:shd w:val="clear" w:color="auto" w:fill="FF0000"/>
          </w:tcPr>
          <w:p w:rsidR="006D67F1" w:rsidRPr="002C224A" w:rsidRDefault="006D67F1" w:rsidP="009E4F28">
            <w:pPr>
              <w:jc w:val="center"/>
              <w:rPr>
                <w:b/>
                <w:color w:val="FFFFFF"/>
                <w:sz w:val="20"/>
              </w:rPr>
            </w:pPr>
            <w:r w:rsidRPr="002C224A">
              <w:rPr>
                <w:b/>
                <w:color w:val="FFFFFF"/>
                <w:sz w:val="20"/>
              </w:rPr>
              <w:t>Hrazení poplatků příjemci</w:t>
            </w:r>
          </w:p>
        </w:tc>
        <w:tc>
          <w:tcPr>
            <w:tcW w:w="2330" w:type="dxa"/>
            <w:tcBorders>
              <w:top w:val="single" w:sz="4" w:space="0" w:color="auto"/>
              <w:left w:val="single" w:sz="4" w:space="0" w:color="auto"/>
              <w:bottom w:val="single" w:sz="4" w:space="0" w:color="auto"/>
              <w:right w:val="single" w:sz="4" w:space="0" w:color="auto"/>
            </w:tcBorders>
            <w:shd w:val="clear" w:color="auto" w:fill="FF0000"/>
          </w:tcPr>
          <w:p w:rsidR="006D67F1" w:rsidRPr="002C224A" w:rsidRDefault="006D67F1" w:rsidP="009E4F28">
            <w:pPr>
              <w:jc w:val="center"/>
              <w:rPr>
                <w:b/>
                <w:color w:val="FFFFFF"/>
                <w:sz w:val="20"/>
              </w:rPr>
            </w:pPr>
            <w:r w:rsidRPr="002C224A">
              <w:rPr>
                <w:b/>
                <w:color w:val="FFFFFF"/>
                <w:sz w:val="20"/>
              </w:rPr>
              <w:t>Revolving omezují poplatky zprostředkovatelskému subjektu</w:t>
            </w:r>
          </w:p>
        </w:tc>
        <w:tc>
          <w:tcPr>
            <w:tcW w:w="2330" w:type="dxa"/>
            <w:tcBorders>
              <w:top w:val="single" w:sz="4" w:space="0" w:color="auto"/>
              <w:left w:val="single" w:sz="4" w:space="0" w:color="auto"/>
              <w:bottom w:val="single" w:sz="4" w:space="0" w:color="auto"/>
              <w:right w:val="single" w:sz="4" w:space="0" w:color="auto"/>
            </w:tcBorders>
            <w:shd w:val="clear" w:color="auto" w:fill="FF0000"/>
          </w:tcPr>
          <w:p w:rsidR="006D67F1" w:rsidRPr="002C224A" w:rsidRDefault="006D67F1" w:rsidP="009E4F28">
            <w:pPr>
              <w:jc w:val="center"/>
              <w:rPr>
                <w:b/>
                <w:color w:val="FFFFFF"/>
                <w:sz w:val="20"/>
              </w:rPr>
            </w:pPr>
            <w:r w:rsidRPr="002C224A">
              <w:rPr>
                <w:b/>
                <w:color w:val="FFFFFF"/>
                <w:sz w:val="20"/>
              </w:rPr>
              <w:t>Nižší počet podpořených projektů</w:t>
            </w:r>
          </w:p>
        </w:tc>
      </w:tr>
      <w:tr w:rsidR="006D67F1" w:rsidRPr="002C224A" w:rsidTr="00165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4"/>
        </w:trPr>
        <w:tc>
          <w:tcPr>
            <w:tcW w:w="960" w:type="dxa"/>
            <w:vMerge/>
            <w:tcBorders>
              <w:top w:val="single" w:sz="4" w:space="0" w:color="auto"/>
              <w:left w:val="single" w:sz="4" w:space="0" w:color="auto"/>
              <w:bottom w:val="single" w:sz="4" w:space="0" w:color="auto"/>
              <w:right w:val="single" w:sz="4" w:space="0" w:color="auto"/>
            </w:tcBorders>
          </w:tcPr>
          <w:p w:rsidR="006D67F1" w:rsidRPr="002C224A" w:rsidRDefault="006D67F1" w:rsidP="009E4F28">
            <w:pPr>
              <w:jc w:val="left"/>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noWrap/>
            <w:textDirection w:val="btLr"/>
          </w:tcPr>
          <w:p w:rsidR="006D67F1" w:rsidRPr="002C224A" w:rsidRDefault="006D67F1" w:rsidP="009E4F28">
            <w:pPr>
              <w:jc w:val="center"/>
              <w:rPr>
                <w:b/>
                <w:bCs/>
                <w:color w:val="000000"/>
                <w:sz w:val="18"/>
                <w:szCs w:val="18"/>
              </w:rPr>
            </w:pPr>
          </w:p>
        </w:tc>
        <w:tc>
          <w:tcPr>
            <w:tcW w:w="2414" w:type="dxa"/>
            <w:tcBorders>
              <w:top w:val="single" w:sz="4" w:space="0" w:color="auto"/>
              <w:left w:val="single" w:sz="4" w:space="0" w:color="auto"/>
              <w:bottom w:val="single" w:sz="4" w:space="0" w:color="auto"/>
              <w:right w:val="single" w:sz="4" w:space="0" w:color="auto"/>
            </w:tcBorders>
            <w:shd w:val="clear" w:color="auto" w:fill="FF0000"/>
          </w:tcPr>
          <w:p w:rsidR="006D67F1" w:rsidRPr="002C224A" w:rsidRDefault="006D67F1" w:rsidP="009E4F28">
            <w:pPr>
              <w:jc w:val="center"/>
              <w:rPr>
                <w:b/>
                <w:color w:val="FFFFFF"/>
                <w:sz w:val="20"/>
              </w:rPr>
            </w:pPr>
          </w:p>
        </w:tc>
        <w:tc>
          <w:tcPr>
            <w:tcW w:w="2330" w:type="dxa"/>
            <w:tcBorders>
              <w:top w:val="single" w:sz="4" w:space="0" w:color="auto"/>
              <w:left w:val="single" w:sz="4" w:space="0" w:color="auto"/>
              <w:bottom w:val="single" w:sz="4" w:space="0" w:color="auto"/>
              <w:right w:val="single" w:sz="4" w:space="0" w:color="auto"/>
            </w:tcBorders>
            <w:shd w:val="clear" w:color="auto" w:fill="FF0000"/>
          </w:tcPr>
          <w:p w:rsidR="006D67F1" w:rsidRPr="002C224A" w:rsidRDefault="006D67F1" w:rsidP="009E4F28">
            <w:pPr>
              <w:jc w:val="center"/>
              <w:rPr>
                <w:b/>
                <w:color w:val="FFFFFF"/>
                <w:sz w:val="20"/>
              </w:rPr>
            </w:pPr>
            <w:r w:rsidRPr="002C224A">
              <w:rPr>
                <w:b/>
                <w:color w:val="FFFFFF"/>
                <w:sz w:val="20"/>
              </w:rPr>
              <w:t>Hrazení poplatků příjemci</w:t>
            </w:r>
          </w:p>
        </w:tc>
        <w:tc>
          <w:tcPr>
            <w:tcW w:w="2330" w:type="dxa"/>
            <w:tcBorders>
              <w:top w:val="single" w:sz="4" w:space="0" w:color="auto"/>
              <w:left w:val="single" w:sz="4" w:space="0" w:color="auto"/>
              <w:bottom w:val="single" w:sz="4" w:space="0" w:color="auto"/>
              <w:right w:val="single" w:sz="4" w:space="0" w:color="auto"/>
            </w:tcBorders>
            <w:shd w:val="clear" w:color="auto" w:fill="FF0000"/>
          </w:tcPr>
          <w:p w:rsidR="006D67F1" w:rsidRPr="002C224A" w:rsidRDefault="006D67F1" w:rsidP="009E4F28">
            <w:pPr>
              <w:keepNext/>
              <w:jc w:val="center"/>
              <w:rPr>
                <w:b/>
                <w:color w:val="FFFFFF"/>
                <w:sz w:val="20"/>
              </w:rPr>
            </w:pPr>
            <w:r w:rsidRPr="002C224A">
              <w:rPr>
                <w:b/>
                <w:color w:val="FFFFFF"/>
                <w:sz w:val="20"/>
              </w:rPr>
              <w:t>Pomalejší čerpání</w:t>
            </w:r>
          </w:p>
        </w:tc>
      </w:tr>
    </w:tbl>
    <w:p w:rsidR="006D67F1" w:rsidRPr="002C224A" w:rsidRDefault="006D67F1" w:rsidP="00B47049">
      <w:pPr>
        <w:pStyle w:val="Titulek"/>
      </w:pPr>
      <w:r w:rsidRPr="002C224A">
        <w:t>Tabulka</w:t>
      </w:r>
      <w:r w:rsidR="00C4105E">
        <w:t xml:space="preserve"> </w:t>
      </w:r>
      <w:r w:rsidR="00582262" w:rsidRPr="002C224A">
        <w:t>3</w:t>
      </w:r>
      <w:r w:rsidR="00C4105E">
        <w:t>7</w:t>
      </w:r>
      <w:r w:rsidRPr="002C224A">
        <w:t xml:space="preserve">: Přidaná hodnota, Nevýhody, problémy a rizika veřejné podpory pro </w:t>
      </w:r>
      <w:r w:rsidR="005B6AE9" w:rsidRPr="002C224A">
        <w:t xml:space="preserve">konečného </w:t>
      </w:r>
      <w:r w:rsidRPr="002C224A">
        <w:t>příjemce a ŘO</w:t>
      </w:r>
    </w:p>
    <w:p w:rsidR="006D67F1" w:rsidRPr="00A50943" w:rsidRDefault="006D67F1" w:rsidP="008B3649"/>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67F1" w:rsidRPr="002C224A" w:rsidTr="002433DA">
        <w:tc>
          <w:tcPr>
            <w:tcW w:w="1729" w:type="dxa"/>
            <w:shd w:val="clear" w:color="auto" w:fill="8DB3E2"/>
          </w:tcPr>
          <w:p w:rsidR="006D67F1" w:rsidRPr="002C224A" w:rsidRDefault="006D67F1" w:rsidP="00B03681">
            <w:pPr>
              <w:pStyle w:val="Highlight2"/>
              <w:jc w:val="center"/>
              <w:rPr>
                <w:rFonts w:ascii="Calibri" w:hAnsi="Calibri" w:cs="Calibri"/>
                <w:color w:val="FFFFFF"/>
                <w:sz w:val="22"/>
                <w:szCs w:val="22"/>
              </w:rPr>
            </w:pPr>
            <w:r w:rsidRPr="002C224A">
              <w:rPr>
                <w:rFonts w:ascii="Calibri" w:hAnsi="Calibri" w:cs="Calibri"/>
                <w:color w:val="FFFFFF"/>
                <w:sz w:val="22"/>
                <w:szCs w:val="22"/>
                <w:lang w:eastAsia="cs-CZ"/>
              </w:rPr>
              <w:t>Tržní selhání</w:t>
            </w:r>
          </w:p>
        </w:tc>
        <w:tc>
          <w:tcPr>
            <w:tcW w:w="2694" w:type="dxa"/>
            <w:shd w:val="clear" w:color="auto" w:fill="8DB3E2"/>
          </w:tcPr>
          <w:p w:rsidR="006D67F1" w:rsidRPr="002C224A" w:rsidRDefault="006D67F1" w:rsidP="00B03681">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Záruční nástroj</w:t>
            </w:r>
          </w:p>
        </w:tc>
        <w:tc>
          <w:tcPr>
            <w:tcW w:w="2268" w:type="dxa"/>
            <w:shd w:val="clear" w:color="auto" w:fill="8DB3E2"/>
          </w:tcPr>
          <w:p w:rsidR="006D67F1" w:rsidRPr="002C224A" w:rsidRDefault="006D67F1" w:rsidP="00B03681">
            <w:pPr>
              <w:pStyle w:val="Highlight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268" w:type="dxa"/>
            <w:shd w:val="clear" w:color="auto" w:fill="8DB3E2"/>
          </w:tcPr>
          <w:p w:rsidR="006D67F1" w:rsidRPr="002C224A" w:rsidRDefault="006D67F1" w:rsidP="00B03681">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2433DA">
        <w:trPr>
          <w:trHeight w:val="793"/>
        </w:trPr>
        <w:tc>
          <w:tcPr>
            <w:tcW w:w="1729" w:type="dxa"/>
          </w:tcPr>
          <w:p w:rsidR="006D67F1" w:rsidRPr="002C224A" w:rsidRDefault="006D67F1" w:rsidP="00B03681">
            <w:pPr>
              <w:pStyle w:val="Highlight2"/>
              <w:jc w:val="left"/>
              <w:rPr>
                <w:rFonts w:ascii="Calibri" w:hAnsi="Calibri" w:cs="Calibri"/>
              </w:rPr>
            </w:pPr>
            <w:r w:rsidRPr="002C224A">
              <w:rPr>
                <w:rFonts w:ascii="Calibri" w:hAnsi="Calibri" w:cs="Calibri"/>
                <w:bCs/>
                <w:color w:val="000000"/>
                <w:lang w:eastAsia="cs-CZ"/>
              </w:rPr>
              <w:t>Zajištění úvěru</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Řeší problém zajištění až do výše záruky, zpřístupňuje </w:t>
            </w:r>
            <w:r w:rsidRPr="002C224A">
              <w:rPr>
                <w:rFonts w:ascii="Calibri" w:hAnsi="Calibri" w:cs="Calibri"/>
                <w:b w:val="0"/>
                <w:color w:val="000000"/>
                <w:lang w:eastAsia="cs-CZ"/>
              </w:rPr>
              <w:lastRenderedPageBreak/>
              <w:t>financování projektům MSP bez zástavy</w:t>
            </w:r>
          </w:p>
        </w:tc>
        <w:tc>
          <w:tcPr>
            <w:tcW w:w="2268" w:type="dxa"/>
          </w:tcPr>
          <w:p w:rsidR="006D67F1" w:rsidRPr="002C224A" w:rsidRDefault="006D67F1" w:rsidP="00B03681">
            <w:pPr>
              <w:pStyle w:val="Highlight2"/>
              <w:jc w:val="center"/>
              <w:rPr>
                <w:rFonts w:ascii="Calibri" w:hAnsi="Calibri" w:cs="Calibri"/>
                <w:b w:val="0"/>
              </w:rPr>
            </w:pPr>
            <w:r w:rsidRPr="002C224A">
              <w:rPr>
                <w:rFonts w:ascii="Calibri" w:hAnsi="Calibri" w:cs="Calibri"/>
                <w:b w:val="0"/>
                <w:color w:val="000000"/>
                <w:lang w:eastAsia="cs-CZ"/>
              </w:rPr>
              <w:lastRenderedPageBreak/>
              <w:t xml:space="preserve">Nutnost zajištění úvěru zůstává, možnost užití </w:t>
            </w:r>
            <w:r w:rsidRPr="002C224A">
              <w:rPr>
                <w:rFonts w:ascii="Calibri" w:hAnsi="Calibri" w:cs="Calibri"/>
                <w:b w:val="0"/>
                <w:color w:val="000000"/>
                <w:lang w:eastAsia="cs-CZ"/>
              </w:rPr>
              <w:lastRenderedPageBreak/>
              <w:t>zástavy na komerční i zvýhodněný úvěr</w:t>
            </w: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lastRenderedPageBreak/>
              <w:t xml:space="preserve">Neřeší přímo zajištění, dotuje část investice, problém zajištění </w:t>
            </w:r>
            <w:r w:rsidRPr="002C224A">
              <w:rPr>
                <w:rFonts w:ascii="Calibri" w:hAnsi="Calibri" w:cs="Calibri"/>
                <w:b w:val="0"/>
                <w:color w:val="000000"/>
                <w:lang w:eastAsia="cs-CZ"/>
              </w:rPr>
              <w:lastRenderedPageBreak/>
              <w:t>v případě úvěru na předfinancování a spoluúčast zůstává</w:t>
            </w:r>
          </w:p>
        </w:tc>
      </w:tr>
      <w:tr w:rsidR="006D67F1" w:rsidRPr="002C224A" w:rsidTr="002433DA">
        <w:trPr>
          <w:trHeight w:val="1521"/>
        </w:trPr>
        <w:tc>
          <w:tcPr>
            <w:tcW w:w="1729" w:type="dxa"/>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lastRenderedPageBreak/>
              <w:t>Riziko projektu</w:t>
            </w:r>
          </w:p>
        </w:tc>
        <w:tc>
          <w:tcPr>
            <w:tcW w:w="2694" w:type="dxa"/>
          </w:tcPr>
          <w:p w:rsidR="006D67F1" w:rsidRPr="002C224A" w:rsidRDefault="003D7EB1" w:rsidP="00B03681">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r w:rsidR="006D67F1" w:rsidRPr="002C224A">
              <w:rPr>
                <w:rFonts w:ascii="Calibri" w:hAnsi="Calibri" w:cs="Calibri"/>
                <w:b w:val="0"/>
                <w:color w:val="000000"/>
                <w:lang w:eastAsia="cs-CZ"/>
              </w:rPr>
              <w:t xml:space="preserve"> Likvidnější zástava, výrazné snížení rizika pro úvěrující instituci</w:t>
            </w:r>
          </w:p>
          <w:p w:rsidR="006D67F1" w:rsidRPr="002C224A" w:rsidRDefault="005B6AE9" w:rsidP="00B03681">
            <w:pPr>
              <w:pStyle w:val="Highlight2"/>
              <w:jc w:val="center"/>
              <w:rPr>
                <w:rFonts w:ascii="Calibri" w:hAnsi="Calibri" w:cs="Calibri"/>
                <w:b w:val="0"/>
                <w:color w:val="000000"/>
                <w:lang w:eastAsia="cs-CZ"/>
              </w:rPr>
            </w:pPr>
            <w:r w:rsidRPr="002C224A">
              <w:rPr>
                <w:rFonts w:ascii="Calibri" w:hAnsi="Calibri" w:cs="Calibri"/>
                <w:b w:val="0"/>
                <w:color w:val="000000"/>
              </w:rPr>
              <w:t>ŘO má předem dané ztráty do absolutní výše podílu na krytí rizik.</w:t>
            </w:r>
          </w:p>
          <w:p w:rsidR="006D67F1" w:rsidRPr="002C224A" w:rsidRDefault="006D67F1" w:rsidP="00B03681">
            <w:pPr>
              <w:pStyle w:val="Highlight2"/>
              <w:jc w:val="center"/>
              <w:rPr>
                <w:rFonts w:ascii="Calibri" w:hAnsi="Calibri" w:cs="Calibri"/>
                <w:b w:val="0"/>
                <w:color w:val="000000"/>
                <w:lang w:eastAsia="cs-CZ"/>
              </w:rPr>
            </w:pPr>
          </w:p>
        </w:tc>
        <w:tc>
          <w:tcPr>
            <w:tcW w:w="2268" w:type="dxa"/>
          </w:tcPr>
          <w:p w:rsidR="006D67F1" w:rsidRPr="002C224A" w:rsidRDefault="003D7EB1" w:rsidP="00B03681">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p>
          <w:p w:rsidR="005B6AE9" w:rsidRPr="002C224A" w:rsidRDefault="005B6AE9" w:rsidP="00B03681">
            <w:pPr>
              <w:pStyle w:val="Highlight2"/>
              <w:jc w:val="center"/>
              <w:rPr>
                <w:rFonts w:ascii="Calibri" w:hAnsi="Calibri" w:cs="Calibri"/>
                <w:b w:val="0"/>
                <w:color w:val="000000"/>
                <w:lang w:eastAsia="cs-CZ"/>
              </w:rPr>
            </w:pPr>
            <w:r w:rsidRPr="002C224A">
              <w:rPr>
                <w:rFonts w:ascii="Calibri" w:hAnsi="Calibri" w:cs="Calibri"/>
                <w:b w:val="0"/>
                <w:color w:val="000000"/>
              </w:rPr>
              <w:t>ŘO má předem dané ztráty do absolutní výše podílu na krytí rizik.</w:t>
            </w:r>
          </w:p>
          <w:p w:rsidR="006D67F1" w:rsidRPr="002C224A" w:rsidRDefault="006D67F1" w:rsidP="00B03681">
            <w:pPr>
              <w:pStyle w:val="Highlight2"/>
              <w:jc w:val="center"/>
              <w:rPr>
                <w:rFonts w:ascii="Calibri" w:hAnsi="Calibri" w:cs="Calibri"/>
                <w:b w:val="0"/>
                <w:color w:val="000000"/>
                <w:lang w:eastAsia="cs-CZ"/>
              </w:rPr>
            </w:pP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Zlepšením ekonomických parametrů projektu snižuje riziko defaultu. Zlepšená úvěrovatelnost dotovaných projektů</w:t>
            </w:r>
          </w:p>
          <w:p w:rsidR="006D67F1" w:rsidRPr="002C224A" w:rsidRDefault="00E05E2D" w:rsidP="00B03681">
            <w:pPr>
              <w:pStyle w:val="Highlight2"/>
              <w:jc w:val="center"/>
              <w:rPr>
                <w:rFonts w:ascii="Calibri" w:hAnsi="Calibri" w:cs="Calibri"/>
                <w:b w:val="0"/>
                <w:color w:val="000000"/>
                <w:lang w:eastAsia="cs-CZ"/>
              </w:rPr>
            </w:pPr>
            <w:r>
              <w:rPr>
                <w:rFonts w:ascii="Calibri" w:hAnsi="Calibri" w:cs="Calibri"/>
                <w:b w:val="0"/>
                <w:color w:val="000000"/>
                <w:lang w:eastAsia="cs-CZ"/>
              </w:rPr>
              <w:t>Konečný příjemce přebírá riziko jen</w:t>
            </w:r>
            <w:r w:rsidR="006D67F1" w:rsidRPr="002C224A">
              <w:rPr>
                <w:rFonts w:ascii="Calibri" w:hAnsi="Calibri" w:cs="Calibri"/>
                <w:b w:val="0"/>
                <w:color w:val="000000"/>
                <w:lang w:eastAsia="cs-CZ"/>
              </w:rPr>
              <w:t xml:space="preserve"> do výše spoluúčasti způsobilých a nezpůsobilých nákladů</w:t>
            </w:r>
            <w:r w:rsidR="005B6AE9" w:rsidRPr="002C224A">
              <w:rPr>
                <w:rFonts w:ascii="Calibri" w:hAnsi="Calibri" w:cs="Calibri"/>
                <w:b w:val="0"/>
                <w:color w:val="000000"/>
                <w:lang w:eastAsia="cs-CZ"/>
              </w:rPr>
              <w:t xml:space="preserve"> </w:t>
            </w:r>
            <w:r w:rsidR="00422394" w:rsidRPr="002C224A">
              <w:rPr>
                <w:rFonts w:ascii="Calibri" w:hAnsi="Calibri" w:cs="Calibri"/>
                <w:b w:val="0"/>
                <w:color w:val="000000"/>
                <w:lang w:eastAsia="cs-CZ"/>
              </w:rPr>
              <w:t xml:space="preserve">    </w:t>
            </w:r>
            <w:r w:rsidR="005B6AE9" w:rsidRPr="002C224A">
              <w:rPr>
                <w:rFonts w:ascii="Calibri" w:hAnsi="Calibri" w:cs="Calibri"/>
                <w:b w:val="0"/>
                <w:color w:val="000000"/>
                <w:lang w:eastAsia="cs-CZ"/>
              </w:rPr>
              <w:t>( též ve výši dotace, pokud nebude dosažena udržitelnost projektu)</w:t>
            </w:r>
            <w:r w:rsidR="00194A15" w:rsidRPr="002C224A">
              <w:rPr>
                <w:rFonts w:ascii="Calibri" w:hAnsi="Calibri" w:cs="Calibri"/>
                <w:b w:val="0"/>
                <w:color w:val="000000"/>
                <w:lang w:eastAsia="cs-CZ"/>
              </w:rPr>
              <w:t>.</w:t>
            </w:r>
            <w:r w:rsidR="005B6AE9" w:rsidRPr="002C224A">
              <w:rPr>
                <w:rFonts w:ascii="Calibri" w:hAnsi="Calibri" w:cs="Calibri"/>
                <w:b w:val="0"/>
                <w:color w:val="000000"/>
                <w:lang w:eastAsia="cs-CZ"/>
              </w:rPr>
              <w:t xml:space="preserve"> </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rPr>
              <w:t xml:space="preserve"> ŘO má předem dané ztráty do absolutní výše dotace.</w:t>
            </w:r>
          </w:p>
        </w:tc>
      </w:tr>
      <w:tr w:rsidR="006D67F1" w:rsidRPr="002C224A" w:rsidTr="002433DA">
        <w:tc>
          <w:tcPr>
            <w:tcW w:w="1729" w:type="dxa"/>
          </w:tcPr>
          <w:p w:rsidR="006D67F1" w:rsidRPr="002C224A" w:rsidRDefault="006D67F1" w:rsidP="00B03681">
            <w:pPr>
              <w:pStyle w:val="Highlight2"/>
              <w:jc w:val="left"/>
              <w:rPr>
                <w:rFonts w:ascii="Calibri" w:hAnsi="Calibri" w:cs="Calibri"/>
              </w:rPr>
            </w:pPr>
            <w:r w:rsidRPr="002C224A">
              <w:rPr>
                <w:rFonts w:ascii="Calibri" w:hAnsi="Calibri" w:cs="Calibri"/>
                <w:bCs/>
                <w:color w:val="000000"/>
                <w:lang w:eastAsia="cs-CZ"/>
              </w:rPr>
              <w:t>Administrativní zátěž</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Jednodušší administrace, bez rizika odebrání podpory z důvodu technických chyb</w:t>
            </w:r>
          </w:p>
          <w:p w:rsidR="006D67F1" w:rsidRPr="002C224A" w:rsidRDefault="006D67F1" w:rsidP="00B03681">
            <w:pPr>
              <w:pStyle w:val="Highlight2"/>
              <w:jc w:val="center"/>
              <w:rPr>
                <w:rFonts w:ascii="Calibri" w:hAnsi="Calibri" w:cs="Calibri"/>
                <w:b w:val="0"/>
                <w:color w:val="000000"/>
                <w:lang w:eastAsia="cs-CZ"/>
              </w:rPr>
            </w:pPr>
          </w:p>
        </w:tc>
        <w:tc>
          <w:tcPr>
            <w:tcW w:w="2268" w:type="dxa"/>
          </w:tcPr>
          <w:p w:rsidR="006D67F1" w:rsidRPr="002C224A" w:rsidRDefault="006D67F1" w:rsidP="00B03681">
            <w:pPr>
              <w:pStyle w:val="Highlight2"/>
              <w:jc w:val="center"/>
              <w:rPr>
                <w:rFonts w:ascii="Calibri" w:hAnsi="Calibri" w:cs="Calibri"/>
                <w:b w:val="0"/>
              </w:rPr>
            </w:pPr>
            <w:r w:rsidRPr="002C224A">
              <w:rPr>
                <w:rFonts w:ascii="Calibri" w:hAnsi="Calibri" w:cs="Calibri"/>
                <w:b w:val="0"/>
                <w:color w:val="000000"/>
                <w:lang w:eastAsia="cs-CZ"/>
              </w:rPr>
              <w:t>Jednodušší administrace, bez rizika odebrání podpory z důvodu technických chyb</w:t>
            </w:r>
          </w:p>
        </w:tc>
        <w:tc>
          <w:tcPr>
            <w:tcW w:w="2268" w:type="dxa"/>
          </w:tcPr>
          <w:p w:rsidR="006D67F1" w:rsidRPr="002C224A" w:rsidRDefault="00882D6F" w:rsidP="00B03681">
            <w:pPr>
              <w:pStyle w:val="Highlight2"/>
              <w:jc w:val="center"/>
              <w:rPr>
                <w:rFonts w:ascii="Calibri" w:hAnsi="Calibri" w:cs="Calibri"/>
                <w:b w:val="0"/>
                <w:color w:val="000000"/>
                <w:lang w:eastAsia="cs-CZ"/>
              </w:rPr>
            </w:pPr>
            <w:r>
              <w:rPr>
                <w:rFonts w:ascii="Calibri" w:hAnsi="Calibri" w:cs="Calibri"/>
                <w:b w:val="0"/>
                <w:color w:val="000000"/>
                <w:lang w:eastAsia="cs-CZ"/>
              </w:rPr>
              <w:t>High administrative Vysoká administrativní a regulační zátěž omezuje konečného příjemce, zvyšuje náklady a přináší riziko odebrání dotace. and regulatory burden limits final recipients</w:t>
            </w:r>
          </w:p>
        </w:tc>
      </w:tr>
      <w:tr w:rsidR="006D67F1" w:rsidRPr="002C224A" w:rsidTr="002433DA">
        <w:trPr>
          <w:trHeight w:val="1474"/>
        </w:trPr>
        <w:tc>
          <w:tcPr>
            <w:tcW w:w="1729" w:type="dxa"/>
          </w:tcPr>
          <w:p w:rsidR="006D67F1" w:rsidRPr="002C224A" w:rsidRDefault="006D67F1" w:rsidP="00E45795">
            <w:pPr>
              <w:rPr>
                <w:sz w:val="19"/>
              </w:rPr>
            </w:pPr>
            <w:r w:rsidRPr="002C224A">
              <w:rPr>
                <w:b/>
                <w:sz w:val="20"/>
              </w:rPr>
              <w:t>Celkový efekt na Investiční aktivitu a absorpci v SC</w:t>
            </w:r>
          </w:p>
        </w:tc>
        <w:tc>
          <w:tcPr>
            <w:tcW w:w="2694" w:type="dxa"/>
          </w:tcPr>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 xml:space="preserve">Pozitivní efekt zpřístupnění externího financování a snížení míry ručení </w:t>
            </w:r>
          </w:p>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 podpora je adekvátní tržnímu selhání a povzbuzuje rozvojovou aktivitu MSP. Vysoce pákuje soukromé zdroje</w:t>
            </w:r>
          </w:p>
        </w:tc>
        <w:tc>
          <w:tcPr>
            <w:tcW w:w="2268" w:type="dxa"/>
          </w:tcPr>
          <w:p w:rsidR="006D67F1" w:rsidRPr="002C224A" w:rsidRDefault="006D67F1" w:rsidP="00E45795">
            <w:pPr>
              <w:rPr>
                <w:sz w:val="19"/>
              </w:rPr>
            </w:pPr>
            <w:r w:rsidRPr="002C224A">
              <w:rPr>
                <w:sz w:val="20"/>
              </w:rPr>
              <w:t>Výrazné snížení dluhové služby, umožňuje přístup k vyššímu externímu financování</w:t>
            </w:r>
          </w:p>
          <w:p w:rsidR="006D67F1" w:rsidRPr="002C224A" w:rsidRDefault="006D67F1" w:rsidP="00E45795">
            <w:pPr>
              <w:rPr>
                <w:b/>
                <w:sz w:val="19"/>
              </w:rPr>
            </w:pPr>
            <w:r w:rsidRPr="002C224A">
              <w:rPr>
                <w:rFonts w:cs="Calibri"/>
                <w:bCs/>
                <w:color w:val="000000"/>
                <w:sz w:val="20"/>
              </w:rPr>
              <w:t>– podpora je adekvátní tržnímu selhání a povzbuzuje rozvojovou aktivitu MSP. Díky revolvingu možnost podpoření více projektů</w:t>
            </w:r>
          </w:p>
        </w:tc>
        <w:tc>
          <w:tcPr>
            <w:tcW w:w="2268" w:type="dxa"/>
          </w:tcPr>
          <w:p w:rsidR="006D67F1" w:rsidRPr="002C224A" w:rsidRDefault="006D67F1" w:rsidP="00E45795">
            <w:pPr>
              <w:rPr>
                <w:color w:val="000000"/>
                <w:sz w:val="20"/>
              </w:rPr>
            </w:pPr>
            <w:r w:rsidRPr="002C224A">
              <w:rPr>
                <w:color w:val="000000"/>
                <w:sz w:val="20"/>
              </w:rPr>
              <w:t>Potenciál podpoření vyššího množství neudržitelných projektů.</w:t>
            </w:r>
          </w:p>
          <w:p w:rsidR="006D67F1" w:rsidRPr="002C224A" w:rsidRDefault="006D67F1" w:rsidP="00E45795">
            <w:pPr>
              <w:rPr>
                <w:color w:val="000000"/>
                <w:sz w:val="19"/>
              </w:rPr>
            </w:pPr>
            <w:r w:rsidRPr="002C224A">
              <w:rPr>
                <w:color w:val="000000"/>
                <w:sz w:val="20"/>
              </w:rPr>
              <w:t>Omezení kvůli administrativní složitosti.</w:t>
            </w:r>
          </w:p>
          <w:p w:rsidR="006D67F1" w:rsidRPr="002C224A" w:rsidRDefault="006D67F1" w:rsidP="00E45795">
            <w:pPr>
              <w:rPr>
                <w:color w:val="000000"/>
                <w:sz w:val="19"/>
              </w:rPr>
            </w:pPr>
            <w:r w:rsidRPr="002C224A">
              <w:rPr>
                <w:color w:val="000000"/>
                <w:sz w:val="20"/>
              </w:rPr>
              <w:t>Omezení dané nedostatkem disponibilních zdrojů snižuje efektivní podporu investiční poptávce.</w:t>
            </w:r>
          </w:p>
          <w:p w:rsidR="006D67F1" w:rsidRPr="002C224A" w:rsidRDefault="006D67F1" w:rsidP="00E45795">
            <w:pPr>
              <w:rPr>
                <w:b/>
                <w:color w:val="000000"/>
                <w:sz w:val="19"/>
              </w:rPr>
            </w:pPr>
          </w:p>
        </w:tc>
      </w:tr>
      <w:tr w:rsidR="006D67F1" w:rsidRPr="002C224A" w:rsidTr="002433DA">
        <w:tc>
          <w:tcPr>
            <w:tcW w:w="1729" w:type="dxa"/>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t>Efekt na narušení tržního prostředí</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Malý vliv na tržní prostředí, zvyšují konkurenci odstraněním finanční bariéry pro menší subjekty, uvolnění rizikové politiky finančních institucí</w:t>
            </w: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Malý vliv na tržní prostředí, návratná podpora motivuje ekonomicky efektivní počínání subjektů</w:t>
            </w: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Doplnění soukromého finančního trhu</w:t>
            </w:r>
          </w:p>
        </w:tc>
        <w:tc>
          <w:tcPr>
            <w:tcW w:w="2268" w:type="dxa"/>
          </w:tcPr>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 xml:space="preserve">Výrazné </w:t>
            </w:r>
            <w:r w:rsidR="00E05E2D">
              <w:rPr>
                <w:rFonts w:ascii="Calibri" w:hAnsi="Calibri" w:cs="Calibri"/>
                <w:b w:val="0"/>
                <w:bCs/>
                <w:color w:val="000000"/>
                <w:lang w:eastAsia="cs-CZ"/>
              </w:rPr>
              <w:t>finanční zvýhodnění pro konečného příjemce</w:t>
            </w:r>
            <w:r w:rsidRPr="002C224A">
              <w:rPr>
                <w:rFonts w:ascii="Calibri" w:hAnsi="Calibri" w:cs="Calibri"/>
                <w:b w:val="0"/>
                <w:bCs/>
                <w:color w:val="000000"/>
                <w:lang w:eastAsia="cs-CZ"/>
              </w:rPr>
              <w:t>, vytváří nižší tlak na ekonomické výsledky projektu</w:t>
            </w:r>
          </w:p>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Podpoření i méně kvalitních projektů bez potenciálu dlouhodobé udržitelnosti a ziskovosti – omezení efektivnosti trhu</w:t>
            </w: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Částečné vytlačení soukromých prostředků</w:t>
            </w:r>
          </w:p>
        </w:tc>
      </w:tr>
    </w:tbl>
    <w:p w:rsidR="006D67F1" w:rsidRPr="002C224A" w:rsidRDefault="006D67F1" w:rsidP="008B3649"/>
    <w:p w:rsidR="006D67F1" w:rsidRPr="002C224A" w:rsidRDefault="006D67F1" w:rsidP="00B47049">
      <w:pPr>
        <w:pStyle w:val="Titulek"/>
      </w:pPr>
      <w:r w:rsidRPr="002C224A">
        <w:t xml:space="preserve">Tabulka </w:t>
      </w:r>
      <w:r w:rsidR="00582262" w:rsidRPr="002C224A">
        <w:t>3</w:t>
      </w:r>
      <w:r w:rsidR="00C4105E">
        <w:t>8</w:t>
      </w:r>
      <w:r w:rsidRPr="002C224A">
        <w:t xml:space="preserve"> – Přidaná hodnota podpory pro cíle SC 2.1 (etablované MSP) OP PIK a vliv na tržní prostředí</w:t>
      </w:r>
    </w:p>
    <w:p w:rsidR="006D67F1" w:rsidRPr="00A50943" w:rsidRDefault="006D67F1" w:rsidP="00B8786C"/>
    <w:p w:rsidR="006D67F1" w:rsidRPr="002C224A" w:rsidRDefault="006D67F1" w:rsidP="00B8786C">
      <w:r w:rsidRPr="002C224A">
        <w:lastRenderedPageBreak/>
        <w:t>Ziskový potenciál projektů rozvoje MSP v SC 2.1 by měl být samozřejmou součástí těchto investic a nepovažujeme za účelné užívat pro tento typ projektů dotační podporu, která navíc MSP nadměrně zatěžuje administrativní náročností a omezením v rámci výběrových řízení. Vzhledem k identifikovanému tržnímu selhání i cíli co nejefektivněji využít prostředky OP PI k navýšení investiční aktivity se jako rozumným jeví kombinace úvěrového nástroje a záruk. Oba nástroje řeší problém dostupnosti financí pro MSP, zároveň představují vhodnou kombinaci v rámci pákového a revolvingového efektu. Záruky umožní vysoké množství aktivizovaných soukromých zdrojů, úvěry zajistí zdroje pro podporu MSP také pro další období.</w:t>
      </w:r>
    </w:p>
    <w:p w:rsidR="006D67F1" w:rsidRPr="002C224A" w:rsidRDefault="006D67F1" w:rsidP="00B5359D">
      <w:pPr>
        <w:pStyle w:val="Neslovannadpisy"/>
        <w:rPr>
          <w:lang w:eastAsia="en-US"/>
        </w:rPr>
      </w:pPr>
    </w:p>
    <w:p w:rsidR="006D67F1" w:rsidRPr="002C224A" w:rsidRDefault="006D67F1" w:rsidP="00B5359D">
      <w:pPr>
        <w:pStyle w:val="Neslovannadpisy"/>
        <w:rPr>
          <w:lang w:eastAsia="en-US"/>
        </w:rPr>
      </w:pPr>
      <w:r w:rsidRPr="002C224A">
        <w:rPr>
          <w:lang w:eastAsia="en-US"/>
        </w:rPr>
        <w:t>Začínající inovativní MSP</w:t>
      </w:r>
    </w:p>
    <w:p w:rsidR="006D67F1" w:rsidRPr="002C224A" w:rsidRDefault="006D67F1" w:rsidP="008671F3">
      <w:pPr>
        <w:pStyle w:val="Neslovannadpisy"/>
        <w:rPr>
          <w:lang w:eastAsia="en-US"/>
        </w:rPr>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67F1" w:rsidRPr="002C224A" w:rsidTr="00E45795">
        <w:trPr>
          <w:trHeight w:val="315"/>
        </w:trPr>
        <w:tc>
          <w:tcPr>
            <w:tcW w:w="960" w:type="dxa"/>
            <w:shd w:val="clear" w:color="auto" w:fill="365F91"/>
            <w:noWrap/>
            <w:vAlign w:val="bottom"/>
          </w:tcPr>
          <w:p w:rsidR="006D67F1" w:rsidRPr="002C224A" w:rsidRDefault="006D67F1" w:rsidP="00E45795">
            <w:pPr>
              <w:jc w:val="left"/>
              <w:rPr>
                <w:sz w:val="24"/>
                <w:szCs w:val="24"/>
              </w:rPr>
            </w:pPr>
          </w:p>
        </w:tc>
        <w:tc>
          <w:tcPr>
            <w:tcW w:w="960" w:type="dxa"/>
            <w:shd w:val="clear" w:color="auto" w:fill="365F91"/>
            <w:noWrap/>
            <w:vAlign w:val="bottom"/>
          </w:tcPr>
          <w:p w:rsidR="006D67F1" w:rsidRPr="002C224A" w:rsidRDefault="006D67F1" w:rsidP="00E45795">
            <w:pPr>
              <w:jc w:val="left"/>
              <w:rPr>
                <w:color w:val="000000"/>
                <w:sz w:val="24"/>
                <w:szCs w:val="24"/>
              </w:rPr>
            </w:pPr>
            <w:r w:rsidRPr="002C224A">
              <w:rPr>
                <w:color w:val="000000"/>
                <w:sz w:val="24"/>
                <w:szCs w:val="24"/>
              </w:rPr>
              <w:t> </w:t>
            </w:r>
          </w:p>
        </w:tc>
        <w:tc>
          <w:tcPr>
            <w:tcW w:w="4744" w:type="dxa"/>
            <w:gridSpan w:val="2"/>
            <w:shd w:val="clear" w:color="auto" w:fill="365F91"/>
            <w:noWrap/>
            <w:vAlign w:val="center"/>
          </w:tcPr>
          <w:p w:rsidR="006D67F1" w:rsidRPr="00A50943" w:rsidRDefault="006D67F1" w:rsidP="00E45795">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E45795">
            <w:pPr>
              <w:jc w:val="center"/>
              <w:rPr>
                <w:b/>
                <w:bCs/>
                <w:color w:val="FFFFFF"/>
                <w:sz w:val="24"/>
                <w:szCs w:val="24"/>
              </w:rPr>
            </w:pPr>
            <w:r w:rsidRPr="002C224A">
              <w:rPr>
                <w:b/>
                <w:bCs/>
                <w:color w:val="FFFFFF"/>
                <w:sz w:val="24"/>
                <w:szCs w:val="24"/>
              </w:rPr>
              <w:t>Dotace</w:t>
            </w:r>
          </w:p>
        </w:tc>
      </w:tr>
      <w:tr w:rsidR="006D67F1" w:rsidRPr="002C224A" w:rsidTr="00165EB0">
        <w:tblPrEx>
          <w:tblCellMar>
            <w:left w:w="108" w:type="dxa"/>
            <w:right w:w="108" w:type="dxa"/>
          </w:tblCellMar>
        </w:tblPrEx>
        <w:trPr>
          <w:trHeight w:val="315"/>
        </w:trPr>
        <w:tc>
          <w:tcPr>
            <w:tcW w:w="960" w:type="dxa"/>
            <w:shd w:val="clear" w:color="auto" w:fill="8DB3E2"/>
            <w:noWrap/>
          </w:tcPr>
          <w:p w:rsidR="006D67F1" w:rsidRPr="002C224A" w:rsidRDefault="006D67F1" w:rsidP="00A85B7C">
            <w:pPr>
              <w:jc w:val="center"/>
              <w:rPr>
                <w:b/>
                <w:bCs/>
                <w:color w:val="000000"/>
                <w:sz w:val="24"/>
                <w:szCs w:val="24"/>
              </w:rPr>
            </w:pPr>
          </w:p>
        </w:tc>
        <w:tc>
          <w:tcPr>
            <w:tcW w:w="960" w:type="dxa"/>
            <w:shd w:val="clear" w:color="auto" w:fill="8DB3E2"/>
            <w:noWrap/>
          </w:tcPr>
          <w:p w:rsidR="006D67F1" w:rsidRPr="002C224A" w:rsidRDefault="006D67F1" w:rsidP="00A85B7C">
            <w:pPr>
              <w:jc w:val="left"/>
              <w:rPr>
                <w:color w:val="000000"/>
                <w:sz w:val="24"/>
                <w:szCs w:val="24"/>
              </w:rPr>
            </w:pPr>
            <w:r w:rsidRPr="002C224A">
              <w:rPr>
                <w:color w:val="000000"/>
                <w:sz w:val="24"/>
                <w:szCs w:val="24"/>
              </w:rPr>
              <w:t> </w:t>
            </w:r>
          </w:p>
        </w:tc>
        <w:tc>
          <w:tcPr>
            <w:tcW w:w="2414" w:type="dxa"/>
            <w:shd w:val="clear" w:color="auto" w:fill="8DB3E2"/>
          </w:tcPr>
          <w:p w:rsidR="006D67F1" w:rsidRPr="002C224A" w:rsidRDefault="006D67F1" w:rsidP="00A85B7C">
            <w:pPr>
              <w:jc w:val="center"/>
              <w:rPr>
                <w:b/>
                <w:bCs/>
                <w:color w:val="FFFFFF"/>
                <w:sz w:val="24"/>
                <w:szCs w:val="24"/>
              </w:rPr>
            </w:pPr>
            <w:r w:rsidRPr="002C224A">
              <w:rPr>
                <w:b/>
                <w:bCs/>
                <w:color w:val="FFFFFF"/>
                <w:sz w:val="24"/>
                <w:szCs w:val="24"/>
              </w:rPr>
              <w:t>Kapitálové vstupy</w:t>
            </w:r>
          </w:p>
        </w:tc>
        <w:tc>
          <w:tcPr>
            <w:tcW w:w="2330" w:type="dxa"/>
            <w:shd w:val="clear" w:color="auto" w:fill="8DB3E2"/>
          </w:tcPr>
          <w:p w:rsidR="006D67F1" w:rsidRPr="002C224A" w:rsidRDefault="006D67F1" w:rsidP="00A85B7C">
            <w:pPr>
              <w:jc w:val="center"/>
              <w:rPr>
                <w:b/>
                <w:bCs/>
                <w:color w:val="FFFFFF"/>
                <w:sz w:val="24"/>
                <w:szCs w:val="24"/>
              </w:rPr>
            </w:pPr>
            <w:r w:rsidRPr="002C224A">
              <w:rPr>
                <w:b/>
                <w:bCs/>
                <w:color w:val="FFFFFF"/>
                <w:sz w:val="24"/>
                <w:szCs w:val="24"/>
              </w:rPr>
              <w:t>Zvýhodněný úvěr</w:t>
            </w:r>
          </w:p>
        </w:tc>
        <w:tc>
          <w:tcPr>
            <w:tcW w:w="2330" w:type="dxa"/>
            <w:shd w:val="clear" w:color="auto" w:fill="8DB3E2"/>
          </w:tcPr>
          <w:p w:rsidR="006D67F1" w:rsidRPr="002C224A" w:rsidRDefault="006D67F1" w:rsidP="00A85B7C">
            <w:pPr>
              <w:jc w:val="center"/>
              <w:rPr>
                <w:b/>
                <w:bCs/>
                <w:color w:val="FFFFFF"/>
                <w:sz w:val="24"/>
                <w:szCs w:val="24"/>
              </w:rPr>
            </w:pPr>
          </w:p>
        </w:tc>
      </w:tr>
      <w:tr w:rsidR="006D67F1" w:rsidRPr="002C224A" w:rsidTr="00165EB0">
        <w:tblPrEx>
          <w:tblCellMar>
            <w:left w:w="108" w:type="dxa"/>
            <w:right w:w="108" w:type="dxa"/>
          </w:tblCellMar>
        </w:tblPrEx>
        <w:trPr>
          <w:trHeight w:val="720"/>
        </w:trPr>
        <w:tc>
          <w:tcPr>
            <w:tcW w:w="960" w:type="dxa"/>
            <w:vMerge w:val="restart"/>
            <w:shd w:val="clear" w:color="auto" w:fill="8DB3E2"/>
            <w:noWrap/>
            <w:textDirection w:val="btLr"/>
          </w:tcPr>
          <w:p w:rsidR="006D67F1" w:rsidRPr="002C224A" w:rsidRDefault="003D7EB1" w:rsidP="00A85B7C">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tcPr>
          <w:p w:rsidR="006D67F1" w:rsidRPr="002C224A" w:rsidRDefault="006D67F1" w:rsidP="00A85B7C">
            <w:pPr>
              <w:jc w:val="center"/>
              <w:rPr>
                <w:b/>
                <w:bCs/>
                <w:color w:val="FFFFFF"/>
                <w:sz w:val="24"/>
                <w:szCs w:val="24"/>
              </w:rPr>
            </w:pPr>
            <w:r w:rsidRPr="002C224A">
              <w:rPr>
                <w:b/>
                <w:bCs/>
                <w:color w:val="FFFFFF"/>
                <w:sz w:val="24"/>
                <w:szCs w:val="24"/>
              </w:rPr>
              <w:t>Konečný příjemce</w:t>
            </w:r>
          </w:p>
        </w:tc>
        <w:tc>
          <w:tcPr>
            <w:tcW w:w="2414" w:type="dxa"/>
            <w:shd w:val="clear" w:color="auto" w:fill="8DB3E2"/>
          </w:tcPr>
          <w:p w:rsidR="006D67F1" w:rsidRPr="002C224A" w:rsidRDefault="006D67F1" w:rsidP="00A85B7C">
            <w:pPr>
              <w:jc w:val="center"/>
              <w:rPr>
                <w:b/>
                <w:color w:val="FFFFFF"/>
                <w:sz w:val="20"/>
              </w:rPr>
            </w:pPr>
            <w:r w:rsidRPr="002C224A">
              <w:rPr>
                <w:b/>
                <w:color w:val="FFFFFF"/>
                <w:sz w:val="20"/>
              </w:rPr>
              <w:t>Poskytnutí kapitálu na rozvoj subjektu</w:t>
            </w:r>
          </w:p>
        </w:tc>
        <w:tc>
          <w:tcPr>
            <w:tcW w:w="2330" w:type="dxa"/>
            <w:shd w:val="clear" w:color="auto" w:fill="8DB3E2"/>
          </w:tcPr>
          <w:p w:rsidR="006D67F1" w:rsidRPr="002C224A" w:rsidRDefault="006D67F1" w:rsidP="00A85B7C">
            <w:pPr>
              <w:jc w:val="center"/>
              <w:rPr>
                <w:b/>
                <w:color w:val="FFFFFF"/>
                <w:sz w:val="20"/>
              </w:rPr>
            </w:pPr>
            <w:r w:rsidRPr="002C224A">
              <w:rPr>
                <w:b/>
                <w:color w:val="FFFFFF"/>
                <w:sz w:val="20"/>
              </w:rPr>
              <w:t>Potenciální zpřístupnění financování</w:t>
            </w:r>
          </w:p>
        </w:tc>
        <w:tc>
          <w:tcPr>
            <w:tcW w:w="2330" w:type="dxa"/>
            <w:shd w:val="clear" w:color="auto" w:fill="8DB3E2"/>
          </w:tcPr>
          <w:p w:rsidR="006D67F1" w:rsidRPr="002C224A" w:rsidRDefault="006D67F1" w:rsidP="00A85B7C">
            <w:pPr>
              <w:jc w:val="center"/>
              <w:rPr>
                <w:b/>
                <w:color w:val="FFFFFF"/>
                <w:sz w:val="20"/>
              </w:rPr>
            </w:pPr>
            <w:r w:rsidRPr="002C224A">
              <w:rPr>
                <w:b/>
                <w:color w:val="FFFFFF"/>
                <w:sz w:val="20"/>
              </w:rPr>
              <w:t>Nevratný příspěvek na projekt</w:t>
            </w:r>
          </w:p>
        </w:tc>
      </w:tr>
      <w:tr w:rsidR="006D67F1" w:rsidRPr="002C224A" w:rsidTr="00165EB0">
        <w:tblPrEx>
          <w:tblCellMar>
            <w:left w:w="108" w:type="dxa"/>
            <w:right w:w="108" w:type="dxa"/>
          </w:tblCellMar>
        </w:tblPrEx>
        <w:trPr>
          <w:trHeight w:val="480"/>
        </w:trPr>
        <w:tc>
          <w:tcPr>
            <w:tcW w:w="960" w:type="dxa"/>
            <w:vMerge/>
            <w:shd w:val="clear" w:color="auto" w:fill="8DB3E2"/>
          </w:tcPr>
          <w:p w:rsidR="006D67F1" w:rsidRPr="002C224A" w:rsidRDefault="006D67F1" w:rsidP="00A85B7C">
            <w:pPr>
              <w:jc w:val="left"/>
              <w:rPr>
                <w:b/>
                <w:bCs/>
                <w:color w:val="FFFFFF"/>
                <w:sz w:val="24"/>
                <w:szCs w:val="24"/>
              </w:rPr>
            </w:pPr>
          </w:p>
        </w:tc>
        <w:tc>
          <w:tcPr>
            <w:tcW w:w="960" w:type="dxa"/>
            <w:vMerge/>
            <w:shd w:val="clear" w:color="auto" w:fill="8DB3E2"/>
          </w:tcPr>
          <w:p w:rsidR="006D67F1" w:rsidRPr="002C224A" w:rsidRDefault="006D67F1" w:rsidP="00A85B7C">
            <w:pPr>
              <w:jc w:val="left"/>
              <w:rPr>
                <w:b/>
                <w:bCs/>
                <w:color w:val="FFFFFF"/>
                <w:sz w:val="24"/>
                <w:szCs w:val="24"/>
              </w:rPr>
            </w:pPr>
          </w:p>
        </w:tc>
        <w:tc>
          <w:tcPr>
            <w:tcW w:w="2414" w:type="dxa"/>
            <w:shd w:val="clear" w:color="auto" w:fill="8DB3E2"/>
          </w:tcPr>
          <w:p w:rsidR="006D67F1" w:rsidRPr="002C224A" w:rsidRDefault="006D67F1" w:rsidP="00A85B7C">
            <w:pPr>
              <w:jc w:val="center"/>
              <w:rPr>
                <w:b/>
                <w:color w:val="FFFFFF"/>
                <w:sz w:val="20"/>
              </w:rPr>
            </w:pPr>
            <w:r w:rsidRPr="002C224A">
              <w:rPr>
                <w:b/>
                <w:color w:val="FFFFFF"/>
                <w:sz w:val="20"/>
              </w:rPr>
              <w:t>Možnost flexibilního nakládání s prostředky</w:t>
            </w:r>
          </w:p>
        </w:tc>
        <w:tc>
          <w:tcPr>
            <w:tcW w:w="2330" w:type="dxa"/>
            <w:shd w:val="clear" w:color="auto" w:fill="8DB3E2"/>
          </w:tcPr>
          <w:p w:rsidR="006D67F1" w:rsidRPr="002C224A" w:rsidRDefault="006D67F1" w:rsidP="00A85B7C">
            <w:pPr>
              <w:jc w:val="center"/>
              <w:rPr>
                <w:b/>
                <w:color w:val="FFFFFF"/>
                <w:sz w:val="20"/>
              </w:rPr>
            </w:pPr>
            <w:r w:rsidRPr="002C224A">
              <w:rPr>
                <w:b/>
                <w:color w:val="FFFFFF"/>
                <w:sz w:val="20"/>
              </w:rPr>
              <w:t>Snížená dluhová služba</w:t>
            </w:r>
          </w:p>
        </w:tc>
        <w:tc>
          <w:tcPr>
            <w:tcW w:w="2330" w:type="dxa"/>
            <w:shd w:val="clear" w:color="auto" w:fill="8DB3E2"/>
          </w:tcPr>
          <w:p w:rsidR="006D67F1" w:rsidRPr="002C224A" w:rsidRDefault="006D67F1" w:rsidP="00A85B7C">
            <w:pPr>
              <w:jc w:val="center"/>
              <w:rPr>
                <w:b/>
                <w:color w:val="FFFFFF"/>
                <w:sz w:val="20"/>
              </w:rPr>
            </w:pPr>
            <w:r w:rsidRPr="002C224A">
              <w:rPr>
                <w:b/>
                <w:color w:val="FFFFFF"/>
                <w:sz w:val="20"/>
              </w:rPr>
              <w:t>Vysoce snížené náklady investic</w:t>
            </w:r>
          </w:p>
        </w:tc>
      </w:tr>
      <w:tr w:rsidR="006D67F1" w:rsidRPr="002C224A" w:rsidTr="00165EB0">
        <w:tblPrEx>
          <w:tblCellMar>
            <w:left w:w="108" w:type="dxa"/>
            <w:right w:w="108" w:type="dxa"/>
          </w:tblCellMar>
        </w:tblPrEx>
        <w:trPr>
          <w:trHeight w:val="720"/>
        </w:trPr>
        <w:tc>
          <w:tcPr>
            <w:tcW w:w="960" w:type="dxa"/>
            <w:vMerge/>
            <w:shd w:val="clear" w:color="auto" w:fill="8DB3E2"/>
          </w:tcPr>
          <w:p w:rsidR="006D67F1" w:rsidRPr="002C224A" w:rsidRDefault="006D67F1" w:rsidP="00A85B7C">
            <w:pPr>
              <w:jc w:val="left"/>
              <w:rPr>
                <w:b/>
                <w:bCs/>
                <w:color w:val="FFFFFF"/>
                <w:sz w:val="24"/>
                <w:szCs w:val="24"/>
              </w:rPr>
            </w:pPr>
          </w:p>
        </w:tc>
        <w:tc>
          <w:tcPr>
            <w:tcW w:w="960" w:type="dxa"/>
            <w:vMerge/>
            <w:shd w:val="clear" w:color="auto" w:fill="8DB3E2"/>
          </w:tcPr>
          <w:p w:rsidR="006D67F1" w:rsidRPr="002C224A" w:rsidRDefault="006D67F1" w:rsidP="00A85B7C">
            <w:pPr>
              <w:jc w:val="left"/>
              <w:rPr>
                <w:b/>
                <w:bCs/>
                <w:color w:val="FFFFFF"/>
                <w:sz w:val="24"/>
                <w:szCs w:val="24"/>
              </w:rPr>
            </w:pPr>
          </w:p>
        </w:tc>
        <w:tc>
          <w:tcPr>
            <w:tcW w:w="2414" w:type="dxa"/>
            <w:shd w:val="clear" w:color="auto" w:fill="8DB3E2"/>
          </w:tcPr>
          <w:p w:rsidR="006D67F1" w:rsidRPr="002C224A" w:rsidRDefault="006D67F1" w:rsidP="00A85B7C">
            <w:pPr>
              <w:jc w:val="center"/>
              <w:rPr>
                <w:b/>
                <w:color w:val="FFFFFF"/>
                <w:sz w:val="20"/>
              </w:rPr>
            </w:pPr>
            <w:r w:rsidRPr="002C224A">
              <w:rPr>
                <w:b/>
                <w:color w:val="FFFFFF"/>
                <w:sz w:val="20"/>
              </w:rPr>
              <w:t>Zvýšení potenciální úvěrovatelnosti kapitálově posíleného subjektu</w:t>
            </w:r>
          </w:p>
        </w:tc>
        <w:tc>
          <w:tcPr>
            <w:tcW w:w="2330" w:type="dxa"/>
            <w:shd w:val="clear" w:color="auto" w:fill="8DB3E2"/>
          </w:tcPr>
          <w:p w:rsidR="006D67F1" w:rsidRPr="002C224A" w:rsidRDefault="006D67F1" w:rsidP="00A85B7C">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A85B7C">
            <w:pPr>
              <w:jc w:val="center"/>
              <w:rPr>
                <w:b/>
                <w:color w:val="FFFFFF"/>
                <w:sz w:val="20"/>
              </w:rPr>
            </w:pPr>
          </w:p>
        </w:tc>
      </w:tr>
      <w:tr w:rsidR="006D67F1" w:rsidRPr="002C224A" w:rsidTr="00165EB0">
        <w:tblPrEx>
          <w:tblCellMar>
            <w:left w:w="108" w:type="dxa"/>
            <w:right w:w="108" w:type="dxa"/>
          </w:tblCellMar>
        </w:tblPrEx>
        <w:trPr>
          <w:trHeight w:val="478"/>
        </w:trPr>
        <w:tc>
          <w:tcPr>
            <w:tcW w:w="960" w:type="dxa"/>
            <w:vMerge/>
            <w:shd w:val="clear" w:color="auto" w:fill="8DB3E2"/>
          </w:tcPr>
          <w:p w:rsidR="006D67F1" w:rsidRPr="002C224A" w:rsidRDefault="006D67F1" w:rsidP="00A85B7C">
            <w:pPr>
              <w:jc w:val="left"/>
              <w:rPr>
                <w:b/>
                <w:bCs/>
                <w:color w:val="FFFFFF"/>
                <w:sz w:val="24"/>
                <w:szCs w:val="24"/>
              </w:rPr>
            </w:pPr>
          </w:p>
        </w:tc>
        <w:tc>
          <w:tcPr>
            <w:tcW w:w="960" w:type="dxa"/>
            <w:vMerge/>
            <w:shd w:val="clear" w:color="auto" w:fill="8DB3E2"/>
          </w:tcPr>
          <w:p w:rsidR="006D67F1" w:rsidRPr="002C224A" w:rsidRDefault="006D67F1" w:rsidP="00A85B7C">
            <w:pPr>
              <w:jc w:val="left"/>
              <w:rPr>
                <w:b/>
                <w:bCs/>
                <w:color w:val="FFFFFF"/>
                <w:sz w:val="24"/>
                <w:szCs w:val="24"/>
              </w:rPr>
            </w:pPr>
          </w:p>
        </w:tc>
        <w:tc>
          <w:tcPr>
            <w:tcW w:w="2414" w:type="dxa"/>
            <w:shd w:val="clear" w:color="auto" w:fill="8DB3E2"/>
            <w:noWrap/>
          </w:tcPr>
          <w:p w:rsidR="006D67F1" w:rsidRPr="002C224A" w:rsidRDefault="006D67F1" w:rsidP="00C767FC">
            <w:pPr>
              <w:jc w:val="center"/>
              <w:rPr>
                <w:b/>
                <w:color w:val="FFFFFF"/>
                <w:sz w:val="20"/>
              </w:rPr>
            </w:pPr>
            <w:r w:rsidRPr="002C224A">
              <w:rPr>
                <w:b/>
                <w:color w:val="FFFFFF"/>
                <w:sz w:val="20"/>
              </w:rPr>
              <w:t xml:space="preserve">Vysoký tlak na dosažení ziskovosti projektu </w:t>
            </w:r>
          </w:p>
        </w:tc>
        <w:tc>
          <w:tcPr>
            <w:tcW w:w="2330" w:type="dxa"/>
            <w:shd w:val="clear" w:color="auto" w:fill="8DB3E2"/>
          </w:tcPr>
          <w:p w:rsidR="006D67F1" w:rsidRPr="002C224A" w:rsidRDefault="006D67F1" w:rsidP="001B1EEC">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A85B7C">
            <w:pPr>
              <w:jc w:val="center"/>
              <w:rPr>
                <w:b/>
                <w:color w:val="FFFFFF"/>
                <w:sz w:val="20"/>
              </w:rPr>
            </w:pPr>
          </w:p>
        </w:tc>
      </w:tr>
      <w:tr w:rsidR="006D67F1" w:rsidRPr="002C224A" w:rsidTr="00165EB0">
        <w:tblPrEx>
          <w:tblCellMar>
            <w:left w:w="108" w:type="dxa"/>
            <w:right w:w="108" w:type="dxa"/>
          </w:tblCellMar>
        </w:tblPrEx>
        <w:trPr>
          <w:trHeight w:val="680"/>
        </w:trPr>
        <w:tc>
          <w:tcPr>
            <w:tcW w:w="960" w:type="dxa"/>
            <w:vMerge/>
            <w:shd w:val="clear" w:color="auto" w:fill="8DB3E2"/>
          </w:tcPr>
          <w:p w:rsidR="006D67F1" w:rsidRPr="002C224A" w:rsidRDefault="006D67F1" w:rsidP="00A85B7C">
            <w:pPr>
              <w:jc w:val="left"/>
              <w:rPr>
                <w:b/>
                <w:bCs/>
                <w:color w:val="FFFFFF"/>
                <w:sz w:val="24"/>
                <w:szCs w:val="24"/>
              </w:rPr>
            </w:pPr>
          </w:p>
        </w:tc>
        <w:tc>
          <w:tcPr>
            <w:tcW w:w="960" w:type="dxa"/>
            <w:vMerge/>
            <w:shd w:val="clear" w:color="auto" w:fill="8DB3E2"/>
          </w:tcPr>
          <w:p w:rsidR="006D67F1" w:rsidRPr="002C224A" w:rsidRDefault="006D67F1" w:rsidP="00A85B7C">
            <w:pPr>
              <w:jc w:val="left"/>
              <w:rPr>
                <w:b/>
                <w:bCs/>
                <w:color w:val="FFFFFF"/>
                <w:sz w:val="24"/>
                <w:szCs w:val="24"/>
              </w:rPr>
            </w:pPr>
          </w:p>
        </w:tc>
        <w:tc>
          <w:tcPr>
            <w:tcW w:w="2414" w:type="dxa"/>
            <w:shd w:val="clear" w:color="auto" w:fill="8DB3E2"/>
          </w:tcPr>
          <w:p w:rsidR="006D67F1" w:rsidRPr="002C224A" w:rsidRDefault="006D67F1" w:rsidP="00A85B7C">
            <w:pPr>
              <w:jc w:val="center"/>
              <w:rPr>
                <w:b/>
                <w:color w:val="FFFFFF"/>
                <w:sz w:val="20"/>
              </w:rPr>
            </w:pPr>
            <w:r w:rsidRPr="002C224A">
              <w:rPr>
                <w:b/>
                <w:color w:val="FFFFFF"/>
                <w:sz w:val="20"/>
              </w:rPr>
              <w:t>Know-how a kontakty ze strany investorů</w:t>
            </w:r>
          </w:p>
        </w:tc>
        <w:tc>
          <w:tcPr>
            <w:tcW w:w="2330" w:type="dxa"/>
            <w:shd w:val="clear" w:color="auto" w:fill="8DB3E2"/>
          </w:tcPr>
          <w:p w:rsidR="006D67F1" w:rsidRPr="002C224A" w:rsidRDefault="006D67F1" w:rsidP="00A85B7C">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A85B7C">
            <w:pPr>
              <w:jc w:val="center"/>
              <w:rPr>
                <w:b/>
                <w:color w:val="FFFFFF"/>
                <w:sz w:val="20"/>
              </w:rPr>
            </w:pPr>
          </w:p>
        </w:tc>
      </w:tr>
      <w:tr w:rsidR="006D67F1" w:rsidRPr="002C224A" w:rsidTr="002433DA">
        <w:trPr>
          <w:trHeight w:val="690"/>
        </w:trPr>
        <w:tc>
          <w:tcPr>
            <w:tcW w:w="960" w:type="dxa"/>
            <w:vMerge/>
            <w:shd w:val="clear" w:color="auto" w:fill="8DB3E2"/>
            <w:vAlign w:val="center"/>
          </w:tcPr>
          <w:p w:rsidR="006D67F1" w:rsidRPr="002C224A" w:rsidRDefault="006D67F1" w:rsidP="0010532D">
            <w:pPr>
              <w:jc w:val="left"/>
              <w:rPr>
                <w:b/>
                <w:bCs/>
                <w:color w:val="FFFFFF"/>
                <w:sz w:val="24"/>
                <w:szCs w:val="24"/>
              </w:rPr>
            </w:pPr>
          </w:p>
        </w:tc>
        <w:tc>
          <w:tcPr>
            <w:tcW w:w="960" w:type="dxa"/>
            <w:vMerge/>
            <w:shd w:val="clear" w:color="auto" w:fill="8DB3E2"/>
            <w:vAlign w:val="center"/>
          </w:tcPr>
          <w:p w:rsidR="006D67F1" w:rsidRPr="002C224A" w:rsidRDefault="006D67F1" w:rsidP="0010532D">
            <w:pPr>
              <w:jc w:val="left"/>
              <w:rPr>
                <w:b/>
                <w:bCs/>
                <w:color w:val="FFFFFF"/>
                <w:sz w:val="24"/>
                <w:szCs w:val="24"/>
              </w:rPr>
            </w:pPr>
          </w:p>
        </w:tc>
        <w:tc>
          <w:tcPr>
            <w:tcW w:w="2414" w:type="dxa"/>
            <w:shd w:val="clear" w:color="auto" w:fill="8DB3E2"/>
            <w:vAlign w:val="center"/>
          </w:tcPr>
          <w:p w:rsidR="006D67F1" w:rsidRPr="002C224A" w:rsidRDefault="006D67F1" w:rsidP="0010532D">
            <w:pPr>
              <w:jc w:val="center"/>
              <w:rPr>
                <w:b/>
                <w:color w:val="FFFFFF"/>
                <w:sz w:val="20"/>
              </w:rPr>
            </w:pPr>
            <w:r w:rsidRPr="002C224A">
              <w:rPr>
                <w:b/>
                <w:color w:val="FFFFFF"/>
                <w:sz w:val="20"/>
              </w:rPr>
              <w:t>Vyšší atraktivita podniku pro další investory</w:t>
            </w:r>
          </w:p>
        </w:tc>
        <w:tc>
          <w:tcPr>
            <w:tcW w:w="2330" w:type="dxa"/>
            <w:shd w:val="clear" w:color="auto" w:fill="8DB3E2"/>
            <w:vAlign w:val="center"/>
          </w:tcPr>
          <w:p w:rsidR="006D67F1" w:rsidRPr="002C224A" w:rsidRDefault="006D67F1" w:rsidP="0010532D">
            <w:pPr>
              <w:jc w:val="center"/>
              <w:rPr>
                <w:b/>
                <w:color w:val="FFFFFF"/>
                <w:sz w:val="20"/>
              </w:rPr>
            </w:pPr>
            <w:r w:rsidRPr="002C224A">
              <w:rPr>
                <w:b/>
                <w:color w:val="FFFFFF"/>
                <w:sz w:val="20"/>
              </w:rPr>
              <w:t>Absolutní kontrola nad získanými prostředky a podnikáním</w:t>
            </w:r>
          </w:p>
        </w:tc>
        <w:tc>
          <w:tcPr>
            <w:tcW w:w="2330" w:type="dxa"/>
            <w:shd w:val="clear" w:color="auto" w:fill="8DB3E2"/>
          </w:tcPr>
          <w:p w:rsidR="006D67F1" w:rsidRPr="002C224A" w:rsidRDefault="006D67F1" w:rsidP="0010532D">
            <w:pPr>
              <w:jc w:val="left"/>
              <w:rPr>
                <w:b/>
                <w:color w:val="FFFFFF"/>
                <w:sz w:val="20"/>
              </w:rPr>
            </w:pPr>
          </w:p>
        </w:tc>
      </w:tr>
      <w:tr w:rsidR="006D67F1" w:rsidRPr="002C224A" w:rsidTr="00165EB0">
        <w:tblPrEx>
          <w:tblCellMar>
            <w:left w:w="108" w:type="dxa"/>
            <w:right w:w="108" w:type="dxa"/>
          </w:tblCellMar>
        </w:tblPrEx>
        <w:trPr>
          <w:trHeight w:val="690"/>
        </w:trPr>
        <w:tc>
          <w:tcPr>
            <w:tcW w:w="960" w:type="dxa"/>
            <w:vMerge/>
            <w:shd w:val="clear" w:color="auto" w:fill="8DB3E2"/>
          </w:tcPr>
          <w:p w:rsidR="006D67F1" w:rsidRPr="002C224A" w:rsidRDefault="006D67F1" w:rsidP="0010532D">
            <w:pPr>
              <w:jc w:val="left"/>
              <w:rPr>
                <w:b/>
                <w:bCs/>
                <w:color w:val="FFFFFF"/>
                <w:sz w:val="24"/>
                <w:szCs w:val="24"/>
              </w:rPr>
            </w:pPr>
          </w:p>
        </w:tc>
        <w:tc>
          <w:tcPr>
            <w:tcW w:w="960" w:type="dxa"/>
            <w:vMerge/>
            <w:shd w:val="clear" w:color="auto" w:fill="8DB3E2"/>
          </w:tcPr>
          <w:p w:rsidR="006D67F1" w:rsidRPr="002C224A" w:rsidRDefault="006D67F1" w:rsidP="0010532D">
            <w:pPr>
              <w:jc w:val="left"/>
              <w:rPr>
                <w:b/>
                <w:bCs/>
                <w:color w:val="FFFFFF"/>
                <w:sz w:val="24"/>
                <w:szCs w:val="24"/>
              </w:rPr>
            </w:pPr>
          </w:p>
        </w:tc>
        <w:tc>
          <w:tcPr>
            <w:tcW w:w="2414" w:type="dxa"/>
            <w:shd w:val="clear" w:color="auto" w:fill="8DB3E2"/>
          </w:tcPr>
          <w:p w:rsidR="006D67F1" w:rsidRPr="002C224A" w:rsidRDefault="006D67F1" w:rsidP="00C767FC">
            <w:pPr>
              <w:jc w:val="center"/>
              <w:rPr>
                <w:b/>
                <w:color w:val="FFFFFF"/>
                <w:sz w:val="20"/>
              </w:rPr>
            </w:pPr>
            <w:r w:rsidRPr="002C224A">
              <w:rPr>
                <w:b/>
                <w:color w:val="FFFFFF"/>
                <w:sz w:val="20"/>
              </w:rPr>
              <w:t>Možnost propojení s odbornou asistencí v oblasti rozvoje podnikání (CI)</w:t>
            </w:r>
          </w:p>
        </w:tc>
        <w:tc>
          <w:tcPr>
            <w:tcW w:w="2330" w:type="dxa"/>
            <w:shd w:val="clear" w:color="auto" w:fill="8DB3E2"/>
          </w:tcPr>
          <w:p w:rsidR="006D67F1" w:rsidRPr="002C224A" w:rsidRDefault="006D67F1" w:rsidP="0010532D">
            <w:pPr>
              <w:jc w:val="center"/>
              <w:rPr>
                <w:b/>
                <w:color w:val="FFFFFF"/>
                <w:sz w:val="20"/>
              </w:rPr>
            </w:pPr>
            <w:r w:rsidRPr="002C224A">
              <w:rPr>
                <w:b/>
                <w:color w:val="FFFFFF"/>
                <w:sz w:val="20"/>
              </w:rPr>
              <w:t>Potenciální revolvingový efekt a podpoření projektů v dalších cyklech</w:t>
            </w:r>
          </w:p>
        </w:tc>
        <w:tc>
          <w:tcPr>
            <w:tcW w:w="2330" w:type="dxa"/>
            <w:shd w:val="clear" w:color="auto" w:fill="8DB3E2"/>
          </w:tcPr>
          <w:p w:rsidR="006D67F1" w:rsidRPr="002C224A" w:rsidRDefault="006D67F1" w:rsidP="0010532D">
            <w:pPr>
              <w:jc w:val="left"/>
              <w:rPr>
                <w:b/>
                <w:color w:val="FFFFFF"/>
                <w:sz w:val="20"/>
              </w:rPr>
            </w:pPr>
          </w:p>
        </w:tc>
      </w:tr>
      <w:tr w:rsidR="006D67F1" w:rsidRPr="002C224A" w:rsidTr="00165EB0">
        <w:tblPrEx>
          <w:tblCellMar>
            <w:left w:w="108" w:type="dxa"/>
            <w:right w:w="108" w:type="dxa"/>
          </w:tblCellMar>
        </w:tblPrEx>
        <w:trPr>
          <w:trHeight w:val="735"/>
        </w:trPr>
        <w:tc>
          <w:tcPr>
            <w:tcW w:w="960" w:type="dxa"/>
            <w:vMerge/>
            <w:shd w:val="clear" w:color="auto" w:fill="8DB3E2"/>
          </w:tcPr>
          <w:p w:rsidR="006D67F1" w:rsidRPr="002C224A" w:rsidRDefault="006D67F1" w:rsidP="0010532D">
            <w:pPr>
              <w:jc w:val="left"/>
              <w:rPr>
                <w:b/>
                <w:bCs/>
                <w:color w:val="FFFFFF"/>
                <w:sz w:val="24"/>
                <w:szCs w:val="24"/>
              </w:rPr>
            </w:pPr>
          </w:p>
        </w:tc>
        <w:tc>
          <w:tcPr>
            <w:tcW w:w="960" w:type="dxa"/>
            <w:vMerge w:val="restart"/>
            <w:shd w:val="clear" w:color="auto" w:fill="8DB3E2"/>
            <w:noWrap/>
            <w:textDirection w:val="btLr"/>
          </w:tcPr>
          <w:p w:rsidR="006D67F1" w:rsidRPr="002C224A" w:rsidRDefault="006D67F1" w:rsidP="0010532D">
            <w:pPr>
              <w:jc w:val="center"/>
              <w:rPr>
                <w:b/>
                <w:bCs/>
                <w:color w:val="FFFFFF"/>
                <w:sz w:val="24"/>
                <w:szCs w:val="24"/>
              </w:rPr>
            </w:pPr>
            <w:r w:rsidRPr="002C224A">
              <w:rPr>
                <w:b/>
                <w:bCs/>
                <w:color w:val="FFFFFF"/>
                <w:sz w:val="24"/>
                <w:szCs w:val="24"/>
              </w:rPr>
              <w:t>ŘO</w:t>
            </w:r>
          </w:p>
        </w:tc>
        <w:tc>
          <w:tcPr>
            <w:tcW w:w="2414" w:type="dxa"/>
            <w:shd w:val="clear" w:color="auto" w:fill="8DB3E2"/>
          </w:tcPr>
          <w:p w:rsidR="006D67F1" w:rsidRPr="002C224A" w:rsidRDefault="006D67F1" w:rsidP="0010532D">
            <w:pPr>
              <w:jc w:val="center"/>
              <w:rPr>
                <w:b/>
                <w:color w:val="FFFFFF"/>
                <w:sz w:val="20"/>
              </w:rPr>
            </w:pPr>
            <w:r w:rsidRPr="002C224A">
              <w:rPr>
                <w:b/>
                <w:color w:val="FFFFFF"/>
                <w:sz w:val="20"/>
              </w:rPr>
              <w:t>Revolvingový potenciál</w:t>
            </w:r>
          </w:p>
        </w:tc>
        <w:tc>
          <w:tcPr>
            <w:tcW w:w="2330" w:type="dxa"/>
            <w:shd w:val="clear" w:color="auto" w:fill="8DB3E2"/>
          </w:tcPr>
          <w:p w:rsidR="006D67F1" w:rsidRPr="002C224A" w:rsidRDefault="006D67F1" w:rsidP="0010532D">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10532D">
            <w:pPr>
              <w:jc w:val="center"/>
              <w:rPr>
                <w:b/>
                <w:color w:val="FFFFFF"/>
                <w:sz w:val="20"/>
              </w:rPr>
            </w:pPr>
          </w:p>
        </w:tc>
      </w:tr>
      <w:tr w:rsidR="006D67F1" w:rsidRPr="002C224A" w:rsidTr="00165EB0">
        <w:tblPrEx>
          <w:tblCellMar>
            <w:left w:w="108" w:type="dxa"/>
            <w:right w:w="108" w:type="dxa"/>
          </w:tblCellMar>
        </w:tblPrEx>
        <w:trPr>
          <w:trHeight w:val="735"/>
        </w:trPr>
        <w:tc>
          <w:tcPr>
            <w:tcW w:w="960" w:type="dxa"/>
            <w:vMerge/>
            <w:shd w:val="clear" w:color="auto" w:fill="8DB3E2"/>
          </w:tcPr>
          <w:p w:rsidR="006D67F1" w:rsidRPr="002C224A" w:rsidRDefault="006D67F1" w:rsidP="0010532D">
            <w:pPr>
              <w:jc w:val="left"/>
              <w:rPr>
                <w:b/>
                <w:bCs/>
                <w:color w:val="FFFFFF"/>
                <w:sz w:val="18"/>
                <w:szCs w:val="18"/>
              </w:rPr>
            </w:pPr>
          </w:p>
        </w:tc>
        <w:tc>
          <w:tcPr>
            <w:tcW w:w="960" w:type="dxa"/>
            <w:vMerge/>
            <w:shd w:val="clear" w:color="auto" w:fill="8DB3E2"/>
            <w:noWrap/>
            <w:textDirection w:val="btLr"/>
          </w:tcPr>
          <w:p w:rsidR="006D67F1" w:rsidRPr="002C224A" w:rsidRDefault="006D67F1" w:rsidP="0010532D">
            <w:pPr>
              <w:jc w:val="center"/>
              <w:rPr>
                <w:b/>
                <w:bCs/>
                <w:color w:val="FFFFFF"/>
                <w:sz w:val="18"/>
                <w:szCs w:val="18"/>
              </w:rPr>
            </w:pPr>
          </w:p>
        </w:tc>
        <w:tc>
          <w:tcPr>
            <w:tcW w:w="2414" w:type="dxa"/>
            <w:shd w:val="clear" w:color="auto" w:fill="8DB3E2"/>
          </w:tcPr>
          <w:p w:rsidR="006D67F1" w:rsidRPr="002C224A" w:rsidRDefault="006D67F1" w:rsidP="0010532D">
            <w:pPr>
              <w:jc w:val="center"/>
              <w:rPr>
                <w:b/>
                <w:color w:val="FFFFFF"/>
                <w:sz w:val="20"/>
              </w:rPr>
            </w:pPr>
            <w:r w:rsidRPr="002C224A">
              <w:rPr>
                <w:b/>
                <w:color w:val="FFFFFF"/>
                <w:sz w:val="20"/>
              </w:rPr>
              <w:t>Efektivní prostředek k rozvoji trhu PE</w:t>
            </w:r>
          </w:p>
        </w:tc>
        <w:tc>
          <w:tcPr>
            <w:tcW w:w="2330" w:type="dxa"/>
            <w:shd w:val="clear" w:color="auto" w:fill="8DB3E2"/>
          </w:tcPr>
          <w:p w:rsidR="006D67F1" w:rsidRPr="002C224A" w:rsidRDefault="006D67F1" w:rsidP="0010532D">
            <w:pPr>
              <w:jc w:val="center"/>
              <w:rPr>
                <w:b/>
                <w:color w:val="FFFFFF"/>
                <w:sz w:val="20"/>
              </w:rPr>
            </w:pPr>
            <w:r w:rsidRPr="002C224A">
              <w:rPr>
                <w:b/>
                <w:color w:val="FFFFFF"/>
                <w:sz w:val="20"/>
              </w:rPr>
              <w:t>Rychlé čerpání</w:t>
            </w:r>
          </w:p>
        </w:tc>
        <w:tc>
          <w:tcPr>
            <w:tcW w:w="2330" w:type="dxa"/>
            <w:shd w:val="clear" w:color="auto" w:fill="8DB3E2"/>
          </w:tcPr>
          <w:p w:rsidR="006D67F1" w:rsidRPr="002C224A" w:rsidRDefault="006D67F1" w:rsidP="0010532D">
            <w:pPr>
              <w:jc w:val="center"/>
              <w:rPr>
                <w:b/>
                <w:color w:val="FFFFFF"/>
                <w:sz w:val="20"/>
              </w:rPr>
            </w:pPr>
          </w:p>
        </w:tc>
      </w:tr>
      <w:tr w:rsidR="006D67F1" w:rsidRPr="002C224A" w:rsidTr="002433DA">
        <w:trPr>
          <w:trHeight w:val="311"/>
        </w:trPr>
        <w:tc>
          <w:tcPr>
            <w:tcW w:w="960" w:type="dxa"/>
            <w:vMerge/>
            <w:shd w:val="clear" w:color="auto" w:fill="8DB3E2"/>
            <w:vAlign w:val="center"/>
          </w:tcPr>
          <w:p w:rsidR="006D67F1" w:rsidRPr="002C224A" w:rsidRDefault="006D67F1" w:rsidP="0010532D">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10532D">
            <w:pPr>
              <w:jc w:val="center"/>
              <w:rPr>
                <w:b/>
                <w:bCs/>
                <w:color w:val="FFFFFF"/>
                <w:sz w:val="18"/>
                <w:szCs w:val="18"/>
              </w:rPr>
            </w:pPr>
          </w:p>
        </w:tc>
        <w:tc>
          <w:tcPr>
            <w:tcW w:w="2414" w:type="dxa"/>
            <w:shd w:val="clear" w:color="auto" w:fill="8DB3E2"/>
            <w:vAlign w:val="center"/>
          </w:tcPr>
          <w:p w:rsidR="006D67F1" w:rsidRPr="002C224A" w:rsidRDefault="006D67F1" w:rsidP="0010532D">
            <w:pPr>
              <w:jc w:val="center"/>
              <w:rPr>
                <w:b/>
                <w:color w:val="FFFFFF"/>
                <w:sz w:val="20"/>
              </w:rPr>
            </w:pPr>
            <w:r w:rsidRPr="002C224A">
              <w:rPr>
                <w:b/>
                <w:color w:val="FFFFFF"/>
                <w:sz w:val="20"/>
              </w:rPr>
              <w:t>Možnost provázání s pre-seed fondem SC 1.2.</w:t>
            </w:r>
          </w:p>
        </w:tc>
        <w:tc>
          <w:tcPr>
            <w:tcW w:w="2330" w:type="dxa"/>
            <w:shd w:val="clear" w:color="auto" w:fill="8DB3E2"/>
            <w:vAlign w:val="center"/>
          </w:tcPr>
          <w:p w:rsidR="006D67F1" w:rsidRPr="002C224A" w:rsidRDefault="006D67F1" w:rsidP="0010532D">
            <w:pPr>
              <w:jc w:val="center"/>
              <w:rPr>
                <w:b/>
                <w:color w:val="FFFFFF"/>
                <w:sz w:val="20"/>
              </w:rPr>
            </w:pPr>
          </w:p>
        </w:tc>
        <w:tc>
          <w:tcPr>
            <w:tcW w:w="2330" w:type="dxa"/>
            <w:shd w:val="clear" w:color="auto" w:fill="8DB3E2"/>
          </w:tcPr>
          <w:p w:rsidR="006D67F1" w:rsidRPr="002C224A" w:rsidRDefault="006D67F1" w:rsidP="0010532D">
            <w:pPr>
              <w:jc w:val="center"/>
              <w:rPr>
                <w:b/>
                <w:color w:val="FFFFFF"/>
                <w:sz w:val="20"/>
              </w:rPr>
            </w:pPr>
          </w:p>
        </w:tc>
      </w:tr>
      <w:tr w:rsidR="006D67F1" w:rsidRPr="002C224A" w:rsidTr="00165EB0">
        <w:tblPrEx>
          <w:tblCellMar>
            <w:left w:w="108" w:type="dxa"/>
            <w:right w:w="108" w:type="dxa"/>
          </w:tblCellMar>
        </w:tblPrEx>
        <w:trPr>
          <w:trHeight w:val="311"/>
        </w:trPr>
        <w:tc>
          <w:tcPr>
            <w:tcW w:w="960" w:type="dxa"/>
            <w:vMerge/>
            <w:shd w:val="clear" w:color="auto" w:fill="8DB3E2"/>
          </w:tcPr>
          <w:p w:rsidR="006D67F1" w:rsidRPr="002C224A" w:rsidRDefault="006D67F1" w:rsidP="0010532D">
            <w:pPr>
              <w:jc w:val="left"/>
              <w:rPr>
                <w:b/>
                <w:bCs/>
                <w:color w:val="FFFFFF"/>
                <w:sz w:val="18"/>
                <w:szCs w:val="18"/>
              </w:rPr>
            </w:pPr>
          </w:p>
        </w:tc>
        <w:tc>
          <w:tcPr>
            <w:tcW w:w="960" w:type="dxa"/>
            <w:vMerge/>
            <w:shd w:val="clear" w:color="auto" w:fill="8DB3E2"/>
            <w:noWrap/>
            <w:textDirection w:val="btLr"/>
          </w:tcPr>
          <w:p w:rsidR="006D67F1" w:rsidRPr="002C224A" w:rsidRDefault="006D67F1" w:rsidP="0010532D">
            <w:pPr>
              <w:jc w:val="center"/>
              <w:rPr>
                <w:b/>
                <w:bCs/>
                <w:color w:val="FFFFFF"/>
                <w:sz w:val="18"/>
                <w:szCs w:val="18"/>
              </w:rPr>
            </w:pPr>
          </w:p>
        </w:tc>
        <w:tc>
          <w:tcPr>
            <w:tcW w:w="2414" w:type="dxa"/>
            <w:shd w:val="clear" w:color="auto" w:fill="8DB3E2"/>
          </w:tcPr>
          <w:p w:rsidR="006D67F1" w:rsidRPr="002C224A" w:rsidRDefault="006D67F1" w:rsidP="00C767FC">
            <w:pPr>
              <w:jc w:val="center"/>
              <w:rPr>
                <w:b/>
                <w:color w:val="FFFFFF"/>
                <w:sz w:val="20"/>
              </w:rPr>
            </w:pPr>
            <w:r w:rsidRPr="002C224A">
              <w:rPr>
                <w:b/>
                <w:color w:val="FFFFFF"/>
                <w:sz w:val="20"/>
              </w:rPr>
              <w:t>Vyšší možnost kontroly investovaných prostředků</w:t>
            </w:r>
          </w:p>
        </w:tc>
        <w:tc>
          <w:tcPr>
            <w:tcW w:w="2330" w:type="dxa"/>
            <w:shd w:val="clear" w:color="auto" w:fill="8DB3E2"/>
          </w:tcPr>
          <w:p w:rsidR="006D67F1" w:rsidRPr="002C224A" w:rsidRDefault="006D67F1" w:rsidP="0010532D">
            <w:pPr>
              <w:jc w:val="center"/>
              <w:rPr>
                <w:b/>
                <w:color w:val="FFFFFF"/>
                <w:sz w:val="20"/>
              </w:rPr>
            </w:pPr>
          </w:p>
        </w:tc>
        <w:tc>
          <w:tcPr>
            <w:tcW w:w="2330" w:type="dxa"/>
            <w:shd w:val="clear" w:color="auto" w:fill="8DB3E2"/>
          </w:tcPr>
          <w:p w:rsidR="006D67F1" w:rsidRPr="002C224A" w:rsidRDefault="006D67F1" w:rsidP="0010532D">
            <w:pPr>
              <w:jc w:val="center"/>
              <w:rPr>
                <w:b/>
                <w:color w:val="FFFFFF"/>
                <w:sz w:val="20"/>
              </w:rPr>
            </w:pPr>
          </w:p>
        </w:tc>
      </w:tr>
      <w:tr w:rsidR="006D67F1" w:rsidRPr="002C224A" w:rsidTr="00165EB0">
        <w:tblPrEx>
          <w:tblCellMar>
            <w:left w:w="108" w:type="dxa"/>
            <w:right w:w="108" w:type="dxa"/>
          </w:tblCellMar>
        </w:tblPrEx>
        <w:trPr>
          <w:trHeight w:val="735"/>
        </w:trPr>
        <w:tc>
          <w:tcPr>
            <w:tcW w:w="960" w:type="dxa"/>
            <w:vMerge w:val="restart"/>
            <w:shd w:val="clear" w:color="auto" w:fill="FF0000"/>
            <w:textDirection w:val="btLr"/>
          </w:tcPr>
          <w:p w:rsidR="006D67F1" w:rsidRPr="002C224A" w:rsidRDefault="006D67F1" w:rsidP="0010532D">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tcPr>
          <w:p w:rsidR="006D67F1" w:rsidRPr="002C224A" w:rsidRDefault="006D67F1" w:rsidP="0010532D">
            <w:pPr>
              <w:jc w:val="center"/>
              <w:rPr>
                <w:b/>
                <w:bCs/>
                <w:color w:val="FFFFFF"/>
                <w:sz w:val="24"/>
                <w:szCs w:val="24"/>
              </w:rPr>
            </w:pPr>
            <w:r w:rsidRPr="002C224A">
              <w:rPr>
                <w:b/>
                <w:bCs/>
                <w:color w:val="FFFFFF"/>
                <w:sz w:val="24"/>
                <w:szCs w:val="24"/>
              </w:rPr>
              <w:t>Konečný příjemce</w:t>
            </w:r>
          </w:p>
        </w:tc>
        <w:tc>
          <w:tcPr>
            <w:tcW w:w="2414" w:type="dxa"/>
            <w:shd w:val="clear" w:color="auto" w:fill="FF0000"/>
          </w:tcPr>
          <w:p w:rsidR="006D67F1" w:rsidRPr="002C224A" w:rsidRDefault="006D67F1" w:rsidP="0010532D">
            <w:pPr>
              <w:jc w:val="center"/>
              <w:rPr>
                <w:b/>
                <w:color w:val="FFFFFF"/>
                <w:sz w:val="20"/>
              </w:rPr>
            </w:pPr>
            <w:r w:rsidRPr="002C224A">
              <w:rPr>
                <w:b/>
                <w:color w:val="FFFFFF"/>
                <w:sz w:val="20"/>
              </w:rPr>
              <w:t>Ztráta části podílu ve společnosti</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Zatížení nového podniku dluhovou službou</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Vysoká administrativní náročnost – vysoké náklady na externí služby</w:t>
            </w:r>
          </w:p>
        </w:tc>
      </w:tr>
      <w:tr w:rsidR="006D67F1" w:rsidRPr="002C224A" w:rsidTr="00165EB0">
        <w:tblPrEx>
          <w:tblCellMar>
            <w:left w:w="108" w:type="dxa"/>
            <w:right w:w="108" w:type="dxa"/>
          </w:tblCellMar>
        </w:tblPrEx>
        <w:trPr>
          <w:trHeight w:val="735"/>
        </w:trPr>
        <w:tc>
          <w:tcPr>
            <w:tcW w:w="960" w:type="dxa"/>
            <w:vMerge/>
            <w:shd w:val="clear" w:color="auto" w:fill="FF0000"/>
          </w:tcPr>
          <w:p w:rsidR="006D67F1" w:rsidRPr="002C224A" w:rsidRDefault="006D67F1" w:rsidP="0010532D">
            <w:pPr>
              <w:jc w:val="left"/>
              <w:rPr>
                <w:b/>
                <w:bCs/>
                <w:color w:val="000000"/>
                <w:sz w:val="24"/>
                <w:szCs w:val="24"/>
              </w:rPr>
            </w:pPr>
          </w:p>
        </w:tc>
        <w:tc>
          <w:tcPr>
            <w:tcW w:w="960" w:type="dxa"/>
            <w:vMerge/>
            <w:shd w:val="clear" w:color="auto" w:fill="FF0000"/>
            <w:noWrap/>
            <w:textDirection w:val="btLr"/>
          </w:tcPr>
          <w:p w:rsidR="006D67F1" w:rsidRPr="002C224A" w:rsidRDefault="006D67F1" w:rsidP="0010532D">
            <w:pPr>
              <w:jc w:val="center"/>
              <w:rPr>
                <w:b/>
                <w:bCs/>
                <w:color w:val="000000"/>
                <w:sz w:val="24"/>
                <w:szCs w:val="24"/>
              </w:rPr>
            </w:pPr>
          </w:p>
        </w:tc>
        <w:tc>
          <w:tcPr>
            <w:tcW w:w="2414" w:type="dxa"/>
            <w:shd w:val="clear" w:color="auto" w:fill="FF0000"/>
          </w:tcPr>
          <w:p w:rsidR="006D67F1" w:rsidRPr="002C224A" w:rsidRDefault="006D67F1" w:rsidP="0010532D">
            <w:pPr>
              <w:jc w:val="center"/>
              <w:rPr>
                <w:b/>
                <w:color w:val="FFFFFF"/>
                <w:sz w:val="20"/>
              </w:rPr>
            </w:pPr>
            <w:r w:rsidRPr="002C224A">
              <w:rPr>
                <w:b/>
                <w:color w:val="FFFFFF"/>
                <w:sz w:val="20"/>
              </w:rPr>
              <w:t>Omezení ve vlastním řízení firmy</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Vysoký tlak na splácení a generování rychlých zisků</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Nutnost předfinancování – platba ex post</w:t>
            </w:r>
          </w:p>
        </w:tc>
      </w:tr>
      <w:tr w:rsidR="006D67F1" w:rsidRPr="002C224A" w:rsidTr="00165EB0">
        <w:tblPrEx>
          <w:tblCellMar>
            <w:left w:w="108" w:type="dxa"/>
            <w:right w:w="108" w:type="dxa"/>
          </w:tblCellMar>
        </w:tblPrEx>
        <w:trPr>
          <w:trHeight w:val="456"/>
        </w:trPr>
        <w:tc>
          <w:tcPr>
            <w:tcW w:w="960" w:type="dxa"/>
            <w:vMerge/>
            <w:shd w:val="clear" w:color="auto" w:fill="FF0000"/>
          </w:tcPr>
          <w:p w:rsidR="006D67F1" w:rsidRPr="002C224A" w:rsidRDefault="006D67F1" w:rsidP="0010532D">
            <w:pPr>
              <w:jc w:val="left"/>
              <w:rPr>
                <w:b/>
                <w:bCs/>
                <w:color w:val="000000"/>
                <w:sz w:val="24"/>
                <w:szCs w:val="24"/>
              </w:rPr>
            </w:pPr>
          </w:p>
        </w:tc>
        <w:tc>
          <w:tcPr>
            <w:tcW w:w="960" w:type="dxa"/>
            <w:vMerge/>
            <w:shd w:val="clear" w:color="auto" w:fill="FF0000"/>
            <w:noWrap/>
            <w:textDirection w:val="btLr"/>
          </w:tcPr>
          <w:p w:rsidR="006D67F1" w:rsidRPr="002C224A" w:rsidRDefault="006D67F1" w:rsidP="0010532D">
            <w:pPr>
              <w:jc w:val="center"/>
              <w:rPr>
                <w:b/>
                <w:bCs/>
                <w:color w:val="000000"/>
                <w:sz w:val="24"/>
                <w:szCs w:val="24"/>
              </w:rPr>
            </w:pPr>
          </w:p>
        </w:tc>
        <w:tc>
          <w:tcPr>
            <w:tcW w:w="2414" w:type="dxa"/>
            <w:shd w:val="clear" w:color="auto" w:fill="FF0000"/>
          </w:tcPr>
          <w:p w:rsidR="006D67F1" w:rsidRPr="002C224A" w:rsidRDefault="006D67F1" w:rsidP="0010532D">
            <w:pPr>
              <w:jc w:val="center"/>
              <w:rPr>
                <w:b/>
                <w:color w:val="FFFFFF"/>
                <w:sz w:val="20"/>
              </w:rPr>
            </w:pP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Nutnost ručení</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Riziko dodatečného odebrání dotace z důvodu chyb v projektu a nesplnění podmínek</w:t>
            </w:r>
          </w:p>
        </w:tc>
      </w:tr>
      <w:tr w:rsidR="006D67F1" w:rsidRPr="002C224A" w:rsidTr="00165EB0">
        <w:tblPrEx>
          <w:tblCellMar>
            <w:left w:w="108" w:type="dxa"/>
            <w:right w:w="108" w:type="dxa"/>
          </w:tblCellMar>
        </w:tblPrEx>
        <w:trPr>
          <w:trHeight w:val="735"/>
        </w:trPr>
        <w:tc>
          <w:tcPr>
            <w:tcW w:w="960" w:type="dxa"/>
            <w:vMerge/>
            <w:shd w:val="clear" w:color="auto" w:fill="FF0000"/>
          </w:tcPr>
          <w:p w:rsidR="006D67F1" w:rsidRPr="002C224A" w:rsidRDefault="006D67F1" w:rsidP="0010532D">
            <w:pPr>
              <w:jc w:val="left"/>
              <w:rPr>
                <w:b/>
                <w:bCs/>
                <w:color w:val="000000"/>
                <w:sz w:val="24"/>
                <w:szCs w:val="24"/>
              </w:rPr>
            </w:pPr>
          </w:p>
        </w:tc>
        <w:tc>
          <w:tcPr>
            <w:tcW w:w="960" w:type="dxa"/>
            <w:vMerge/>
            <w:shd w:val="clear" w:color="auto" w:fill="FF0000"/>
            <w:noWrap/>
            <w:textDirection w:val="btLr"/>
          </w:tcPr>
          <w:p w:rsidR="006D67F1" w:rsidRPr="002C224A" w:rsidRDefault="006D67F1" w:rsidP="0010532D">
            <w:pPr>
              <w:jc w:val="center"/>
              <w:rPr>
                <w:b/>
                <w:bCs/>
                <w:color w:val="000000"/>
                <w:sz w:val="24"/>
                <w:szCs w:val="24"/>
              </w:rPr>
            </w:pPr>
          </w:p>
        </w:tc>
        <w:tc>
          <w:tcPr>
            <w:tcW w:w="2414" w:type="dxa"/>
            <w:shd w:val="clear" w:color="auto" w:fill="FF0000"/>
          </w:tcPr>
          <w:p w:rsidR="006D67F1" w:rsidRPr="002C224A" w:rsidRDefault="006D67F1" w:rsidP="0010532D">
            <w:pPr>
              <w:jc w:val="center"/>
              <w:rPr>
                <w:b/>
                <w:color w:val="FFFFFF"/>
                <w:sz w:val="20"/>
              </w:rPr>
            </w:pPr>
          </w:p>
        </w:tc>
        <w:tc>
          <w:tcPr>
            <w:tcW w:w="2330" w:type="dxa"/>
            <w:shd w:val="clear" w:color="auto" w:fill="FF0000"/>
          </w:tcPr>
          <w:p w:rsidR="006D67F1" w:rsidRPr="002C224A" w:rsidRDefault="006D67F1" w:rsidP="0010532D">
            <w:pPr>
              <w:jc w:val="center"/>
              <w:rPr>
                <w:b/>
                <w:color w:val="FFFFFF"/>
                <w:sz w:val="20"/>
              </w:rPr>
            </w:pPr>
          </w:p>
        </w:tc>
        <w:tc>
          <w:tcPr>
            <w:tcW w:w="2330" w:type="dxa"/>
            <w:shd w:val="clear" w:color="auto" w:fill="FF0000"/>
          </w:tcPr>
          <w:p w:rsidR="006D67F1" w:rsidRPr="002C224A" w:rsidRDefault="00D558F7" w:rsidP="0010532D">
            <w:pPr>
              <w:jc w:val="center"/>
              <w:rPr>
                <w:b/>
                <w:color w:val="FFFFFF"/>
                <w:sz w:val="20"/>
              </w:rPr>
            </w:pPr>
            <w:r w:rsidRPr="002C224A">
              <w:rPr>
                <w:b/>
                <w:color w:val="FFFFFF"/>
                <w:sz w:val="20"/>
              </w:rPr>
              <w:t>Regulace výběrových řízení</w:t>
            </w:r>
          </w:p>
        </w:tc>
      </w:tr>
      <w:tr w:rsidR="006D67F1" w:rsidRPr="002C224A" w:rsidTr="00165EB0">
        <w:tblPrEx>
          <w:tblCellMar>
            <w:left w:w="108" w:type="dxa"/>
            <w:right w:w="108" w:type="dxa"/>
          </w:tblCellMar>
        </w:tblPrEx>
        <w:trPr>
          <w:trHeight w:val="735"/>
        </w:trPr>
        <w:tc>
          <w:tcPr>
            <w:tcW w:w="960" w:type="dxa"/>
            <w:vMerge/>
            <w:shd w:val="clear" w:color="auto" w:fill="FF0000"/>
          </w:tcPr>
          <w:p w:rsidR="006D67F1" w:rsidRPr="002C224A" w:rsidRDefault="006D67F1" w:rsidP="0010532D">
            <w:pPr>
              <w:jc w:val="left"/>
              <w:rPr>
                <w:b/>
                <w:bCs/>
                <w:color w:val="000000"/>
                <w:sz w:val="24"/>
                <w:szCs w:val="24"/>
              </w:rPr>
            </w:pPr>
          </w:p>
        </w:tc>
        <w:tc>
          <w:tcPr>
            <w:tcW w:w="960" w:type="dxa"/>
            <w:vMerge w:val="restart"/>
            <w:shd w:val="clear" w:color="auto" w:fill="FF0000"/>
            <w:noWrap/>
            <w:textDirection w:val="btLr"/>
          </w:tcPr>
          <w:p w:rsidR="006D67F1" w:rsidRPr="002C224A" w:rsidRDefault="006D67F1" w:rsidP="0010532D">
            <w:pPr>
              <w:jc w:val="center"/>
              <w:rPr>
                <w:b/>
                <w:bCs/>
                <w:color w:val="FFFFFF"/>
                <w:sz w:val="24"/>
                <w:szCs w:val="24"/>
              </w:rPr>
            </w:pPr>
            <w:r w:rsidRPr="002C224A">
              <w:rPr>
                <w:b/>
                <w:bCs/>
                <w:color w:val="FFFFFF"/>
                <w:sz w:val="24"/>
                <w:szCs w:val="24"/>
              </w:rPr>
              <w:t>ŘO</w:t>
            </w:r>
          </w:p>
        </w:tc>
        <w:tc>
          <w:tcPr>
            <w:tcW w:w="2414" w:type="dxa"/>
            <w:shd w:val="clear" w:color="auto" w:fill="FF0000"/>
          </w:tcPr>
          <w:p w:rsidR="006D67F1" w:rsidRPr="002C224A" w:rsidRDefault="006D67F1" w:rsidP="0010532D">
            <w:pPr>
              <w:jc w:val="center"/>
              <w:rPr>
                <w:b/>
                <w:color w:val="FFFFFF"/>
                <w:sz w:val="20"/>
              </w:rPr>
            </w:pPr>
            <w:r w:rsidRPr="002C224A">
              <w:rPr>
                <w:b/>
                <w:color w:val="FFFFFF"/>
                <w:sz w:val="20"/>
              </w:rPr>
              <w:t>Vysoké nároky na odborné řízení</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Nulový efekt na aktivizaci trhu PE – spíše vytěsňování</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Nenávratné výdaje</w:t>
            </w:r>
          </w:p>
        </w:tc>
      </w:tr>
      <w:tr w:rsidR="006D67F1" w:rsidRPr="002C224A" w:rsidTr="00165EB0">
        <w:tblPrEx>
          <w:tblCellMar>
            <w:left w:w="108" w:type="dxa"/>
            <w:right w:w="108" w:type="dxa"/>
          </w:tblCellMar>
        </w:tblPrEx>
        <w:trPr>
          <w:trHeight w:val="566"/>
        </w:trPr>
        <w:tc>
          <w:tcPr>
            <w:tcW w:w="960" w:type="dxa"/>
            <w:vMerge/>
          </w:tcPr>
          <w:p w:rsidR="006D67F1" w:rsidRPr="002C224A" w:rsidRDefault="006D67F1" w:rsidP="0010532D">
            <w:pPr>
              <w:jc w:val="left"/>
              <w:rPr>
                <w:b/>
                <w:bCs/>
                <w:color w:val="000000"/>
                <w:sz w:val="18"/>
                <w:szCs w:val="18"/>
              </w:rPr>
            </w:pPr>
          </w:p>
        </w:tc>
        <w:tc>
          <w:tcPr>
            <w:tcW w:w="960" w:type="dxa"/>
            <w:vMerge/>
            <w:noWrap/>
            <w:textDirection w:val="btLr"/>
          </w:tcPr>
          <w:p w:rsidR="006D67F1" w:rsidRPr="002C224A" w:rsidRDefault="006D67F1" w:rsidP="0010532D">
            <w:pPr>
              <w:jc w:val="center"/>
              <w:rPr>
                <w:b/>
                <w:bCs/>
                <w:color w:val="000000"/>
                <w:sz w:val="18"/>
                <w:szCs w:val="18"/>
              </w:rPr>
            </w:pPr>
          </w:p>
        </w:tc>
        <w:tc>
          <w:tcPr>
            <w:tcW w:w="2414" w:type="dxa"/>
            <w:shd w:val="clear" w:color="auto" w:fill="FF0000"/>
          </w:tcPr>
          <w:p w:rsidR="006D67F1" w:rsidRPr="002C224A" w:rsidRDefault="006D67F1" w:rsidP="0010532D">
            <w:pPr>
              <w:jc w:val="center"/>
              <w:rPr>
                <w:b/>
                <w:color w:val="FFFFFF"/>
                <w:sz w:val="20"/>
              </w:rPr>
            </w:pPr>
            <w:r w:rsidRPr="002C224A">
              <w:rPr>
                <w:b/>
                <w:color w:val="FFFFFF"/>
                <w:sz w:val="20"/>
              </w:rPr>
              <w:t>Velmi nejistý potenciál revolvingu</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Nízký revolving</w:t>
            </w:r>
          </w:p>
        </w:tc>
        <w:tc>
          <w:tcPr>
            <w:tcW w:w="2330" w:type="dxa"/>
            <w:shd w:val="clear" w:color="auto" w:fill="FF0000"/>
          </w:tcPr>
          <w:p w:rsidR="006D67F1" w:rsidRPr="002C224A" w:rsidRDefault="006D67F1" w:rsidP="0010532D">
            <w:pPr>
              <w:jc w:val="center"/>
              <w:rPr>
                <w:b/>
                <w:color w:val="FFFFFF"/>
                <w:sz w:val="20"/>
              </w:rPr>
            </w:pPr>
            <w:r w:rsidRPr="002C224A">
              <w:rPr>
                <w:b/>
                <w:color w:val="FFFFFF"/>
                <w:sz w:val="20"/>
              </w:rPr>
              <w:t>Nižší počet podpořených projektů</w:t>
            </w:r>
          </w:p>
        </w:tc>
      </w:tr>
      <w:tr w:rsidR="006D67F1" w:rsidRPr="002C224A" w:rsidTr="00165EB0">
        <w:tblPrEx>
          <w:tblCellMar>
            <w:left w:w="108" w:type="dxa"/>
            <w:right w:w="108" w:type="dxa"/>
          </w:tblCellMar>
        </w:tblPrEx>
        <w:trPr>
          <w:trHeight w:val="264"/>
        </w:trPr>
        <w:tc>
          <w:tcPr>
            <w:tcW w:w="960" w:type="dxa"/>
            <w:vMerge/>
            <w:shd w:val="clear" w:color="auto" w:fill="FF0000"/>
          </w:tcPr>
          <w:p w:rsidR="006D67F1" w:rsidRPr="002C224A" w:rsidRDefault="006D67F1" w:rsidP="009846E9">
            <w:pPr>
              <w:jc w:val="left"/>
              <w:rPr>
                <w:b/>
                <w:bCs/>
                <w:color w:val="000000"/>
                <w:sz w:val="18"/>
                <w:szCs w:val="18"/>
              </w:rPr>
            </w:pPr>
          </w:p>
        </w:tc>
        <w:tc>
          <w:tcPr>
            <w:tcW w:w="960" w:type="dxa"/>
            <w:vMerge/>
            <w:shd w:val="clear" w:color="auto" w:fill="FF0000"/>
            <w:noWrap/>
            <w:textDirection w:val="btLr"/>
          </w:tcPr>
          <w:p w:rsidR="006D67F1" w:rsidRPr="002C224A" w:rsidRDefault="006D67F1" w:rsidP="009846E9">
            <w:pPr>
              <w:jc w:val="center"/>
              <w:rPr>
                <w:b/>
                <w:bCs/>
                <w:color w:val="000000"/>
                <w:sz w:val="18"/>
                <w:szCs w:val="18"/>
              </w:rPr>
            </w:pPr>
          </w:p>
        </w:tc>
        <w:tc>
          <w:tcPr>
            <w:tcW w:w="2414" w:type="dxa"/>
            <w:shd w:val="clear" w:color="auto" w:fill="FF0000"/>
          </w:tcPr>
          <w:p w:rsidR="006D67F1" w:rsidRPr="002C224A" w:rsidRDefault="006D67F1" w:rsidP="009846E9">
            <w:pPr>
              <w:jc w:val="center"/>
              <w:rPr>
                <w:b/>
                <w:color w:val="FFFFFF"/>
                <w:sz w:val="20"/>
              </w:rPr>
            </w:pPr>
            <w:r w:rsidRPr="002C224A">
              <w:rPr>
                <w:b/>
                <w:color w:val="FFFFFF"/>
                <w:sz w:val="20"/>
              </w:rPr>
              <w:t>Delší čas nutný na přípravu, náklady implementace a správy</w:t>
            </w:r>
          </w:p>
        </w:tc>
        <w:tc>
          <w:tcPr>
            <w:tcW w:w="2330" w:type="dxa"/>
            <w:shd w:val="clear" w:color="auto" w:fill="FF0000"/>
          </w:tcPr>
          <w:p w:rsidR="006D67F1" w:rsidRPr="002C224A" w:rsidRDefault="006D67F1" w:rsidP="009846E9">
            <w:pPr>
              <w:jc w:val="center"/>
              <w:rPr>
                <w:b/>
                <w:color w:val="FFFFFF"/>
                <w:sz w:val="20"/>
              </w:rPr>
            </w:pPr>
            <w:r w:rsidRPr="002C224A">
              <w:rPr>
                <w:b/>
                <w:color w:val="FFFFFF"/>
                <w:sz w:val="20"/>
              </w:rPr>
              <w:t>Hrazení poplatků příjemci</w:t>
            </w:r>
          </w:p>
        </w:tc>
        <w:tc>
          <w:tcPr>
            <w:tcW w:w="2330" w:type="dxa"/>
            <w:shd w:val="clear" w:color="auto" w:fill="FF0000"/>
            <w:vAlign w:val="center"/>
          </w:tcPr>
          <w:p w:rsidR="006D67F1" w:rsidRPr="002C224A" w:rsidRDefault="006D67F1" w:rsidP="009846E9">
            <w:pPr>
              <w:keepNext/>
              <w:jc w:val="center"/>
              <w:rPr>
                <w:b/>
                <w:color w:val="FFFFFF"/>
                <w:sz w:val="20"/>
              </w:rPr>
            </w:pPr>
            <w:r w:rsidRPr="002C224A">
              <w:rPr>
                <w:b/>
                <w:color w:val="FFFFFF"/>
                <w:sz w:val="20"/>
              </w:rPr>
              <w:t>Nulový efekt na aktivizaci trhu PE – spíše vytěsňování</w:t>
            </w:r>
          </w:p>
        </w:tc>
      </w:tr>
      <w:tr w:rsidR="006D67F1" w:rsidRPr="002C224A" w:rsidTr="00165EB0">
        <w:tblPrEx>
          <w:tblCellMar>
            <w:left w:w="108" w:type="dxa"/>
            <w:right w:w="108" w:type="dxa"/>
          </w:tblCellMar>
        </w:tblPrEx>
        <w:trPr>
          <w:trHeight w:val="264"/>
        </w:trPr>
        <w:tc>
          <w:tcPr>
            <w:tcW w:w="960" w:type="dxa"/>
            <w:vMerge/>
          </w:tcPr>
          <w:p w:rsidR="006D67F1" w:rsidRPr="002C224A" w:rsidRDefault="006D67F1" w:rsidP="009846E9">
            <w:pPr>
              <w:jc w:val="left"/>
              <w:rPr>
                <w:b/>
                <w:bCs/>
                <w:color w:val="000000"/>
                <w:sz w:val="18"/>
                <w:szCs w:val="18"/>
              </w:rPr>
            </w:pPr>
          </w:p>
        </w:tc>
        <w:tc>
          <w:tcPr>
            <w:tcW w:w="960" w:type="dxa"/>
            <w:vMerge/>
            <w:noWrap/>
            <w:textDirection w:val="btLr"/>
          </w:tcPr>
          <w:p w:rsidR="006D67F1" w:rsidRPr="002C224A" w:rsidRDefault="006D67F1" w:rsidP="009846E9">
            <w:pPr>
              <w:jc w:val="center"/>
              <w:rPr>
                <w:b/>
                <w:bCs/>
                <w:color w:val="000000"/>
                <w:sz w:val="18"/>
                <w:szCs w:val="18"/>
              </w:rPr>
            </w:pPr>
          </w:p>
        </w:tc>
        <w:tc>
          <w:tcPr>
            <w:tcW w:w="2414" w:type="dxa"/>
            <w:shd w:val="clear" w:color="auto" w:fill="FF0000"/>
          </w:tcPr>
          <w:p w:rsidR="006D67F1" w:rsidRPr="002C224A" w:rsidRDefault="006D67F1" w:rsidP="009846E9">
            <w:pPr>
              <w:jc w:val="center"/>
              <w:rPr>
                <w:b/>
                <w:color w:val="FFFFFF"/>
                <w:sz w:val="20"/>
              </w:rPr>
            </w:pPr>
          </w:p>
        </w:tc>
        <w:tc>
          <w:tcPr>
            <w:tcW w:w="2330" w:type="dxa"/>
            <w:shd w:val="clear" w:color="auto" w:fill="FF0000"/>
          </w:tcPr>
          <w:p w:rsidR="006D67F1" w:rsidRPr="002C224A" w:rsidRDefault="006D67F1" w:rsidP="009846E9">
            <w:pPr>
              <w:jc w:val="center"/>
              <w:rPr>
                <w:b/>
                <w:color w:val="FFFFFF"/>
                <w:sz w:val="20"/>
              </w:rPr>
            </w:pPr>
          </w:p>
        </w:tc>
        <w:tc>
          <w:tcPr>
            <w:tcW w:w="2330" w:type="dxa"/>
            <w:shd w:val="clear" w:color="auto" w:fill="FF0000"/>
          </w:tcPr>
          <w:p w:rsidR="006D67F1" w:rsidRPr="002C224A" w:rsidRDefault="006D67F1" w:rsidP="009846E9">
            <w:pPr>
              <w:keepNext/>
              <w:jc w:val="center"/>
              <w:rPr>
                <w:b/>
                <w:color w:val="FFFFFF"/>
                <w:sz w:val="20"/>
              </w:rPr>
            </w:pPr>
            <w:r w:rsidRPr="002C224A">
              <w:rPr>
                <w:b/>
                <w:color w:val="FFFFFF"/>
                <w:sz w:val="20"/>
              </w:rPr>
              <w:t>Pomalejší čerpání</w:t>
            </w:r>
          </w:p>
        </w:tc>
      </w:tr>
    </w:tbl>
    <w:p w:rsidR="006D67F1" w:rsidRPr="002C224A" w:rsidRDefault="006D67F1" w:rsidP="00795173">
      <w:pPr>
        <w:pStyle w:val="Titulek"/>
      </w:pPr>
      <w:r w:rsidRPr="002C224A">
        <w:lastRenderedPageBreak/>
        <w:t>Tabulka</w:t>
      </w:r>
      <w:r w:rsidR="007E1B4D">
        <w:t xml:space="preserve"> </w:t>
      </w:r>
      <w:r w:rsidR="00582262" w:rsidRPr="002C224A">
        <w:t>3</w:t>
      </w:r>
      <w:r w:rsidR="00BD640F">
        <w:t>9</w:t>
      </w:r>
      <w:r w:rsidRPr="002C224A">
        <w:t>: Přidaná hodnota, Nevýhody, problémy a rizika veřejné podpory pro příjemce a ŘO</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729"/>
        <w:gridCol w:w="2694"/>
        <w:gridCol w:w="2268"/>
        <w:gridCol w:w="2268"/>
      </w:tblGrid>
      <w:tr w:rsidR="006D67F1" w:rsidRPr="002C224A" w:rsidTr="00B03681">
        <w:tc>
          <w:tcPr>
            <w:tcW w:w="1729" w:type="dxa"/>
            <w:shd w:val="clear" w:color="auto" w:fill="548DD4"/>
            <w:vAlign w:val="center"/>
          </w:tcPr>
          <w:p w:rsidR="006D67F1" w:rsidRPr="002C224A" w:rsidRDefault="006D67F1" w:rsidP="00B03681">
            <w:pPr>
              <w:pStyle w:val="Highlight2"/>
              <w:jc w:val="center"/>
              <w:rPr>
                <w:rFonts w:ascii="Calibri" w:hAnsi="Calibri" w:cs="Calibri"/>
                <w:color w:val="FFFFFF"/>
                <w:sz w:val="22"/>
                <w:szCs w:val="22"/>
              </w:rPr>
            </w:pPr>
            <w:r w:rsidRPr="002C224A">
              <w:rPr>
                <w:rFonts w:ascii="Calibri" w:hAnsi="Calibri" w:cs="Calibri"/>
                <w:color w:val="FFFFFF"/>
                <w:sz w:val="22"/>
                <w:szCs w:val="22"/>
                <w:lang w:eastAsia="cs-CZ"/>
              </w:rPr>
              <w:t>Tržní selhání</w:t>
            </w:r>
          </w:p>
        </w:tc>
        <w:tc>
          <w:tcPr>
            <w:tcW w:w="2694" w:type="dxa"/>
            <w:shd w:val="clear" w:color="auto" w:fill="548DD4"/>
            <w:vAlign w:val="center"/>
          </w:tcPr>
          <w:p w:rsidR="006D67F1" w:rsidRPr="002C224A" w:rsidRDefault="006D67F1" w:rsidP="00B03681">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Kapitálové vstupy</w:t>
            </w:r>
          </w:p>
        </w:tc>
        <w:tc>
          <w:tcPr>
            <w:tcW w:w="2268" w:type="dxa"/>
            <w:shd w:val="clear" w:color="auto" w:fill="548DD4"/>
            <w:vAlign w:val="center"/>
          </w:tcPr>
          <w:p w:rsidR="006D67F1" w:rsidRPr="002C224A" w:rsidRDefault="006D67F1" w:rsidP="00B03681">
            <w:pPr>
              <w:pStyle w:val="Highlight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268" w:type="dxa"/>
            <w:shd w:val="clear" w:color="auto" w:fill="548DD4"/>
            <w:vAlign w:val="center"/>
          </w:tcPr>
          <w:p w:rsidR="006D67F1" w:rsidRPr="002C224A" w:rsidRDefault="006D67F1" w:rsidP="00B03681">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B03681">
        <w:trPr>
          <w:trHeight w:val="793"/>
        </w:trPr>
        <w:tc>
          <w:tcPr>
            <w:tcW w:w="1729" w:type="dxa"/>
            <w:shd w:val="clear" w:color="auto" w:fill="FFFFFF"/>
            <w:vAlign w:val="center"/>
          </w:tcPr>
          <w:p w:rsidR="006D67F1" w:rsidRPr="002C224A" w:rsidRDefault="006D67F1" w:rsidP="00B03681">
            <w:pPr>
              <w:pStyle w:val="Highlight2"/>
              <w:jc w:val="left"/>
              <w:rPr>
                <w:rFonts w:ascii="Calibri" w:hAnsi="Calibri" w:cs="Calibri"/>
              </w:rPr>
            </w:pPr>
            <w:r w:rsidRPr="002C224A">
              <w:rPr>
                <w:rFonts w:ascii="Calibri" w:hAnsi="Calibri" w:cs="Calibri"/>
                <w:bCs/>
                <w:color w:val="000000"/>
                <w:lang w:eastAsia="cs-CZ"/>
              </w:rPr>
              <w:t>Přístup k financování inovativních startupů</w:t>
            </w:r>
          </w:p>
        </w:tc>
        <w:tc>
          <w:tcPr>
            <w:tcW w:w="2694"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Kapitálový vstup investora přináší flexibilní prostředky na rozvoj podnikání</w:t>
            </w: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Částečné zpřístupnění financování, avšak ne pro vysoce rizikové podniky, obecně seed fázi</w:t>
            </w:r>
          </w:p>
          <w:p w:rsidR="006D67F1" w:rsidRPr="002C224A" w:rsidRDefault="006D67F1" w:rsidP="00B03681">
            <w:pPr>
              <w:pStyle w:val="Highlight2"/>
              <w:jc w:val="center"/>
              <w:rPr>
                <w:rFonts w:ascii="Calibri" w:hAnsi="Calibri" w:cs="Calibri"/>
                <w:b w:val="0"/>
              </w:rPr>
            </w:pPr>
            <w:r w:rsidRPr="002C224A">
              <w:rPr>
                <w:rFonts w:ascii="Calibri" w:hAnsi="Calibri" w:cs="Calibri"/>
                <w:b w:val="0"/>
                <w:color w:val="000000"/>
                <w:lang w:eastAsia="cs-CZ"/>
              </w:rPr>
              <w:t>Prostředky s nutností splácení, snížení nákladů na úroky</w:t>
            </w: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Nevratné prostředky, avšak s nutností předfinancování a spolufinancování</w:t>
            </w:r>
          </w:p>
        </w:tc>
      </w:tr>
      <w:tr w:rsidR="006D67F1" w:rsidRPr="002C224A" w:rsidTr="00B03681">
        <w:trPr>
          <w:trHeight w:val="1521"/>
        </w:trPr>
        <w:tc>
          <w:tcPr>
            <w:tcW w:w="1729" w:type="dxa"/>
            <w:shd w:val="clear" w:color="auto" w:fill="FFFFFF"/>
            <w:vAlign w:val="center"/>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t>Odborné vedení projektu, know-how a kontakty</w:t>
            </w:r>
          </w:p>
        </w:tc>
        <w:tc>
          <w:tcPr>
            <w:tcW w:w="2694"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Rizikové investice zpravidla přinášejí tzv. smartmoney – know-how zkušených podnikatelů i kontakty. Možnost preferenčního přístupu ke službám CI</w:t>
            </w: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Bankovní subjekty se neangažují v rozvoji podniku</w:t>
            </w: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Nemá vliv na vedení projektu, výjimkou příspěvek na odborné poradenství</w:t>
            </w:r>
          </w:p>
        </w:tc>
      </w:tr>
      <w:tr w:rsidR="006D67F1" w:rsidRPr="002C224A" w:rsidTr="00B03681">
        <w:trPr>
          <w:trHeight w:val="1521"/>
        </w:trPr>
        <w:tc>
          <w:tcPr>
            <w:tcW w:w="1729" w:type="dxa"/>
            <w:shd w:val="clear" w:color="auto" w:fill="FFFFFF"/>
            <w:vAlign w:val="center"/>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t>Riziko projektu</w:t>
            </w:r>
          </w:p>
        </w:tc>
        <w:tc>
          <w:tcPr>
            <w:tcW w:w="2694"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Investiční výběr počítá s vysokým rizikem, avšak vybírá potenciální velmi nadějné a životaschopné projekty</w:t>
            </w: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Veřejný kapitál a preferenční nastavení vůči soukromému koinvestorovi umožňují snížit averzi investora k riziku</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Kvůli riziku projektů je i úvěrovatelnost omezená, neřeší problém</w:t>
            </w:r>
          </w:p>
          <w:p w:rsidR="006D67F1" w:rsidRPr="002C224A" w:rsidRDefault="006D67F1" w:rsidP="00B03681">
            <w:pPr>
              <w:pStyle w:val="Highlight2"/>
              <w:jc w:val="center"/>
              <w:rPr>
                <w:rFonts w:ascii="Calibri" w:hAnsi="Calibri" w:cs="Calibri"/>
                <w:b w:val="0"/>
                <w:color w:val="000000"/>
                <w:lang w:eastAsia="cs-CZ"/>
              </w:rPr>
            </w:pP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Zlepšením ekonomických parametrů projektu snižuje riziko defaultu. </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E05E2D" w:rsidP="00B03681">
            <w:pPr>
              <w:pStyle w:val="Highlight2"/>
              <w:jc w:val="center"/>
              <w:rPr>
                <w:rFonts w:ascii="Calibri" w:hAnsi="Calibri" w:cs="Calibri"/>
                <w:b w:val="0"/>
                <w:color w:val="000000"/>
                <w:lang w:eastAsia="cs-CZ"/>
              </w:rPr>
            </w:pPr>
            <w:r>
              <w:rPr>
                <w:rFonts w:ascii="Calibri" w:hAnsi="Calibri" w:cs="Calibri"/>
                <w:b w:val="0"/>
                <w:color w:val="000000"/>
                <w:lang w:eastAsia="cs-CZ"/>
              </w:rPr>
              <w:t>Konečný příjemce přebírá riziko jen</w:t>
            </w:r>
            <w:r w:rsidR="006D67F1" w:rsidRPr="002C224A">
              <w:rPr>
                <w:rFonts w:ascii="Calibri" w:hAnsi="Calibri" w:cs="Calibri"/>
                <w:b w:val="0"/>
                <w:color w:val="000000"/>
                <w:lang w:eastAsia="cs-CZ"/>
              </w:rPr>
              <w:t xml:space="preserve"> do výše spoluúčasti způsobilých a nezpůsobilých nákladů.</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Efekt limitován rizikem odebráním dotace</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rPr>
              <w:t xml:space="preserve"> ŘO má předem dané ztráty do absolutní výše dotace.</w:t>
            </w:r>
          </w:p>
        </w:tc>
      </w:tr>
      <w:tr w:rsidR="006D67F1" w:rsidRPr="002C224A" w:rsidTr="00B03681">
        <w:trPr>
          <w:trHeight w:val="1474"/>
        </w:trPr>
        <w:tc>
          <w:tcPr>
            <w:tcW w:w="1729" w:type="dxa"/>
            <w:shd w:val="clear" w:color="auto" w:fill="FFFFFF"/>
            <w:vAlign w:val="center"/>
          </w:tcPr>
          <w:p w:rsidR="006D67F1" w:rsidRPr="002C224A" w:rsidRDefault="006D67F1" w:rsidP="00E45795">
            <w:pPr>
              <w:rPr>
                <w:sz w:val="19"/>
              </w:rPr>
            </w:pPr>
            <w:r w:rsidRPr="002C224A">
              <w:rPr>
                <w:b/>
                <w:sz w:val="20"/>
              </w:rPr>
              <w:t>Celkový efekt na Investiční aktivitu a absorpci v SC</w:t>
            </w:r>
          </w:p>
        </w:tc>
        <w:tc>
          <w:tcPr>
            <w:tcW w:w="2694" w:type="dxa"/>
            <w:shd w:val="clear" w:color="auto" w:fill="FFFFFF"/>
            <w:vAlign w:val="center"/>
          </w:tcPr>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Pozitivní efekt zpřístupnění rizikového kapitálu nadějným podnikům</w:t>
            </w:r>
          </w:p>
          <w:p w:rsidR="006D67F1" w:rsidRPr="002C224A" w:rsidRDefault="006D67F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Forma podpory a podmínka spolupráce se soukromými investory zaručuje aktivizaci soukromého kapitálu a vliv na zvýšení počtu kvalifikovaných poskytovatelů VC</w:t>
            </w:r>
          </w:p>
          <w:p w:rsidR="006D67F1" w:rsidRPr="002C224A" w:rsidRDefault="006D67F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Hlavní cílový efektem je</w:t>
            </w:r>
          </w:p>
          <w:p w:rsidR="006D67F1" w:rsidRPr="002C224A" w:rsidRDefault="006D67F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rozvoj celého trhu VC v cílových segmentech a širší zpřístupnění financování pro startupy</w:t>
            </w:r>
          </w:p>
        </w:tc>
        <w:tc>
          <w:tcPr>
            <w:tcW w:w="2268" w:type="dxa"/>
            <w:shd w:val="clear" w:color="auto" w:fill="FFFFFF"/>
            <w:vAlign w:val="center"/>
          </w:tcPr>
          <w:p w:rsidR="006D67F1" w:rsidRPr="002C224A" w:rsidRDefault="006D67F1" w:rsidP="00E45795">
            <w:pPr>
              <w:rPr>
                <w:b/>
                <w:sz w:val="19"/>
              </w:rPr>
            </w:pPr>
            <w:r w:rsidRPr="002C224A">
              <w:rPr>
                <w:sz w:val="20"/>
              </w:rPr>
              <w:t>Jen omezený efekt na efektivní přístup inovativních startupů k potřebnému druhu financování, nízká proveditelnost pro projekty v early</w:t>
            </w:r>
            <w:r w:rsidR="00FC2DC1" w:rsidRPr="002C224A">
              <w:rPr>
                <w:sz w:val="20"/>
              </w:rPr>
              <w:t xml:space="preserve"> </w:t>
            </w:r>
            <w:r w:rsidRPr="002C224A">
              <w:rPr>
                <w:sz w:val="20"/>
              </w:rPr>
              <w:t>stage fázi</w:t>
            </w:r>
          </w:p>
        </w:tc>
        <w:tc>
          <w:tcPr>
            <w:tcW w:w="2268" w:type="dxa"/>
            <w:shd w:val="clear" w:color="auto" w:fill="FFFFFF"/>
            <w:vAlign w:val="center"/>
          </w:tcPr>
          <w:p w:rsidR="006D67F1" w:rsidRPr="002C224A" w:rsidRDefault="006D67F1" w:rsidP="00E45795">
            <w:pPr>
              <w:rPr>
                <w:color w:val="000000"/>
                <w:sz w:val="20"/>
              </w:rPr>
            </w:pPr>
            <w:r w:rsidRPr="002C224A">
              <w:rPr>
                <w:color w:val="000000"/>
                <w:sz w:val="20"/>
              </w:rPr>
              <w:t>Neefektivní druh podpory z hlediska výběru udržitelných projektů a podpory jejich konkurenceschopnosti, nízká aktivizace soukromého sektoru, vytěsňování soukromých investic</w:t>
            </w:r>
          </w:p>
          <w:p w:rsidR="006D67F1" w:rsidRPr="002C224A" w:rsidRDefault="006D67F1" w:rsidP="00E45795">
            <w:pPr>
              <w:rPr>
                <w:color w:val="000000"/>
                <w:sz w:val="20"/>
              </w:rPr>
            </w:pPr>
          </w:p>
          <w:p w:rsidR="006D67F1" w:rsidRPr="002C224A" w:rsidRDefault="006D67F1" w:rsidP="00E45795">
            <w:pPr>
              <w:rPr>
                <w:b/>
                <w:color w:val="000000"/>
                <w:sz w:val="19"/>
              </w:rPr>
            </w:pPr>
          </w:p>
        </w:tc>
      </w:tr>
      <w:tr w:rsidR="006D67F1" w:rsidRPr="002C224A" w:rsidTr="00B03681">
        <w:tc>
          <w:tcPr>
            <w:tcW w:w="1729" w:type="dxa"/>
            <w:shd w:val="clear" w:color="auto" w:fill="FFFFFF"/>
            <w:vAlign w:val="center"/>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t>Efekt na narušení tržního prostředí</w:t>
            </w:r>
          </w:p>
        </w:tc>
        <w:tc>
          <w:tcPr>
            <w:tcW w:w="2694"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Při správném nastavení podporuje rozvoj soukromého PE trhu. Riziko existuje v případě neodborného výběru projektů a příliš velké alokace – zaplavení malého trhu neodborně rozdělovaným veřejným kapitálem může mít vážné důsledky na tržní efektivitu</w:t>
            </w: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Malý vliv na tržní prostředí, návratná podpora motivuje ekonomicky efektivní počínání subjektů</w:t>
            </w: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Doplnění soukromého finančního trhu</w:t>
            </w:r>
          </w:p>
        </w:tc>
        <w:tc>
          <w:tcPr>
            <w:tcW w:w="2268" w:type="dxa"/>
            <w:shd w:val="clear" w:color="auto" w:fill="FFFFFF"/>
            <w:vAlign w:val="center"/>
          </w:tcPr>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Narušuje tržní prostředí neadekvátní podporou a vytěsňováním soukromého financování</w:t>
            </w:r>
          </w:p>
          <w:p w:rsidR="006D67F1" w:rsidRPr="002C224A" w:rsidRDefault="006D67F1" w:rsidP="00B03681">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Podpoření i méně kvalitních projektů bez potenciálu udržitelnosti a ziskovosti – omezení efektivnosti trhu</w:t>
            </w:r>
          </w:p>
        </w:tc>
      </w:tr>
    </w:tbl>
    <w:p w:rsidR="006D67F1" w:rsidRPr="002C224A" w:rsidRDefault="006D67F1" w:rsidP="00B47049">
      <w:pPr>
        <w:pStyle w:val="Titulek"/>
      </w:pPr>
      <w:r w:rsidRPr="002C224A">
        <w:t xml:space="preserve">Tabulka </w:t>
      </w:r>
      <w:r w:rsidR="00BD640F">
        <w:t>40</w:t>
      </w:r>
      <w:r w:rsidRPr="002C224A">
        <w:t>– Přidaná hodnota podpory pro cíle SC 2.1 (začínající inovativní MSP) OP PIK a vliv na tržní prostředí</w:t>
      </w:r>
    </w:p>
    <w:p w:rsidR="006D67F1" w:rsidRPr="00A50943" w:rsidRDefault="006D67F1" w:rsidP="008671F3">
      <w:pPr>
        <w:pStyle w:val="Neslovannadpisy"/>
        <w:rPr>
          <w:lang w:eastAsia="en-US"/>
        </w:rPr>
      </w:pPr>
    </w:p>
    <w:p w:rsidR="006D67F1" w:rsidRPr="002C224A" w:rsidRDefault="006D67F1">
      <w:pPr>
        <w:rPr>
          <w:b/>
        </w:rPr>
      </w:pPr>
      <w:r w:rsidRPr="002C224A">
        <w:rPr>
          <w:lang w:eastAsia="en-US"/>
        </w:rPr>
        <w:lastRenderedPageBreak/>
        <w:t>Pro rozvoj inovativních firem ve fázi early</w:t>
      </w:r>
      <w:r w:rsidR="00FC2DC1" w:rsidRPr="002C224A">
        <w:rPr>
          <w:lang w:eastAsia="en-US"/>
        </w:rPr>
        <w:t xml:space="preserve"> </w:t>
      </w:r>
      <w:r w:rsidRPr="002C224A">
        <w:rPr>
          <w:lang w:eastAsia="en-US"/>
        </w:rPr>
        <w:t>stage je podpora kapitálovými vstupy nejefektivnějším nástrojem z hlediska potenciálu úspěchu projektů i rozvoje celého odvětví jejich financování. Rizikem je především nutnost odborného řízení nástroje a případné negativní důsledky na tržní prostředí v případě jeho absence a nadproporční alokace.</w:t>
      </w:r>
    </w:p>
    <w:p w:rsidR="006D67F1" w:rsidRPr="002C224A" w:rsidDel="00364968" w:rsidRDefault="006D67F1" w:rsidP="008B3649"/>
    <w:p w:rsidR="006D67F1" w:rsidRPr="002C224A" w:rsidRDefault="006D67F1" w:rsidP="00063A4C">
      <w:pPr>
        <w:pStyle w:val="Nadpis4"/>
        <w:rPr>
          <w:rFonts w:ascii="Calibri" w:hAnsi="Calibri"/>
        </w:rPr>
      </w:pPr>
      <w:r w:rsidRPr="002C224A">
        <w:rPr>
          <w:rFonts w:ascii="Calibri" w:hAnsi="Calibri"/>
        </w:rPr>
        <w:t>Soulad s jinými formami veřejných intervencí</w:t>
      </w:r>
    </w:p>
    <w:p w:rsidR="006D67F1" w:rsidRPr="002C224A" w:rsidRDefault="006D67F1" w:rsidP="002433DA">
      <w:r w:rsidRPr="002C224A">
        <w:rPr>
          <w:noProof/>
        </w:rPr>
        <w:t xml:space="preserve">Podporu </w:t>
      </w:r>
      <w:r w:rsidRPr="002C224A">
        <w:t>kapitálových vstupů rizikového kapitálu je třeba vnímat v širším kontextu potřeb rozvoje inovační firmy. Podpora tak navazuje zejména na podporu proof-of-concept, ale i podporu specializovaných poradenských služeb, které firmám pomohou společně s prostředky od investorů posunout se do další fáze podnikání (programy OP</w:t>
      </w:r>
      <w:r w:rsidR="002D09B7" w:rsidRPr="002C224A">
        <w:t xml:space="preserve"> </w:t>
      </w:r>
      <w:r w:rsidRPr="002C224A">
        <w:t>PIK Služby infrastruktury, Poradenství a Marketing).</w:t>
      </w:r>
    </w:p>
    <w:p w:rsidR="006D67F1" w:rsidRPr="002C224A" w:rsidRDefault="006D67F1" w:rsidP="002433DA"/>
    <w:p w:rsidR="006D67F1" w:rsidRPr="002C224A" w:rsidRDefault="006D67F1" w:rsidP="002433DA">
      <w:pPr>
        <w:rPr>
          <w:bCs/>
        </w:rPr>
      </w:pPr>
      <w:r w:rsidRPr="002C224A">
        <w:t>Klíčovou komplementaritou je pak provázanost s podporou kapitálových vstupů poskytovanou MHMP prostřednictvím OPPPR. Vzhledem k omezené velikosti českého trhu je zahrnutí rovněž podpory z hlavního města Prahy klíčové, vzhledem k omezením OP PIK však může být provedeno pouze formou spolupráce obou programů. Jednoznačným doporučením předběžného posouzení FN OP</w:t>
      </w:r>
      <w:r w:rsidR="002D09B7" w:rsidRPr="002C224A">
        <w:t xml:space="preserve"> </w:t>
      </w:r>
      <w:r w:rsidRPr="002C224A">
        <w:t>PIK je proto vytvoření jednotného systému podpory kapitálových vstupů, který bude využitelný pro firmy a investory z celé České republiky.</w:t>
      </w:r>
    </w:p>
    <w:p w:rsidR="006D67F1" w:rsidRPr="002C224A" w:rsidRDefault="006D67F1" w:rsidP="002433DA">
      <w:pPr>
        <w:rPr>
          <w:bCs/>
        </w:rPr>
      </w:pPr>
    </w:p>
    <w:p w:rsidR="006D67F1" w:rsidRPr="002C224A" w:rsidRDefault="006D67F1" w:rsidP="002433DA">
      <w:pPr>
        <w:rPr>
          <w:bCs/>
        </w:rPr>
      </w:pPr>
      <w:r w:rsidRPr="002C224A">
        <w:t>Lze vnímat i komplementaritu s uvažovaným Středoevropským fondem fondů EIF,</w:t>
      </w:r>
      <w:r w:rsidR="00CF5519" w:rsidRPr="002C224A">
        <w:t xml:space="preserve"> </w:t>
      </w:r>
      <w:r w:rsidRPr="002C224A">
        <w:t>který by umožnil firmám v navazujících fázích later</w:t>
      </w:r>
      <w:r w:rsidR="00FC2DC1" w:rsidRPr="002C224A">
        <w:t xml:space="preserve"> </w:t>
      </w:r>
      <w:r w:rsidRPr="002C224A">
        <w:t>stage a growth</w:t>
      </w:r>
      <w:r w:rsidR="00FC2DC1" w:rsidRPr="002C224A">
        <w:t xml:space="preserve"> </w:t>
      </w:r>
      <w:r w:rsidRPr="002C224A">
        <w:t>stage kapitálu získat prostředky na další rozvoj, přičemž je v jednání zapojení vedle České republiky též Slovenska, Maďarska, Rakouska a Slovinska.</w:t>
      </w:r>
    </w:p>
    <w:p w:rsidR="006D67F1" w:rsidRPr="002C224A" w:rsidRDefault="006D67F1" w:rsidP="002433DA">
      <w:pPr>
        <w:rPr>
          <w:bCs/>
        </w:rPr>
      </w:pPr>
    </w:p>
    <w:p w:rsidR="006D67F1" w:rsidRPr="002C224A" w:rsidRDefault="006D67F1" w:rsidP="003C3B8D">
      <w:pPr>
        <w:rPr>
          <w:lang w:eastAsia="en-US"/>
        </w:rPr>
      </w:pPr>
      <w:r w:rsidRPr="002C224A">
        <w:rPr>
          <w:lang w:eastAsia="en-US"/>
        </w:rPr>
        <w:t>Důležitou komplementaritu představuje také možnost zapojení Investičního plánu pro Evropu a Evropského fondu pro strategické investice.</w:t>
      </w:r>
    </w:p>
    <w:p w:rsidR="006D67F1" w:rsidRPr="002C224A" w:rsidRDefault="006D67F1" w:rsidP="00063A4C">
      <w:pPr>
        <w:pStyle w:val="Nadpis4"/>
        <w:rPr>
          <w:rFonts w:ascii="Calibri" w:hAnsi="Calibri"/>
        </w:rPr>
      </w:pPr>
      <w:r w:rsidRPr="002C224A">
        <w:rPr>
          <w:rFonts w:ascii="Calibri" w:hAnsi="Calibri"/>
        </w:rPr>
        <w:t>Možné řešení veřejné podpory</w:t>
      </w:r>
    </w:p>
    <w:p w:rsidR="006D67F1" w:rsidRPr="002C224A" w:rsidRDefault="006701AB" w:rsidP="00063A4C">
      <w:r w:rsidRPr="002C224A">
        <w:t xml:space="preserve">Veřejná podpora je v případě úvěrů a záruk předpokládána pouze na úrovni konečných příjemců. </w:t>
      </w:r>
      <w:r w:rsidR="006D67F1" w:rsidRPr="002C224A">
        <w:t>Pro finanční nástroje zvýhodněných úvěrů a záruk vstupů lze řešit veřejnou podporu využitím pravidla de minimis nebo ustanovení Obecného nařízení o blokových výjimkách č. 651/2014.</w:t>
      </w:r>
    </w:p>
    <w:p w:rsidR="006D67F1" w:rsidRPr="002C224A" w:rsidRDefault="006D67F1" w:rsidP="00063A4C"/>
    <w:p w:rsidR="006D67F1" w:rsidRPr="002C224A" w:rsidRDefault="006701AB" w:rsidP="00063A4C">
      <w:r w:rsidRPr="002C224A">
        <w:t xml:space="preserve">V případě rizikového kapitálu je předpokládána veřejná podpora na úrovni konečných příjemců a soukromých investorů. </w:t>
      </w:r>
      <w:r w:rsidR="006D67F1" w:rsidRPr="002C224A">
        <w:t>Pro finanční nástroj kapitálových vstupů lze řešit veřejnou podporu využitím ustanovení Obecného nařízení o blokových výjimkách č. 651/2014.</w:t>
      </w:r>
      <w:r w:rsidRPr="002C224A">
        <w:t xml:space="preserve"> V případě soukromých investorů je předpokládána veřejná podpora ve formě preferenčního odměňování (nadproporční dělba zisku) rovněž podle Obecného nařízení o blokových výjimkách.</w:t>
      </w:r>
    </w:p>
    <w:p w:rsidR="006D67F1" w:rsidRPr="002C224A" w:rsidDel="00364968" w:rsidRDefault="006D67F1" w:rsidP="002433DA"/>
    <w:p w:rsidR="006D67F1" w:rsidRPr="002C224A" w:rsidRDefault="006D67F1" w:rsidP="00875E68">
      <w:pPr>
        <w:pStyle w:val="Nadpis3"/>
        <w:rPr>
          <w:rFonts w:ascii="Calibri" w:hAnsi="Calibri"/>
        </w:rPr>
      </w:pPr>
      <w:bookmarkStart w:id="807" w:name="_Toc421534289"/>
      <w:r w:rsidRPr="002C224A">
        <w:rPr>
          <w:rFonts w:ascii="Calibri" w:hAnsi="Calibri"/>
        </w:rPr>
        <w:t>Odhad dodatečných veřejných a soukromých zdrojů</w:t>
      </w:r>
      <w:bookmarkEnd w:id="807"/>
    </w:p>
    <w:p w:rsidR="006D67F1" w:rsidRPr="002C224A" w:rsidRDefault="006D67F1" w:rsidP="00D123F0">
      <w:pPr>
        <w:pStyle w:val="Nadpis4"/>
        <w:rPr>
          <w:rFonts w:ascii="Calibri" w:hAnsi="Calibri"/>
        </w:rPr>
      </w:pPr>
      <w:r w:rsidRPr="002C224A">
        <w:rPr>
          <w:rFonts w:ascii="Calibri" w:hAnsi="Calibri"/>
        </w:rPr>
        <w:t>Spolufinancování ze soukromých zdrojů až na úroveň konečného příjemce</w:t>
      </w:r>
    </w:p>
    <w:p w:rsidR="006D67F1" w:rsidRPr="00A50943" w:rsidRDefault="006D67F1" w:rsidP="00D123F0">
      <w:r w:rsidRPr="00A50943">
        <w:t>Nástroj ve formě záruk předpokládá zapojení soukromých zdrojů ve formě zaručených komerčních úvěrů.</w:t>
      </w:r>
    </w:p>
    <w:p w:rsidR="006D67F1" w:rsidRPr="002C224A" w:rsidRDefault="006D67F1" w:rsidP="00D123F0"/>
    <w:p w:rsidR="006D67F1" w:rsidRPr="002C224A" w:rsidRDefault="006D67F1" w:rsidP="00D123F0">
      <w:r w:rsidRPr="002C224A">
        <w:t>Nástroj ve formě zvýhodněných úvěrů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6D67F1" w:rsidRPr="002C224A" w:rsidRDefault="006D67F1" w:rsidP="00D123F0"/>
    <w:p w:rsidR="006D67F1" w:rsidRPr="002C224A" w:rsidRDefault="006D67F1" w:rsidP="00D123F0">
      <w:r w:rsidRPr="002C224A">
        <w:lastRenderedPageBreak/>
        <w:t xml:space="preserve">Opatření v oblasti rizikového financování, která spočívají v kapitálových či kvazikapitálových investicích nebo v </w:t>
      </w:r>
      <w:r w:rsidR="00D014D3">
        <w:t>úvěrech</w:t>
      </w:r>
      <w:r w:rsidR="00D014D3" w:rsidRPr="002C224A">
        <w:t xml:space="preserve"> </w:t>
      </w:r>
      <w:r w:rsidRPr="002C224A">
        <w:t>pro způsobilé podniky, musí dle nařízení blokové výjimky</w:t>
      </w:r>
      <w:r w:rsidRPr="002C224A">
        <w:rPr>
          <w:rStyle w:val="Znakapoznpodarou"/>
          <w:rFonts w:ascii="Calibri" w:hAnsi="Calibri"/>
        </w:rPr>
        <w:footnoteReference w:id="29"/>
      </w:r>
      <w:r w:rsidRPr="00A50943">
        <w:t>na úrovni finančních zprostředkovatelů ne</w:t>
      </w:r>
      <w:r w:rsidRPr="002C224A">
        <w:t xml:space="preserve">bo způsobilého podniku aktivovat dodatečné zdroje financování od nezávislých soukromých investorů, tak aby celkový podíl soukromé účasti dosahoval těchto minimálních prahových hodnot: </w:t>
      </w:r>
    </w:p>
    <w:p w:rsidR="006D67F1" w:rsidRPr="002C224A" w:rsidRDefault="006D67F1" w:rsidP="00D123F0"/>
    <w:p w:rsidR="006D67F1" w:rsidRPr="002C224A" w:rsidRDefault="006D67F1" w:rsidP="00D123F0">
      <w:pPr>
        <w:pStyle w:val="Odstavecseseznamem1"/>
        <w:numPr>
          <w:ilvl w:val="2"/>
          <w:numId w:val="44"/>
        </w:numPr>
      </w:pPr>
      <w:r w:rsidRPr="002C224A">
        <w:t xml:space="preserve">10 % rizikového financování poskytnutého způsobilým podnikům předtím, než na trhu uskuteční první komerční prodej; </w:t>
      </w:r>
    </w:p>
    <w:p w:rsidR="006D67F1" w:rsidRPr="002C224A" w:rsidRDefault="006D67F1" w:rsidP="00D123F0">
      <w:pPr>
        <w:pStyle w:val="Odstavecseseznamem1"/>
        <w:numPr>
          <w:ilvl w:val="2"/>
          <w:numId w:val="44"/>
        </w:numPr>
      </w:pPr>
      <w:r w:rsidRPr="002C224A">
        <w:t>40 % rizikového financování poskytnutého způsobilým podnikům, které působí na trhu po dobu kratší než sedm let od svého prvního komerčního prodeje;</w:t>
      </w:r>
    </w:p>
    <w:p w:rsidR="006D67F1" w:rsidRPr="002C224A" w:rsidRDefault="006D67F1" w:rsidP="00D123F0">
      <w:pPr>
        <w:pStyle w:val="Odstavecseseznamem1"/>
        <w:numPr>
          <w:ilvl w:val="2"/>
          <w:numId w:val="44"/>
        </w:numPr>
      </w:pPr>
      <w:r w:rsidRPr="002C224A">
        <w:t>60 % rizikového financování v případě investic, které jsou realizovány do starších způsobilých podniků, které potřebují počáteční investici rizikového financování, která podle podnikatelského záměru zpracovaného pro účely vstupu na nový výrobkový nebo zeměpisný trh přesahuje 50 % jejich průměrného ročního obratu za předchozích pět let a v případě následných investic do způsobilých podniků po uplynutí sedmiletého období viz ii).</w:t>
      </w:r>
    </w:p>
    <w:p w:rsidR="006D67F1" w:rsidRPr="002C224A" w:rsidRDefault="006D67F1" w:rsidP="00D123F0">
      <w:pPr>
        <w:pStyle w:val="Odstavecseseznamem1"/>
        <w:ind w:left="2160"/>
      </w:pPr>
    </w:p>
    <w:p w:rsidR="006D67F1" w:rsidRPr="002C224A" w:rsidRDefault="006D67F1" w:rsidP="00D123F0">
      <w:r w:rsidRPr="002C224A">
        <w:t xml:space="preserve">Předpokladem využití všech navrhovaných finančních nástrojů v SC 2.1 je zachování podílu vlastních zdrojů </w:t>
      </w:r>
      <w:r w:rsidR="00882D6F">
        <w:t xml:space="preserve">konečného </w:t>
      </w:r>
      <w:r w:rsidRPr="002C224A">
        <w:t>příjemce, který může v závislosti na finanční strategii a potřebách podniku výrazně oscilovat. Vlastní zdroje budou využity jak na dofinancování způsobilých výdajů, tak především na podpoře nezpůsobilé výdaje projektů.</w:t>
      </w:r>
    </w:p>
    <w:p w:rsidR="006D67F1" w:rsidRPr="002C224A" w:rsidRDefault="006D67F1" w:rsidP="00D123F0"/>
    <w:p w:rsidR="00E435F2" w:rsidRPr="002C224A" w:rsidRDefault="006D67F1" w:rsidP="00D123F0">
      <w:r w:rsidRPr="002C224A">
        <w:t xml:space="preserve">V případě úvěrů odhadujeme na základě zkušeností ČMZRB vlastní zdroje žadatele na úrovni 10-30 % nákladů projektu. </w:t>
      </w:r>
    </w:p>
    <w:p w:rsidR="006D67F1" w:rsidRPr="002C224A" w:rsidRDefault="006D67F1" w:rsidP="00D123F0"/>
    <w:p w:rsidR="006D67F1" w:rsidRPr="002C224A" w:rsidRDefault="006D67F1" w:rsidP="00D123F0">
      <w:r w:rsidRPr="002C224A">
        <w:t xml:space="preserve">V případě rizikového kapitálu vyplývá nutnost zapojení </w:t>
      </w:r>
      <w:r w:rsidR="00031A1C">
        <w:t>vlastních zdrojů konečného příjemce</w:t>
      </w:r>
      <w:r w:rsidRPr="002C224A">
        <w:t xml:space="preserve"> z podstaty investic do již existujících podniků.</w:t>
      </w:r>
    </w:p>
    <w:p w:rsidR="006D67F1" w:rsidRPr="002C224A" w:rsidRDefault="006D67F1" w:rsidP="00777433">
      <w:pPr>
        <w:pStyle w:val="Nadpis4"/>
        <w:rPr>
          <w:rFonts w:ascii="Calibri" w:hAnsi="Calibri"/>
        </w:rPr>
      </w:pPr>
      <w:r w:rsidRPr="002C224A">
        <w:rPr>
          <w:rFonts w:ascii="Calibri" w:hAnsi="Calibri"/>
        </w:rPr>
        <w:t>Identifikace klíčových subjektů</w:t>
      </w:r>
    </w:p>
    <w:p w:rsidR="006D67F1" w:rsidRPr="00A50943" w:rsidRDefault="006D67F1" w:rsidP="00777433"/>
    <w:p w:rsidR="006D67F1" w:rsidRPr="002C224A" w:rsidRDefault="006D67F1" w:rsidP="00777433">
      <w:r w:rsidRPr="002C224A">
        <w:t>Klíčovým soukromým subjektem pro bankovní nástroje (zvýhodněné úvěry a záruky) jsou úvěrující instituce – komerční banky. FN bude implementován skrze záruční, resp. úvěrový fond s vybraných správcem.</w:t>
      </w:r>
    </w:p>
    <w:p w:rsidR="006D67F1" w:rsidRPr="002C224A" w:rsidRDefault="006D67F1" w:rsidP="00777433"/>
    <w:p w:rsidR="006D67F1" w:rsidRPr="002C224A" w:rsidRDefault="006D67F1" w:rsidP="00777433">
      <w:r w:rsidRPr="002C224A">
        <w:t>Klíčovým soukromým subjektem v oblasti rizikového kapitálu jsou institucionální investoři – PE fondy. V případě koinvestiční strategie finančního nástroje lze zvažovat též zapojení tzv. business angels, kvalifikovaných soukromých investorů ve formě fyzických osob.</w:t>
      </w:r>
    </w:p>
    <w:p w:rsidR="006D67F1" w:rsidRPr="002C224A" w:rsidRDefault="006D67F1" w:rsidP="00875E68">
      <w:pPr>
        <w:pStyle w:val="Nadpis4"/>
        <w:rPr>
          <w:rFonts w:ascii="Calibri" w:hAnsi="Calibri"/>
        </w:rPr>
      </w:pPr>
      <w:r w:rsidRPr="002C224A">
        <w:rPr>
          <w:rFonts w:ascii="Calibri" w:hAnsi="Calibri"/>
        </w:rPr>
        <w:t>Odhad dodatečných zdrojů, který potenciálně finanční nástroj přiláká – očekávaný pákový efekt</w:t>
      </w:r>
    </w:p>
    <w:p w:rsidR="006D67F1" w:rsidRPr="002C224A" w:rsidRDefault="006D67F1" w:rsidP="003E024D">
      <w:pPr>
        <w:pStyle w:val="BodyText1"/>
        <w:rPr>
          <w:rFonts w:ascii="Calibri" w:hAnsi="Calibri"/>
        </w:rPr>
      </w:pPr>
    </w:p>
    <w:p w:rsidR="006D67F1" w:rsidRPr="002C224A" w:rsidRDefault="006D67F1" w:rsidP="006F771D">
      <w:r w:rsidRPr="00A50943">
        <w:t>Dodatečné zdroje aktivované finančním nástrojem a tedy i výsledný pákový efekt jsou vždy závislé na konkrétním nastavení investičn</w:t>
      </w:r>
      <w:r w:rsidRPr="002C224A">
        <w:t>í strategie z hlediska požadovaného soukromého spolufinancování.</w:t>
      </w:r>
    </w:p>
    <w:p w:rsidR="006D67F1" w:rsidRPr="002C224A" w:rsidRDefault="006D67F1" w:rsidP="006F771D"/>
    <w:p w:rsidR="006D67F1" w:rsidRPr="002C224A" w:rsidRDefault="006D67F1" w:rsidP="006F771D">
      <w:r w:rsidRPr="002C224A">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2C224A" w:rsidRDefault="006D67F1" w:rsidP="006F771D">
      <w:pPr>
        <w:rPr>
          <w:b/>
        </w:rPr>
      </w:pPr>
      <w:r w:rsidRPr="002C224A">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w:t>
      </w:r>
      <w:r w:rsidRPr="002C224A">
        <w:lastRenderedPageBreak/>
        <w:t xml:space="preserve">odůvodněný, </w:t>
      </w:r>
      <w:r w:rsidRPr="002C224A">
        <w:rPr>
          <w:b/>
        </w:rPr>
        <w:t>nelze očekávat pákový efekt přesahující hodnotu 2</w:t>
      </w:r>
      <w:r w:rsidR="00B4124C" w:rsidRPr="002C224A">
        <w:rPr>
          <w:b/>
        </w:rPr>
        <w:t xml:space="preserve"> </w:t>
      </w:r>
      <w:r w:rsidRPr="002C224A">
        <w:rPr>
          <w:b/>
        </w:rPr>
        <w:t>(tedy podíl FN a soukromého úvěru 1:1).</w:t>
      </w:r>
    </w:p>
    <w:p w:rsidR="006D67F1" w:rsidRPr="002C224A" w:rsidRDefault="006D67F1" w:rsidP="006F771D"/>
    <w:p w:rsidR="00092321" w:rsidRPr="002C224A" w:rsidRDefault="006D67F1" w:rsidP="007B6721">
      <w:r w:rsidRPr="002C224A">
        <w:t>Pákový efekt záručního nástroje je dosažen formou snížení rizika úvěrujících institucí a zpřístupnění jejich úvěrů rizikovějšímu segmentu MSP. Výsledný pákový efekt je závislý na</w:t>
      </w:r>
      <w:r w:rsidR="00092321" w:rsidRPr="002C224A">
        <w:t xml:space="preserve"> riziku portfolia,</w:t>
      </w:r>
      <w:r w:rsidRPr="002C224A">
        <w:t xml:space="preserve"> míře poskytovaných záruk a zprostředkovanému hrazení ztrát finančním nástrojem. Bude se tedy měnit v závislosti na konkrétním nastavení ŘO, které je vhodné ponechat flexibilním úpravám reflektujícím výsledky nástroje. </w:t>
      </w:r>
    </w:p>
    <w:p w:rsidR="00092321" w:rsidRPr="002C224A" w:rsidRDefault="00092321" w:rsidP="007B6721"/>
    <w:p w:rsidR="00491D84" w:rsidRPr="002C224A" w:rsidRDefault="00092321" w:rsidP="007B6721">
      <w:r w:rsidRPr="002C224A">
        <w:t xml:space="preserve">Obecný přístup k financování pro MSP v ČR je relativně dobrý. FN by tedy měl cílit </w:t>
      </w:r>
      <w:r w:rsidRPr="002C224A">
        <w:rPr>
          <w:b/>
        </w:rPr>
        <w:t>specificky na rizikovější portfolio</w:t>
      </w:r>
      <w:r w:rsidR="007E0AC8" w:rsidRPr="00A50943">
        <w:rPr>
          <w:b/>
        </w:rPr>
        <w:t xml:space="preserve"> životaschopných MSP</w:t>
      </w:r>
      <w:r w:rsidRPr="002C224A">
        <w:t xml:space="preserve">, které vykazuje tržní selhání. Tomu by měla být uzpůsobena strategie řízení rizika a </w:t>
      </w:r>
      <w:r w:rsidRPr="002C224A">
        <w:rPr>
          <w:b/>
        </w:rPr>
        <w:t>pákový efekt do úrovně 10</w:t>
      </w:r>
      <w:r w:rsidRPr="00A50943">
        <w:t>.</w:t>
      </w:r>
      <w:r w:rsidRPr="002C224A">
        <w:t xml:space="preserve"> Orientačně lze vycházet též ze</w:t>
      </w:r>
      <w:r w:rsidR="006D67F1" w:rsidRPr="002C224A">
        <w:t xml:space="preserve"> zkušeností ze záručních programů OP PI a NP Záruka, které byly svým zaměřením identické</w:t>
      </w:r>
      <w:r w:rsidR="00491D84">
        <w:t>. Při efektivním nastavení podpory</w:t>
      </w:r>
      <w:r w:rsidR="006D67F1" w:rsidRPr="002C224A">
        <w:rPr>
          <w:b/>
        </w:rPr>
        <w:t xml:space="preserve"> lze očekávat rozpětí pákového efektu v </w:t>
      </w:r>
      <w:r w:rsidR="00491D84">
        <w:rPr>
          <w:b/>
        </w:rPr>
        <w:t>rozpětí</w:t>
      </w:r>
      <w:r w:rsidR="00491D84" w:rsidRPr="002C224A">
        <w:rPr>
          <w:b/>
        </w:rPr>
        <w:t xml:space="preserve"> </w:t>
      </w:r>
      <w:r w:rsidR="00BE0D4B" w:rsidRPr="002C224A">
        <w:rPr>
          <w:b/>
        </w:rPr>
        <w:t>6,7</w:t>
      </w:r>
      <w:r w:rsidR="006D67F1" w:rsidRPr="002C224A">
        <w:rPr>
          <w:b/>
        </w:rPr>
        <w:t>-10</w:t>
      </w:r>
      <w:r w:rsidR="00491D84">
        <w:rPr>
          <w:b/>
        </w:rPr>
        <w:t xml:space="preserve">. </w:t>
      </w:r>
      <w:r w:rsidR="00491D84">
        <w:t>FN by měl poskytovat příjemci (správci FN) hrazení ztrát 10-15 % ze zaručeného portfolia.</w:t>
      </w:r>
    </w:p>
    <w:p w:rsidR="006D67F1" w:rsidRPr="002C224A" w:rsidRDefault="006D67F1" w:rsidP="00875E68"/>
    <w:p w:rsidR="006D67F1" w:rsidRPr="002C224A" w:rsidRDefault="006D67F1" w:rsidP="00875E68">
      <w:r w:rsidRPr="002C224A">
        <w:t>Pákový efekt nástroje kapitálových vstupů je závislý na míře spolufinancování ze strany soukromých investorů, jejíž prahové limity pro jednotlivé typy investic jsou uvedeny výše. Minimální výše pákového efektu je</w:t>
      </w:r>
    </w:p>
    <w:p w:rsidR="006D67F1" w:rsidRPr="002C224A" w:rsidRDefault="006D67F1" w:rsidP="00FA09D4">
      <w:pPr>
        <w:pStyle w:val="Odstavecseseznamem1"/>
        <w:numPr>
          <w:ilvl w:val="0"/>
          <w:numId w:val="48"/>
        </w:numPr>
      </w:pPr>
      <w:r w:rsidRPr="002C224A">
        <w:t xml:space="preserve">1,1 v případě způsobilých podniků ve fázi před uskutečněním prvního komerčního prodeje; </w:t>
      </w:r>
    </w:p>
    <w:p w:rsidR="006D67F1" w:rsidRPr="002C224A" w:rsidRDefault="006D67F1" w:rsidP="00FA09D4">
      <w:pPr>
        <w:pStyle w:val="Odstavecseseznamem1"/>
        <w:numPr>
          <w:ilvl w:val="0"/>
          <w:numId w:val="48"/>
        </w:numPr>
      </w:pPr>
      <w:r w:rsidRPr="002C224A">
        <w:t>1,7 v případě způsobilých podniků, které působí na trhu po dobu kratší než sedm let od svého prvního komerčního prodeje;</w:t>
      </w:r>
    </w:p>
    <w:p w:rsidR="006D67F1" w:rsidRPr="002C224A" w:rsidRDefault="006D67F1" w:rsidP="00FA09D4">
      <w:pPr>
        <w:pStyle w:val="Odstavecseseznamem1"/>
        <w:numPr>
          <w:ilvl w:val="0"/>
          <w:numId w:val="48"/>
        </w:numPr>
      </w:pPr>
      <w:r w:rsidRPr="002C224A">
        <w:t>2,5 v případě investic, které jsou realizovány do starších způsobilých podniků, které potřebují počáteční investici rizikového financování, která podle podnikatelského záměru zpracovaného pro účely vstupu na nový výrobkový nebo zeměpisný trh přesahuje 50 % jejich průměrného ročního obratu za předchozích pět let a v případě následných investic do způsobilých podniků po uplynutí sedmiletého období viz ii).</w:t>
      </w:r>
    </w:p>
    <w:p w:rsidR="006D67F1" w:rsidRPr="002C224A" w:rsidRDefault="006D67F1" w:rsidP="006F771D"/>
    <w:p w:rsidR="006D67F1" w:rsidRPr="002C224A" w:rsidRDefault="006D67F1" w:rsidP="006F771D">
      <w:r w:rsidRPr="002C224A">
        <w:t>V případě cílového segmentu podniků ve fázi early</w:t>
      </w:r>
      <w:r w:rsidR="00FC2DC1" w:rsidRPr="002C224A">
        <w:t xml:space="preserve"> </w:t>
      </w:r>
      <w:r w:rsidRPr="002C224A">
        <w:t>stage lze tedy očekávat pákový efekt v rozmezí 1,1-2,5. Výsledný pákový efekt bude záviset na konkrétním nastavení podmínek a zájmu investorů, který je vhodné stimulovat preferenčními podmínkami společného investování.</w:t>
      </w:r>
    </w:p>
    <w:p w:rsidR="006D67F1" w:rsidRPr="002C224A" w:rsidRDefault="006D67F1" w:rsidP="00910A83"/>
    <w:p w:rsidR="006D67F1" w:rsidRPr="002C224A" w:rsidRDefault="006D67F1" w:rsidP="00875E68">
      <w:pPr>
        <w:pStyle w:val="Nadpis4"/>
        <w:rPr>
          <w:rFonts w:ascii="Calibri" w:hAnsi="Calibri"/>
        </w:rPr>
      </w:pPr>
      <w:r w:rsidRPr="002C224A">
        <w:rPr>
          <w:rFonts w:ascii="Calibri" w:hAnsi="Calibri"/>
        </w:rPr>
        <w:t>Posouzení potřeby a úroveň preferenčního odměňování</w:t>
      </w:r>
    </w:p>
    <w:p w:rsidR="006D67F1" w:rsidRDefault="006D67F1" w:rsidP="00B21DA0">
      <w:r w:rsidRPr="00A50943">
        <w:t>K motivování dostatečného pákového efektu a zapojení soukromých bankovních zdrojů na podporovaných projektech navr</w:t>
      </w:r>
      <w:r w:rsidRPr="002C224A">
        <w:t xml:space="preserve">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 </w:t>
      </w:r>
      <w:r w:rsidR="00323350" w:rsidRPr="002C224A">
        <w:t xml:space="preserve">V rámci záručního nástroje je motivace soukromých úvěrujících institucí zajištěna zmenšením rizika na zaručených úvěrech, které jim umožňuje rozšířit úvěrové aktivity s přiměřeným rizikem. </w:t>
      </w:r>
      <w:r w:rsidR="008A5210" w:rsidRPr="002C224A">
        <w:t>V případě dluhových nástrojů se nejedná se o preferenční odměňování úvěrujících institucí, efekty nástroje by měly být plně přeneseny na konečného příjemce. Preferenční odměňování není navrhováno.</w:t>
      </w:r>
    </w:p>
    <w:p w:rsidR="007E1B4D" w:rsidRPr="002C224A" w:rsidRDefault="007E1B4D" w:rsidP="00B21DA0"/>
    <w:p w:rsidR="008A5210" w:rsidRPr="002C224A" w:rsidRDefault="006D67F1" w:rsidP="00B21DA0">
      <w:r w:rsidRPr="002C224A">
        <w:rPr>
          <w:b/>
        </w:rPr>
        <w:t>V případě rizikového kapitálu</w:t>
      </w:r>
      <w:r w:rsidRPr="00A50943">
        <w:t xml:space="preserve"> je účast soukromých investorů na úrovni koinvestic, případně fondu, částečně motivována relativním rozředěním rizika díky účasti více investorských stran a zvětšením kap</w:t>
      </w:r>
      <w:r w:rsidRPr="002C224A">
        <w:t xml:space="preserve">itálového poolu. Pokud však mají být soukromí investoři motivováni k investování i do projektů mimo jejich současná investiční kritéria (s vyšším rizikem, z odlišných odvětví apod.) a přijmout omezení daná investiční strategií FN, je </w:t>
      </w:r>
      <w:r w:rsidRPr="002C224A">
        <w:rPr>
          <w:b/>
        </w:rPr>
        <w:t xml:space="preserve">potřebné je motivovat preferenčním </w:t>
      </w:r>
      <w:r w:rsidR="008A5210" w:rsidRPr="002C224A">
        <w:rPr>
          <w:b/>
        </w:rPr>
        <w:t>odměňováním</w:t>
      </w:r>
      <w:r w:rsidR="008A5210" w:rsidRPr="00A50943">
        <w:t>.</w:t>
      </w:r>
    </w:p>
    <w:p w:rsidR="008A5210" w:rsidRPr="002C224A" w:rsidRDefault="008A5210" w:rsidP="00B21DA0"/>
    <w:p w:rsidR="006D67F1" w:rsidRPr="002C224A" w:rsidRDefault="008A5210" w:rsidP="002C224A">
      <w:r w:rsidRPr="002C224A">
        <w:lastRenderedPageBreak/>
        <w:t xml:space="preserve">Jako nejvhodnější variantu navrhujeme </w:t>
      </w:r>
      <w:r w:rsidRPr="002C224A">
        <w:rPr>
          <w:b/>
        </w:rPr>
        <w:t>preferenční dělení zisku vůči soukromému investorovi</w:t>
      </w:r>
      <w:r w:rsidRPr="00A50943">
        <w:t xml:space="preserve"> – a to v případě, </w:t>
      </w:r>
      <w:r w:rsidR="006D67F1" w:rsidRPr="002C224A">
        <w:t>že výnos úspěšného projektu přesáhne stanovenou základní mez.</w:t>
      </w:r>
      <w:r w:rsidR="007E1B4D">
        <w:t xml:space="preserve"> </w:t>
      </w:r>
      <w:r w:rsidR="007E1B4D">
        <w:rPr>
          <w:b/>
        </w:rPr>
        <w:t>Aplikovatelnou variantou je preferenční nastavení formou opce</w:t>
      </w:r>
      <w:r w:rsidR="007E1B4D" w:rsidRPr="008366D3">
        <w:t xml:space="preserve"> - spo</w:t>
      </w:r>
      <w:r w:rsidR="007E1B4D">
        <w:t>luinvestor by získal právo odkoupit od finančního nástroje vlastnický podíl v cílové společnosti za předem dohodnutou cenu, bez ohledu na jeho aktuální hodnotu. Zisk finančního nástroje z investiční akce by pak nepřesáhl výnosovou míru implikovanou v realizační ceně opce. Opce považujeme za vhodnou formu pobídky. Implikovaná míra výnosnosti obsažená v realizační ceně opce by neměla klesnout pod 7,5 % - 10 %</w:t>
      </w:r>
      <w:r w:rsidR="0032159D">
        <w:t xml:space="preserve"> (roční)</w:t>
      </w:r>
      <w:r w:rsidR="007E1B4D">
        <w:t>.</w:t>
      </w:r>
    </w:p>
    <w:p w:rsidR="006D67F1" w:rsidRPr="002C224A" w:rsidRDefault="006D67F1" w:rsidP="00B21DA0"/>
    <w:p w:rsidR="006D67F1" w:rsidRPr="002C224A" w:rsidRDefault="006D67F1" w:rsidP="002433DA">
      <w:pPr>
        <w:pStyle w:val="Nadpis2"/>
        <w:rPr>
          <w:rFonts w:ascii="Calibri" w:hAnsi="Calibri"/>
          <w:lang w:eastAsia="en-US"/>
        </w:rPr>
      </w:pPr>
      <w:bookmarkStart w:id="808" w:name="_Toc417544615"/>
      <w:bookmarkStart w:id="809" w:name="_Toc417544616"/>
      <w:bookmarkStart w:id="810" w:name="_Toc416800442"/>
      <w:bookmarkStart w:id="811" w:name="_Toc421534290"/>
      <w:bookmarkEnd w:id="808"/>
      <w:bookmarkEnd w:id="809"/>
      <w:r w:rsidRPr="002C224A">
        <w:rPr>
          <w:rFonts w:ascii="Calibri" w:hAnsi="Calibri"/>
          <w:lang w:eastAsia="en-US"/>
        </w:rPr>
        <w:t>Specifický cíl 2.3 - Zvýšit využitelnost infrastruktury pro podnikání</w:t>
      </w:r>
      <w:bookmarkEnd w:id="810"/>
      <w:bookmarkEnd w:id="811"/>
    </w:p>
    <w:p w:rsidR="006D67F1" w:rsidRPr="002C224A" w:rsidRDefault="006D67F1" w:rsidP="00283266">
      <w:pPr>
        <w:pStyle w:val="Nadpis3"/>
        <w:rPr>
          <w:rFonts w:ascii="Calibri" w:hAnsi="Calibri"/>
        </w:rPr>
      </w:pPr>
      <w:bookmarkStart w:id="812" w:name="_Toc421534291"/>
      <w:r w:rsidRPr="002C224A">
        <w:rPr>
          <w:rFonts w:ascii="Calibri" w:hAnsi="Calibri"/>
        </w:rPr>
        <w:t>Zaměření specifického cíle</w:t>
      </w:r>
      <w:bookmarkEnd w:id="812"/>
    </w:p>
    <w:p w:rsidR="006D67F1" w:rsidRPr="00A50943" w:rsidRDefault="006D67F1" w:rsidP="009E112A">
      <w:pPr>
        <w:pStyle w:val="Neslovannadpisy"/>
      </w:pPr>
      <w:r w:rsidRPr="00A50943">
        <w:t>Podporované aktivity:</w:t>
      </w:r>
    </w:p>
    <w:p w:rsidR="006D67F1" w:rsidRPr="002C224A" w:rsidRDefault="006D67F1" w:rsidP="002433DA">
      <w:pPr>
        <w:pStyle w:val="Odstavecseseznamem1"/>
        <w:numPr>
          <w:ilvl w:val="0"/>
          <w:numId w:val="10"/>
        </w:numPr>
      </w:pPr>
      <w:r w:rsidRPr="002C224A">
        <w:t>Technické a stavební rekonstrukce brownfieldů (bez výdajů na odstranění rizikových ekologických zátěží) a jejich přeměna na moderní podnikatelské objekty a vznik nově zrekonstruovaných podnikatelských ploch,</w:t>
      </w:r>
    </w:p>
    <w:p w:rsidR="006D67F1" w:rsidRPr="002C224A" w:rsidRDefault="006D67F1" w:rsidP="002433DA">
      <w:pPr>
        <w:pStyle w:val="Odstavecseseznamem1"/>
        <w:numPr>
          <w:ilvl w:val="0"/>
          <w:numId w:val="10"/>
        </w:numPr>
      </w:pPr>
      <w:r w:rsidRPr="002C224A">
        <w:t>realizace komplexních stavebně-technických opatření vedoucích k rekonstrukcím technicky nevyhovující podnikatelské nemovitostí nebo brownfieldů na podnikatelský objekt a vzniku nově zrekonstruovaných podnikatelských ploch.</w:t>
      </w:r>
    </w:p>
    <w:p w:rsidR="006D67F1" w:rsidRPr="002C224A" w:rsidRDefault="006D67F1" w:rsidP="00DF6E0B">
      <w:pPr>
        <w:pStyle w:val="Odstavecseseznamem1"/>
      </w:pPr>
    </w:p>
    <w:p w:rsidR="006D67F1" w:rsidRPr="002C224A" w:rsidRDefault="006D67F1" w:rsidP="009E112A">
      <w:pPr>
        <w:pStyle w:val="Neslovannadpisy"/>
      </w:pPr>
      <w:r w:rsidRPr="002C224A">
        <w:t xml:space="preserve">Hlavní cílová skupina: </w:t>
      </w:r>
    </w:p>
    <w:p w:rsidR="006D67F1" w:rsidRPr="002C224A" w:rsidRDefault="006D67F1" w:rsidP="009E112A">
      <w:r w:rsidRPr="002C224A">
        <w:t>Podnikatelské subjekty (malé, střední), municipality</w:t>
      </w:r>
    </w:p>
    <w:p w:rsidR="006D67F1" w:rsidRPr="002C224A" w:rsidRDefault="006D67F1" w:rsidP="009E112A"/>
    <w:p w:rsidR="006D67F1" w:rsidRPr="002C224A" w:rsidRDefault="006D67F1" w:rsidP="009E112A">
      <w:pPr>
        <w:pStyle w:val="Neslovannadpisy"/>
      </w:pPr>
      <w:r w:rsidRPr="002C224A">
        <w:t>Cílové území:</w:t>
      </w:r>
    </w:p>
    <w:p w:rsidR="006D67F1" w:rsidRPr="002C224A" w:rsidRDefault="006D67F1" w:rsidP="009E112A">
      <w:r w:rsidRPr="002C224A">
        <w:t>Všechny regiony v ČR kromě hl. m. Prahy, zaměření na urbánní území</w:t>
      </w:r>
    </w:p>
    <w:p w:rsidR="006D67F1" w:rsidRPr="002C224A" w:rsidRDefault="006D67F1" w:rsidP="00835456">
      <w:pPr>
        <w:pStyle w:val="Neslovannadpisy"/>
      </w:pPr>
    </w:p>
    <w:p w:rsidR="006D67F1" w:rsidRPr="002C224A" w:rsidRDefault="006D67F1" w:rsidP="00835456">
      <w:pPr>
        <w:pStyle w:val="Neslovannadpisy"/>
      </w:pPr>
      <w:r w:rsidRPr="002C224A">
        <w:t>Výběr aktivit k posouzení vhodnosti finančního nástroje</w:t>
      </w:r>
    </w:p>
    <w:p w:rsidR="006D67F1" w:rsidRPr="002C224A" w:rsidRDefault="006D67F1" w:rsidP="009E112A">
      <w:r w:rsidRPr="002C224A">
        <w:t>K bližšímu posouzení byl vybrán celý cíl SC 2.3. Podnikatelské objekty pro výrobu MSP mají ve většině případů návratný ziskový potenciál a jsou tedy i potenciálně vhodné pro využití návratné formy podpory.</w:t>
      </w:r>
    </w:p>
    <w:p w:rsidR="006D67F1" w:rsidRPr="002C224A" w:rsidRDefault="006D67F1" w:rsidP="004E6079">
      <w:pPr>
        <w:rPr>
          <w:b/>
          <w:lang w:eastAsia="en-US"/>
        </w:rPr>
      </w:pPr>
    </w:p>
    <w:p w:rsidR="006D67F1" w:rsidRPr="002C224A" w:rsidRDefault="006D67F1" w:rsidP="00034FDD">
      <w:r w:rsidRPr="002C224A">
        <w:t>Rozvoj nových a inovativních podnikatelských aktivit MSP je limitován nevhodnými parametry zastaralé podnikatelské infrastruktury, jejíž provoz navíc vyžaduje vysoké režijní náklady. V regionech ČR se zároveň vyskytuje řada lokalit typu brownfield (BF), které by bylo možné regenerovat a opětovně využít pro ekonomické aktivity MSP. Specifickým cílem je proto zlepšit kvalitu a zvýšit využitelnost podnikatelské infrastruktury typu brownfield, a umožnit tak MSP realizovat své rozvojové podnikatelské záměry, které mohou vést nejen k rozšiřování výroby, ale také k posunu podniků směrem výše v rámci hodnotového řetězce.</w:t>
      </w:r>
    </w:p>
    <w:p w:rsidR="006D67F1" w:rsidRPr="002C224A" w:rsidRDefault="006D67F1" w:rsidP="00034FDD">
      <w:pPr>
        <w:rPr>
          <w:lang w:eastAsia="en-US"/>
        </w:rPr>
      </w:pPr>
    </w:p>
    <w:p w:rsidR="006D67F1" w:rsidRPr="002C224A" w:rsidRDefault="006D67F1" w:rsidP="00034FDD">
      <w:pPr>
        <w:rPr>
          <w:lang w:eastAsia="en-US"/>
        </w:rPr>
      </w:pPr>
      <w:r w:rsidRPr="002C224A">
        <w:rPr>
          <w:lang w:eastAsia="en-US"/>
        </w:rPr>
        <w:t>Vymezení cílových lokalit v SC 2.3 je poměrně široké a zasahuje spektrum typů objektů a ploch na různém stupni zchátralosti a využívanosti. Podobně široká je i definice BF v Národní strategii regenerace brownfieldů z roku 2008, která BF definuje jako „</w:t>
      </w:r>
      <w:r w:rsidRPr="002C224A">
        <w:rPr>
          <w:b/>
          <w:lang w:eastAsia="en-US"/>
        </w:rPr>
        <w:t xml:space="preserve">nemovitost (pozemek, objekt, areál), která je nedostatečně využívaná, zanedbaná a může být i kontaminovaná. Vzniká jako pozůstatek průmyslové, zemědělské, rezidenční, vojenské či jiné aktivity. </w:t>
      </w:r>
      <w:r w:rsidR="00535947" w:rsidRPr="002C224A">
        <w:rPr>
          <w:b/>
          <w:lang w:eastAsia="en-US"/>
        </w:rPr>
        <w:t xml:space="preserve">BF </w:t>
      </w:r>
      <w:r w:rsidRPr="002C224A">
        <w:rPr>
          <w:b/>
          <w:lang w:eastAsia="en-US"/>
        </w:rPr>
        <w:t>nelze vhodně a efektivně využívat, aniž by proběhl proces jeho regenerace“</w:t>
      </w:r>
      <w:r w:rsidRPr="002C224A">
        <w:rPr>
          <w:lang w:eastAsia="en-US"/>
        </w:rPr>
        <w:t>. Základním společným jmenovatelem podporovaných projektů je tedy současný nevyhovující stav nemovitosti k podnikání a přeměna na moderní podnikatelskou infrastrukturu MSP.</w:t>
      </w:r>
    </w:p>
    <w:p w:rsidR="006D67F1" w:rsidRPr="002C224A" w:rsidRDefault="006D67F1" w:rsidP="002433DA">
      <w:pPr>
        <w:pStyle w:val="Nadpis3"/>
        <w:rPr>
          <w:rFonts w:ascii="Calibri" w:hAnsi="Calibri"/>
          <w:lang w:eastAsia="en-US"/>
        </w:rPr>
      </w:pPr>
      <w:bookmarkStart w:id="813" w:name="_Toc421534292"/>
      <w:r w:rsidRPr="002C224A">
        <w:rPr>
          <w:rFonts w:ascii="Calibri" w:hAnsi="Calibri"/>
          <w:lang w:eastAsia="en-US"/>
        </w:rPr>
        <w:lastRenderedPageBreak/>
        <w:t>Analýza selhání trhu</w:t>
      </w:r>
      <w:bookmarkEnd w:id="813"/>
    </w:p>
    <w:p w:rsidR="006D67F1" w:rsidRPr="002C224A" w:rsidRDefault="006D67F1" w:rsidP="00283266">
      <w:pPr>
        <w:pStyle w:val="Nadpis4"/>
        <w:rPr>
          <w:rFonts w:ascii="Calibri" w:hAnsi="Calibri"/>
        </w:rPr>
      </w:pPr>
      <w:bookmarkStart w:id="814" w:name="_Toc416800444"/>
      <w:r w:rsidRPr="002C224A">
        <w:rPr>
          <w:rFonts w:ascii="Calibri" w:hAnsi="Calibri"/>
        </w:rPr>
        <w:t>Tržní analýza</w:t>
      </w:r>
    </w:p>
    <w:p w:rsidR="006D67F1" w:rsidRPr="00A50943" w:rsidRDefault="006D67F1" w:rsidP="002433DA">
      <w:pPr>
        <w:pStyle w:val="Neslovannadpisy"/>
      </w:pPr>
    </w:p>
    <w:bookmarkEnd w:id="814"/>
    <w:p w:rsidR="006D67F1" w:rsidRPr="002C224A" w:rsidRDefault="006D67F1" w:rsidP="002433DA">
      <w:pPr>
        <w:pStyle w:val="Neslovannadpisy"/>
        <w:rPr>
          <w:lang w:eastAsia="en-US"/>
        </w:rPr>
      </w:pPr>
      <w:r w:rsidRPr="002C224A">
        <w:rPr>
          <w:lang w:eastAsia="en-US"/>
        </w:rPr>
        <w:t>Výskyt lokalit BF a jejich nabídka</w:t>
      </w:r>
    </w:p>
    <w:p w:rsidR="006D67F1" w:rsidRPr="002C224A" w:rsidRDefault="006D67F1" w:rsidP="002433DA">
      <w:pPr>
        <w:rPr>
          <w:b/>
          <w:bCs/>
          <w:i/>
          <w:color w:val="17365D"/>
          <w:sz w:val="16"/>
        </w:rPr>
      </w:pPr>
      <w:r w:rsidRPr="002C224A">
        <w:rPr>
          <w:lang w:eastAsia="en-US"/>
        </w:rPr>
        <w:t xml:space="preserve">Pro základní informace o brownfieldech je k dispozici materiál agentury CzechInvest (CI) Národní strategie regenerace brownfieldů z roku 2008, jejíž aktualizace právě probíhá. Historicky první strategie pro BF zpracovaná v letech 2003 až 2004 přinesla nové informace o pravděpodobné velikosti a povaze BF v ČR. </w:t>
      </w:r>
      <w:r w:rsidRPr="002C224A">
        <w:rPr>
          <w:b/>
          <w:lang w:eastAsia="en-US"/>
        </w:rPr>
        <w:t>V roce 2007 bylo zmapováno 2355 lokalit. Jejich celkový přibližný počet se podle různých odhadů může pohybovat mezi 8-12 000 lokalit s plochou přesahující 25 tis. ha.</w:t>
      </w:r>
      <w:r w:rsidR="00422394" w:rsidRPr="002C224A">
        <w:rPr>
          <w:b/>
          <w:lang w:eastAsia="en-US"/>
        </w:rPr>
        <w:t xml:space="preserve"> </w:t>
      </w:r>
      <w:r w:rsidRPr="002C224A">
        <w:rPr>
          <w:lang w:eastAsia="en-US"/>
        </w:rPr>
        <w:t xml:space="preserve">Studie se zaměřila pouze na lokality s velikostí plochy větší než </w:t>
      </w:r>
      <w:smartTag w:uri="urn:schemas-microsoft-com:office:smarttags" w:element="metricconverter">
        <w:smartTagPr>
          <w:attr w:name="ProductID" w:val="1 ha"/>
        </w:smartTagPr>
        <w:r w:rsidRPr="002C224A">
          <w:rPr>
            <w:lang w:eastAsia="en-US"/>
          </w:rPr>
          <w:t>1 ha</w:t>
        </w:r>
      </w:smartTag>
      <w:r w:rsidRPr="002C224A">
        <w:rPr>
          <w:lang w:eastAsia="en-US"/>
        </w:rPr>
        <w:t xml:space="preserve"> a zastavěnou plochou více než500m</w:t>
      </w:r>
      <w:r w:rsidRPr="002C224A">
        <w:rPr>
          <w:vertAlign w:val="superscript"/>
          <w:lang w:eastAsia="en-US"/>
        </w:rPr>
        <w:t>2</w:t>
      </w:r>
      <w:r w:rsidRPr="002C224A">
        <w:rPr>
          <w:lang w:eastAsia="en-US"/>
        </w:rPr>
        <w:t>.</w:t>
      </w:r>
    </w:p>
    <w:tbl>
      <w:tblPr>
        <w:tblW w:w="6765" w:type="dxa"/>
        <w:jc w:val="center"/>
        <w:tblBorders>
          <w:bottom w:val="single" w:sz="4" w:space="0" w:color="00A1DE"/>
          <w:insideH w:val="single" w:sz="4" w:space="0" w:color="00A1DE"/>
        </w:tblBorders>
        <w:tblLayout w:type="fixed"/>
        <w:tblCellMar>
          <w:left w:w="0" w:type="dxa"/>
          <w:right w:w="0" w:type="dxa"/>
        </w:tblCellMar>
        <w:tblLook w:val="00A0" w:firstRow="1" w:lastRow="0" w:firstColumn="1" w:lastColumn="0" w:noHBand="0" w:noVBand="0"/>
      </w:tblPr>
      <w:tblGrid>
        <w:gridCol w:w="1815"/>
        <w:gridCol w:w="737"/>
        <w:gridCol w:w="1152"/>
        <w:gridCol w:w="1417"/>
        <w:gridCol w:w="1644"/>
      </w:tblGrid>
      <w:tr w:rsidR="006D67F1" w:rsidRPr="002C224A" w:rsidTr="00416BF2">
        <w:trPr>
          <w:trHeight w:val="20"/>
          <w:jc w:val="center"/>
        </w:trPr>
        <w:tc>
          <w:tcPr>
            <w:tcW w:w="1814" w:type="dxa"/>
            <w:tcBorders>
              <w:top w:val="nil"/>
              <w:left w:val="nil"/>
              <w:right w:val="nil"/>
            </w:tcBorders>
            <w:shd w:val="clear" w:color="auto" w:fill="00A1DE"/>
            <w:noWrap/>
          </w:tcPr>
          <w:p w:rsidR="006D67F1" w:rsidRPr="002C224A" w:rsidRDefault="006D67F1">
            <w:pPr>
              <w:keepNext/>
              <w:rPr>
                <w:rFonts w:cs="Arial"/>
                <w:b/>
                <w:color w:val="FFFFFF"/>
                <w:sz w:val="18"/>
                <w:szCs w:val="18"/>
              </w:rPr>
            </w:pPr>
            <w:r w:rsidRPr="002C224A">
              <w:rPr>
                <w:b/>
                <w:color w:val="FFFFFF"/>
                <w:sz w:val="18"/>
                <w:szCs w:val="18"/>
              </w:rPr>
              <w:t>Předchozí využití lokality</w:t>
            </w:r>
          </w:p>
        </w:tc>
        <w:tc>
          <w:tcPr>
            <w:tcW w:w="737" w:type="dxa"/>
            <w:tcBorders>
              <w:top w:val="nil"/>
              <w:left w:val="nil"/>
              <w:right w:val="nil"/>
            </w:tcBorders>
            <w:shd w:val="clear" w:color="auto" w:fill="00A1DE"/>
            <w:noWrap/>
          </w:tcPr>
          <w:p w:rsidR="006D67F1" w:rsidRPr="002C224A" w:rsidRDefault="006D67F1">
            <w:pPr>
              <w:keepNext/>
              <w:rPr>
                <w:rFonts w:cs="Arial"/>
                <w:b/>
                <w:color w:val="FFFFFF"/>
                <w:sz w:val="18"/>
                <w:szCs w:val="18"/>
              </w:rPr>
            </w:pPr>
            <w:r w:rsidRPr="00A50943">
              <w:rPr>
                <w:b/>
                <w:color w:val="FFFFFF"/>
                <w:sz w:val="18"/>
                <w:szCs w:val="18"/>
              </w:rPr>
              <w:t>Četnost</w:t>
            </w:r>
          </w:p>
        </w:tc>
        <w:tc>
          <w:tcPr>
            <w:tcW w:w="1152" w:type="dxa"/>
            <w:tcBorders>
              <w:top w:val="nil"/>
              <w:left w:val="nil"/>
              <w:right w:val="nil"/>
            </w:tcBorders>
            <w:shd w:val="clear" w:color="auto" w:fill="00A1DE"/>
            <w:noWrap/>
          </w:tcPr>
          <w:p w:rsidR="006D67F1" w:rsidRPr="002C224A" w:rsidRDefault="006D67F1">
            <w:pPr>
              <w:keepNext/>
              <w:rPr>
                <w:rFonts w:cs="Arial"/>
                <w:b/>
                <w:color w:val="FFFFFF"/>
                <w:sz w:val="18"/>
                <w:szCs w:val="18"/>
              </w:rPr>
            </w:pPr>
            <w:r w:rsidRPr="00A50943">
              <w:rPr>
                <w:b/>
                <w:color w:val="FFFFFF"/>
                <w:sz w:val="18"/>
                <w:szCs w:val="18"/>
              </w:rPr>
              <w:t>Podíl v %</w:t>
            </w:r>
          </w:p>
        </w:tc>
        <w:tc>
          <w:tcPr>
            <w:tcW w:w="1417" w:type="dxa"/>
            <w:tcBorders>
              <w:top w:val="nil"/>
              <w:left w:val="nil"/>
              <w:right w:val="nil"/>
            </w:tcBorders>
            <w:shd w:val="clear" w:color="auto" w:fill="00A1DE"/>
            <w:noWrap/>
          </w:tcPr>
          <w:p w:rsidR="006D67F1" w:rsidRPr="002C224A" w:rsidRDefault="006D67F1">
            <w:pPr>
              <w:keepNext/>
              <w:rPr>
                <w:rFonts w:cs="Arial"/>
                <w:b/>
                <w:color w:val="FFFFFF"/>
                <w:sz w:val="18"/>
                <w:szCs w:val="18"/>
              </w:rPr>
            </w:pPr>
            <w:r w:rsidRPr="00A50943">
              <w:rPr>
                <w:b/>
                <w:color w:val="FFFFFF"/>
                <w:sz w:val="18"/>
                <w:szCs w:val="18"/>
              </w:rPr>
              <w:t>Celková rozloha lokalit (ha)</w:t>
            </w:r>
          </w:p>
        </w:tc>
        <w:tc>
          <w:tcPr>
            <w:tcW w:w="1644" w:type="dxa"/>
            <w:tcBorders>
              <w:top w:val="nil"/>
              <w:left w:val="nil"/>
              <w:right w:val="nil"/>
            </w:tcBorders>
            <w:shd w:val="clear" w:color="auto" w:fill="00A1DE"/>
            <w:noWrap/>
          </w:tcPr>
          <w:p w:rsidR="006D67F1" w:rsidRPr="002C224A" w:rsidRDefault="006D67F1">
            <w:pPr>
              <w:keepNext/>
              <w:rPr>
                <w:rFonts w:cs="Arial"/>
                <w:b/>
                <w:color w:val="FFFFFF"/>
                <w:sz w:val="18"/>
                <w:szCs w:val="18"/>
              </w:rPr>
            </w:pPr>
            <w:r w:rsidRPr="00A50943">
              <w:rPr>
                <w:b/>
                <w:color w:val="FFFFFF"/>
                <w:sz w:val="18"/>
                <w:szCs w:val="18"/>
              </w:rPr>
              <w:t>Průměrná rozloha jedné lokality (ha)</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Zemědělství</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821</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34,9%</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1 840,4</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2,2</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Průmysl</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785</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33,3%</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4 423,2</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5,6</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Občanská vybavenost</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304</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12,9%</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413,3</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1,4</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Armáda</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151</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6,4%</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2 394,1</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15,9</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Bydlení</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95</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4,0%</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88,3</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0,9</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Cestovní ruch</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22</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0,9%</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22,4</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1,0</w:t>
            </w:r>
          </w:p>
        </w:tc>
      </w:tr>
      <w:tr w:rsidR="006D67F1" w:rsidRPr="002C224A" w:rsidTr="00416BF2">
        <w:trPr>
          <w:trHeight w:val="20"/>
          <w:jc w:val="center"/>
        </w:trPr>
        <w:tc>
          <w:tcPr>
            <w:tcW w:w="1814" w:type="dxa"/>
            <w:tcBorders>
              <w:left w:val="nil"/>
              <w:right w:val="nil"/>
            </w:tcBorders>
            <w:shd w:val="clear" w:color="auto" w:fill="FFFFFF"/>
            <w:noWrap/>
          </w:tcPr>
          <w:p w:rsidR="006D67F1" w:rsidRPr="002C224A" w:rsidRDefault="006D67F1">
            <w:pPr>
              <w:keepNext/>
              <w:rPr>
                <w:rFonts w:cs="Arial"/>
                <w:sz w:val="18"/>
                <w:szCs w:val="18"/>
              </w:rPr>
            </w:pPr>
            <w:r w:rsidRPr="002C224A">
              <w:rPr>
                <w:sz w:val="18"/>
                <w:szCs w:val="18"/>
              </w:rPr>
              <w:t>Jiné</w:t>
            </w:r>
          </w:p>
        </w:tc>
        <w:tc>
          <w:tcPr>
            <w:tcW w:w="73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177</w:t>
            </w:r>
          </w:p>
        </w:tc>
        <w:tc>
          <w:tcPr>
            <w:tcW w:w="1152"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7,5%</w:t>
            </w:r>
          </w:p>
        </w:tc>
        <w:tc>
          <w:tcPr>
            <w:tcW w:w="1417"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1 144,3</w:t>
            </w:r>
          </w:p>
        </w:tc>
        <w:tc>
          <w:tcPr>
            <w:tcW w:w="1644" w:type="dxa"/>
            <w:tcBorders>
              <w:left w:val="nil"/>
              <w:right w:val="nil"/>
            </w:tcBorders>
            <w:shd w:val="clear" w:color="auto" w:fill="FFFFFF"/>
            <w:noWrap/>
          </w:tcPr>
          <w:p w:rsidR="006D67F1" w:rsidRPr="002C224A" w:rsidRDefault="006D67F1">
            <w:pPr>
              <w:keepNext/>
              <w:jc w:val="right"/>
              <w:rPr>
                <w:rFonts w:cs="Arial"/>
                <w:sz w:val="18"/>
                <w:szCs w:val="18"/>
              </w:rPr>
            </w:pPr>
            <w:r w:rsidRPr="00A50943">
              <w:rPr>
                <w:sz w:val="18"/>
                <w:szCs w:val="18"/>
              </w:rPr>
              <w:t>6,5</w:t>
            </w:r>
          </w:p>
        </w:tc>
      </w:tr>
      <w:tr w:rsidR="006D67F1" w:rsidRPr="002C224A" w:rsidTr="00416BF2">
        <w:trPr>
          <w:trHeight w:val="20"/>
          <w:jc w:val="center"/>
        </w:trPr>
        <w:tc>
          <w:tcPr>
            <w:tcW w:w="1814" w:type="dxa"/>
            <w:tcBorders>
              <w:left w:val="nil"/>
              <w:right w:val="nil"/>
            </w:tcBorders>
            <w:shd w:val="clear" w:color="auto" w:fill="9BBB59"/>
            <w:noWrap/>
          </w:tcPr>
          <w:p w:rsidR="006D67F1" w:rsidRPr="002C224A" w:rsidRDefault="006D67F1">
            <w:pPr>
              <w:keepNext/>
              <w:rPr>
                <w:rFonts w:cs="Arial"/>
                <w:b/>
                <w:bCs/>
                <w:sz w:val="18"/>
                <w:szCs w:val="18"/>
              </w:rPr>
            </w:pPr>
            <w:r w:rsidRPr="002C224A">
              <w:rPr>
                <w:b/>
                <w:bCs/>
                <w:sz w:val="18"/>
                <w:szCs w:val="18"/>
              </w:rPr>
              <w:t>Celkem</w:t>
            </w:r>
          </w:p>
        </w:tc>
        <w:tc>
          <w:tcPr>
            <w:tcW w:w="737" w:type="dxa"/>
            <w:tcBorders>
              <w:left w:val="nil"/>
              <w:right w:val="nil"/>
            </w:tcBorders>
            <w:shd w:val="clear" w:color="auto" w:fill="9BBB59"/>
            <w:noWrap/>
          </w:tcPr>
          <w:p w:rsidR="006D67F1" w:rsidRPr="002C224A" w:rsidRDefault="006D67F1">
            <w:pPr>
              <w:keepNext/>
              <w:jc w:val="right"/>
              <w:rPr>
                <w:rFonts w:cs="Arial"/>
                <w:b/>
                <w:bCs/>
                <w:sz w:val="18"/>
                <w:szCs w:val="18"/>
              </w:rPr>
            </w:pPr>
            <w:r w:rsidRPr="00A50943">
              <w:rPr>
                <w:b/>
                <w:bCs/>
                <w:sz w:val="18"/>
                <w:szCs w:val="18"/>
              </w:rPr>
              <w:t>2 355</w:t>
            </w:r>
          </w:p>
        </w:tc>
        <w:tc>
          <w:tcPr>
            <w:tcW w:w="1152" w:type="dxa"/>
            <w:tcBorders>
              <w:left w:val="nil"/>
              <w:right w:val="nil"/>
            </w:tcBorders>
            <w:shd w:val="clear" w:color="auto" w:fill="9BBB59"/>
            <w:noWrap/>
          </w:tcPr>
          <w:p w:rsidR="006D67F1" w:rsidRPr="002C224A" w:rsidRDefault="006D67F1">
            <w:pPr>
              <w:keepNext/>
              <w:jc w:val="right"/>
              <w:rPr>
                <w:rFonts w:cs="Arial"/>
                <w:b/>
                <w:bCs/>
                <w:sz w:val="18"/>
                <w:szCs w:val="18"/>
              </w:rPr>
            </w:pPr>
            <w:r w:rsidRPr="00A50943">
              <w:rPr>
                <w:b/>
                <w:bCs/>
                <w:sz w:val="18"/>
                <w:szCs w:val="18"/>
              </w:rPr>
              <w:t>100,0%</w:t>
            </w:r>
          </w:p>
        </w:tc>
        <w:tc>
          <w:tcPr>
            <w:tcW w:w="1417" w:type="dxa"/>
            <w:tcBorders>
              <w:left w:val="nil"/>
              <w:right w:val="nil"/>
            </w:tcBorders>
            <w:shd w:val="clear" w:color="auto" w:fill="9BBB59"/>
            <w:noWrap/>
          </w:tcPr>
          <w:p w:rsidR="006D67F1" w:rsidRPr="002C224A" w:rsidRDefault="006D67F1">
            <w:pPr>
              <w:keepNext/>
              <w:jc w:val="right"/>
              <w:rPr>
                <w:rFonts w:cs="Arial"/>
                <w:b/>
                <w:bCs/>
                <w:sz w:val="18"/>
                <w:szCs w:val="18"/>
              </w:rPr>
            </w:pPr>
            <w:r w:rsidRPr="00A50943">
              <w:rPr>
                <w:b/>
                <w:bCs/>
                <w:sz w:val="18"/>
                <w:szCs w:val="18"/>
              </w:rPr>
              <w:t>10 326</w:t>
            </w:r>
          </w:p>
        </w:tc>
        <w:tc>
          <w:tcPr>
            <w:tcW w:w="1644" w:type="dxa"/>
            <w:tcBorders>
              <w:left w:val="nil"/>
              <w:right w:val="nil"/>
            </w:tcBorders>
            <w:shd w:val="clear" w:color="auto" w:fill="9BBB59"/>
            <w:noWrap/>
          </w:tcPr>
          <w:p w:rsidR="006D67F1" w:rsidRPr="002C224A" w:rsidRDefault="006D67F1">
            <w:pPr>
              <w:keepNext/>
              <w:jc w:val="right"/>
              <w:rPr>
                <w:rFonts w:cs="Arial"/>
                <w:b/>
                <w:bCs/>
                <w:sz w:val="18"/>
                <w:szCs w:val="18"/>
              </w:rPr>
            </w:pPr>
            <w:r w:rsidRPr="00A50943">
              <w:rPr>
                <w:b/>
                <w:bCs/>
                <w:sz w:val="18"/>
                <w:szCs w:val="18"/>
              </w:rPr>
              <w:t>4,4</w:t>
            </w:r>
          </w:p>
        </w:tc>
      </w:tr>
    </w:tbl>
    <w:p w:rsidR="006D67F1" w:rsidRPr="002C224A" w:rsidRDefault="006D67F1">
      <w:pPr>
        <w:pStyle w:val="Titulek"/>
        <w:jc w:val="center"/>
      </w:pPr>
      <w:r w:rsidRPr="002C224A">
        <w:t xml:space="preserve">Tabulka </w:t>
      </w:r>
      <w:r w:rsidR="00C4105E">
        <w:t>4</w:t>
      </w:r>
      <w:r w:rsidR="00BD640F">
        <w:t>1</w:t>
      </w:r>
      <w:r w:rsidRPr="002C224A">
        <w:t>: Dělení BF podle předchozího využití</w:t>
      </w:r>
    </w:p>
    <w:p w:rsidR="006D67F1" w:rsidRPr="002C224A" w:rsidRDefault="006D67F1" w:rsidP="00DF6E0B">
      <w:pPr>
        <w:pStyle w:val="Titulek"/>
        <w:jc w:val="center"/>
      </w:pPr>
      <w:r w:rsidRPr="002C224A">
        <w:t>Zdroj: Urbanizmus a územní rozvoj (odborný časopis)</w:t>
      </w:r>
    </w:p>
    <w:p w:rsidR="006D67F1" w:rsidRPr="00A50943" w:rsidRDefault="006D67F1" w:rsidP="00416BF2">
      <w:pPr>
        <w:rPr>
          <w:lang w:eastAsia="en-US"/>
        </w:rPr>
      </w:pPr>
    </w:p>
    <w:p w:rsidR="006D67F1" w:rsidRPr="002C224A" w:rsidRDefault="006D67F1" w:rsidP="00416BF2"/>
    <w:p w:rsidR="006D67F1" w:rsidRPr="002C224A" w:rsidRDefault="006D67F1" w:rsidP="00416BF2"/>
    <w:p w:rsidR="006D67F1" w:rsidRPr="002C224A" w:rsidRDefault="006D67F1" w:rsidP="00416BF2">
      <w:pPr>
        <w:rPr>
          <w:lang w:eastAsia="en-US"/>
        </w:rPr>
      </w:pPr>
    </w:p>
    <w:p w:rsidR="006D67F1" w:rsidRPr="00A50943" w:rsidRDefault="007A3F34" w:rsidP="00416BF2">
      <w:pPr>
        <w:rPr>
          <w:lang w:eastAsia="en-US"/>
        </w:rPr>
      </w:pPr>
      <w:r w:rsidRPr="00A50943">
        <w:rPr>
          <w:noProof/>
        </w:rPr>
        <w:drawing>
          <wp:inline distT="0" distB="0" distL="0" distR="0" wp14:anchorId="4AF116F3" wp14:editId="1E0A421E">
            <wp:extent cx="2732405" cy="2498725"/>
            <wp:effectExtent l="0" t="0" r="0" b="0"/>
            <wp:docPr id="99" name="Obrázek 57" descr="tab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descr="tabul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2405" cy="2498725"/>
                    </a:xfrm>
                    <a:prstGeom prst="rect">
                      <a:avLst/>
                    </a:prstGeom>
                    <a:noFill/>
                    <a:ln>
                      <a:noFill/>
                    </a:ln>
                  </pic:spPr>
                </pic:pic>
              </a:graphicData>
            </a:graphic>
          </wp:inline>
        </w:drawing>
      </w:r>
      <w:r w:rsidRPr="00A50943">
        <w:rPr>
          <w:noProof/>
        </w:rPr>
        <w:drawing>
          <wp:inline distT="0" distB="0" distL="0" distR="0" wp14:anchorId="0A974A93" wp14:editId="69149C6D">
            <wp:extent cx="2914650" cy="2514600"/>
            <wp:effectExtent l="0" t="0" r="0" b="0"/>
            <wp:docPr id="4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514600"/>
                    </a:xfrm>
                    <a:prstGeom prst="rect">
                      <a:avLst/>
                    </a:prstGeom>
                    <a:noFill/>
                    <a:ln>
                      <a:noFill/>
                    </a:ln>
                  </pic:spPr>
                </pic:pic>
              </a:graphicData>
            </a:graphic>
          </wp:inline>
        </w:drawing>
      </w:r>
    </w:p>
    <w:p w:rsidR="006D67F1" w:rsidRPr="002C224A" w:rsidRDefault="00F13FC5" w:rsidP="00945BBF">
      <w:pPr>
        <w:pStyle w:val="Titulek"/>
      </w:pPr>
      <w:r>
        <w:t>Obrázek</w:t>
      </w:r>
      <w:r w:rsidRPr="002C224A">
        <w:t xml:space="preserve"> </w:t>
      </w:r>
      <w:r w:rsidR="00646277">
        <w:t>21</w:t>
      </w:r>
      <w:r w:rsidR="006D67F1" w:rsidRPr="002C224A">
        <w:t>: Předpokládané způsoby využití lokalit BF</w:t>
      </w:r>
    </w:p>
    <w:p w:rsidR="006D67F1" w:rsidRPr="002C224A" w:rsidRDefault="006D67F1" w:rsidP="00945BBF">
      <w:pPr>
        <w:pStyle w:val="Titulek"/>
      </w:pPr>
      <w:r w:rsidRPr="002C224A">
        <w:t>Zdroj: CI</w:t>
      </w:r>
    </w:p>
    <w:p w:rsidR="006D67F1" w:rsidRPr="00A50943" w:rsidRDefault="006D67F1" w:rsidP="00416BF2">
      <w:pPr>
        <w:rPr>
          <w:lang w:eastAsia="en-US"/>
        </w:rPr>
      </w:pPr>
    </w:p>
    <w:p w:rsidR="006D67F1" w:rsidRPr="002C224A" w:rsidRDefault="006D67F1" w:rsidP="00416BF2">
      <w:pPr>
        <w:rPr>
          <w:b/>
          <w:lang w:eastAsia="en-US"/>
        </w:rPr>
      </w:pPr>
      <w:r w:rsidRPr="002C224A">
        <w:rPr>
          <w:lang w:eastAsia="en-US"/>
        </w:rPr>
        <w:t>Z tabulky je patrné, že nejpočetnější lokality BF jsou bývalá zemědělské družstva v menších obcích. Druhý nejčetnější výskyt se prokázal při průmyslových objektech, které tvoří největší rozlohu zmiňovaných lokalit a právě tento aspekt je předurčuje k využívání zdrojů z OP PIK (nebo OPPI). Nejvyšší hodnoty, co se týče velikosti jedné jednotky, jsou pozorovány při armádních lokalitách, jejichž regenerace/revitalizace je z velké části v gesci MMR (speciální dotační program pro nevyužívané armádní nemovitosti). Tabulka 9 znázorňuje předpokládané využití BF dle analýzy CI.</w:t>
      </w:r>
    </w:p>
    <w:p w:rsidR="006D67F1" w:rsidRPr="002C224A" w:rsidRDefault="006D67F1">
      <w:pPr>
        <w:pStyle w:val="Neslovannadpisy"/>
        <w:rPr>
          <w:b w:val="0"/>
          <w:lang w:eastAsia="en-US"/>
        </w:rPr>
      </w:pPr>
    </w:p>
    <w:p w:rsidR="006D67F1" w:rsidRPr="002C224A" w:rsidRDefault="006D67F1" w:rsidP="00C72C85">
      <w:pPr>
        <w:rPr>
          <w:b/>
          <w:lang w:eastAsia="en-US"/>
        </w:rPr>
      </w:pPr>
      <w:r w:rsidRPr="002C224A">
        <w:rPr>
          <w:lang w:eastAsia="en-US"/>
        </w:rPr>
        <w:lastRenderedPageBreak/>
        <w:t xml:space="preserve">V národní databázi brownfieldů, která představuje veřejnou evidenci přihlášených lokalit, bylo ke dni 2. 4. 2015 nabízeno 528 lokalit BF. Z toho bylo 40 lokalit s rozlohou nad </w:t>
      </w:r>
      <w:smartTag w:uri="urn:schemas-microsoft-com:office:smarttags" w:element="metricconverter">
        <w:smartTagPr>
          <w:attr w:name="ProductID" w:val="10 ha"/>
        </w:smartTagPr>
        <w:r w:rsidRPr="002C224A">
          <w:rPr>
            <w:lang w:eastAsia="en-US"/>
          </w:rPr>
          <w:t>10 h</w:t>
        </w:r>
        <w:r w:rsidR="00422394" w:rsidRPr="002C224A">
          <w:rPr>
            <w:lang w:eastAsia="en-US"/>
          </w:rPr>
          <w:t>a</w:t>
        </w:r>
      </w:smartTag>
      <w:r w:rsidRPr="002C224A">
        <w:rPr>
          <w:lang w:eastAsia="en-US"/>
        </w:rPr>
        <w:t>.</w:t>
      </w:r>
      <w:r w:rsidR="00422394" w:rsidRPr="002C224A">
        <w:rPr>
          <w:lang w:eastAsia="en-US"/>
        </w:rPr>
        <w:t xml:space="preserve"> </w:t>
      </w:r>
      <w:r w:rsidRPr="002C224A">
        <w:rPr>
          <w:lang w:eastAsia="en-US"/>
        </w:rPr>
        <w:t xml:space="preserve">Databáze celkem registruje přes 3000 BF o rozloze </w:t>
      </w:r>
      <w:smartTag w:uri="urn:schemas-microsoft-com:office:smarttags" w:element="metricconverter">
        <w:smartTagPr>
          <w:attr w:name="ProductID" w:val="15 000 ha"/>
        </w:smartTagPr>
        <w:r w:rsidRPr="002C224A">
          <w:rPr>
            <w:lang w:eastAsia="en-US"/>
          </w:rPr>
          <w:t>15 000 ha</w:t>
        </w:r>
      </w:smartTag>
      <w:r w:rsidRPr="002C224A">
        <w:rPr>
          <w:lang w:eastAsia="en-US"/>
        </w:rPr>
        <w:t xml:space="preserve"> (část z nich v neveřejném módu).</w:t>
      </w:r>
    </w:p>
    <w:p w:rsidR="006D67F1" w:rsidRPr="002C224A" w:rsidRDefault="006D67F1">
      <w:pPr>
        <w:pStyle w:val="Neslovannadpisy"/>
        <w:rPr>
          <w:lang w:eastAsia="en-US"/>
        </w:rPr>
      </w:pPr>
    </w:p>
    <w:p w:rsidR="006D67F1" w:rsidRPr="002C224A" w:rsidRDefault="006D67F1">
      <w:pPr>
        <w:pStyle w:val="Neslovannadpisy"/>
        <w:rPr>
          <w:lang w:eastAsia="en-US"/>
        </w:rPr>
      </w:pPr>
      <w:r w:rsidRPr="002C224A">
        <w:rPr>
          <w:lang w:eastAsia="en-US"/>
        </w:rPr>
        <w:t>Poptávka po BF a jejich rekonstrukci</w:t>
      </w:r>
    </w:p>
    <w:p w:rsidR="006D67F1" w:rsidRPr="002C224A" w:rsidRDefault="006D67F1" w:rsidP="00677639">
      <w:pPr>
        <w:rPr>
          <w:lang w:eastAsia="en-US"/>
        </w:rPr>
      </w:pPr>
      <w:r w:rsidRPr="002C224A">
        <w:rPr>
          <w:lang w:eastAsia="en-US"/>
        </w:rPr>
        <w:t xml:space="preserve">Expertní odhad CI dle předběžných analýz do aktualizované národní strategie brownfieldů udává, že </w:t>
      </w:r>
      <w:r w:rsidRPr="002C224A">
        <w:rPr>
          <w:b/>
          <w:lang w:eastAsia="en-US"/>
        </w:rPr>
        <w:t>v období 2007-2013 bylo regenerováno kolem 15 % odhadovaného celkového počtu BF. Odhady počtu BF z roku 2007 je tedy možné úměrně redukovat</w:t>
      </w:r>
      <w:r w:rsidRPr="002C224A">
        <w:rPr>
          <w:lang w:eastAsia="en-US"/>
        </w:rPr>
        <w:t>. Mnohem větší počet BF se regeneruje ve městech, na venkově jen malá část – což je dáno i prostou vyšší četností ve městech. V oficiálně evidovaných plochách lze pozorovat růst počtu BF, ale úbytek jejich celkové plochy.</w:t>
      </w:r>
      <w:r w:rsidR="00422394" w:rsidRPr="002C224A">
        <w:rPr>
          <w:lang w:eastAsia="en-US"/>
        </w:rPr>
        <w:t xml:space="preserve"> </w:t>
      </w:r>
      <w:r w:rsidRPr="002C224A">
        <w:rPr>
          <w:b/>
          <w:lang w:eastAsia="en-US"/>
        </w:rPr>
        <w:t xml:space="preserve">Problémy s komplexním regenerováním velkých ploch nad </w:t>
      </w:r>
      <w:smartTag w:uri="urn:schemas-microsoft-com:office:smarttags" w:element="metricconverter">
        <w:smartTagPr>
          <w:attr w:name="ProductID" w:val="10 ha"/>
        </w:smartTagPr>
        <w:r w:rsidRPr="002C224A">
          <w:rPr>
            <w:b/>
            <w:lang w:eastAsia="en-US"/>
          </w:rPr>
          <w:t>10 ha</w:t>
        </w:r>
      </w:smartTag>
      <w:r w:rsidRPr="002C224A">
        <w:rPr>
          <w:b/>
          <w:lang w:eastAsia="en-US"/>
        </w:rPr>
        <w:t xml:space="preserve"> však zůstávají, tržní aktivita se v tomto segmentu omezuje na jednotlivé případy lukrativních lokalit.</w:t>
      </w:r>
    </w:p>
    <w:p w:rsidR="006D67F1" w:rsidRPr="002C224A" w:rsidRDefault="006D67F1" w:rsidP="00416BF2">
      <w:pPr>
        <w:rPr>
          <w:lang w:eastAsia="en-US"/>
        </w:rPr>
      </w:pPr>
    </w:p>
    <w:p w:rsidR="006D67F1" w:rsidRPr="002C224A" w:rsidRDefault="006D67F1" w:rsidP="00416BF2">
      <w:pPr>
        <w:rPr>
          <w:lang w:eastAsia="en-US"/>
        </w:rPr>
      </w:pPr>
      <w:r w:rsidRPr="002C224A">
        <w:rPr>
          <w:b/>
          <w:lang w:eastAsia="en-US"/>
        </w:rPr>
        <w:t>Z údajů CI vyplývá, že velká část BF byla v minulém období regenerována bez státní podpory na tržním principu</w:t>
      </w:r>
      <w:r w:rsidRPr="002C224A">
        <w:rPr>
          <w:lang w:eastAsia="en-US"/>
        </w:rPr>
        <w:t>. V rámci OPPI bylo podle odhadů CI z odhadovaných až 15 % BF regenerováno cca 3 %. Je nutné připočíst další operační programy, které se BF dotýkaly (viz veřejné zdroje financování), i tak byla nicméně soukromá tržní aktivita významná.</w:t>
      </w:r>
    </w:p>
    <w:p w:rsidR="006D67F1" w:rsidRPr="002C224A" w:rsidRDefault="006D67F1" w:rsidP="00416BF2">
      <w:pPr>
        <w:rPr>
          <w:lang w:eastAsia="en-US"/>
        </w:rPr>
      </w:pPr>
    </w:p>
    <w:p w:rsidR="006D67F1" w:rsidRPr="002C224A" w:rsidRDefault="006D67F1" w:rsidP="00416BF2">
      <w:pPr>
        <w:rPr>
          <w:lang w:eastAsia="en-US"/>
        </w:rPr>
      </w:pPr>
      <w:r w:rsidRPr="002C224A">
        <w:rPr>
          <w:lang w:eastAsia="en-US"/>
        </w:rPr>
        <w:t xml:space="preserve">Je nicméně nutné dodat, že </w:t>
      </w:r>
      <w:r w:rsidRPr="002C224A">
        <w:rPr>
          <w:b/>
          <w:lang w:eastAsia="en-US"/>
        </w:rPr>
        <w:t>v rámci tržně zregenerovaných BF v minulém období se jednalo typicky o tzv. áčkové plochy, tzn. ty nejsnadnější a nejvýnosnější BF</w:t>
      </w:r>
      <w:r w:rsidRPr="002C224A">
        <w:rPr>
          <w:lang w:eastAsia="en-US"/>
        </w:rPr>
        <w:t>, často na lukrativních městských plochách, případně s dobrou dopravní dostupností a menší rozlohou. Dá se tedy očekávat, že pro aktuální programovací období bude těchto potenciálně snadněji regenerovaných BF méně, naopak zbývají obtížnější projekty s potřebou podpory. Mnohé zanedbané nemovitosti zažívají nulovou poptávku a je možné, že pokud v jejich okolí není žádný expandující subjekt a dopravní infrastruktura je špatná, změní se jejich status na pozemky určené k asanaci a rekultivaci.</w:t>
      </w:r>
    </w:p>
    <w:p w:rsidR="006D67F1" w:rsidRPr="002C224A" w:rsidRDefault="006D67F1" w:rsidP="00511130">
      <w:pPr>
        <w:rPr>
          <w:lang w:eastAsia="en-US"/>
        </w:rPr>
      </w:pPr>
    </w:p>
    <w:p w:rsidR="006D67F1" w:rsidRPr="002C224A" w:rsidRDefault="006D67F1" w:rsidP="00511130">
      <w:pPr>
        <w:rPr>
          <w:lang w:eastAsia="en-US"/>
        </w:rPr>
      </w:pPr>
      <w:r w:rsidRPr="002C224A">
        <w:rPr>
          <w:b/>
          <w:lang w:eastAsia="en-US"/>
        </w:rPr>
        <w:t>Problematika investic do regenerace, rekonstrukce nebo revitalizace BF vykazuje významně nižší dynamiku, co se týče ročně generovaných investic, než je možné pozorovat například při výstavbě projektů na zelené louce (greenfields)</w:t>
      </w:r>
      <w:r w:rsidRPr="002C224A">
        <w:rPr>
          <w:lang w:eastAsia="en-US"/>
        </w:rPr>
        <w:t xml:space="preserve">. Na tzv. greenfieldech (GF) je realizována hlavní část nabídky podnikatelských nemovitostí. Hlavními aktéry na trhu jsou společnosti jako CTPark, ProLogis, Panattoni či VGP. </w:t>
      </w:r>
      <w:r w:rsidRPr="002C224A">
        <w:rPr>
          <w:b/>
          <w:lang w:eastAsia="en-US"/>
        </w:rPr>
        <w:t>Negativním efektem tohoto trendu je mimo jiné i výrazný úbytek orné půdy, která se na GF mění</w:t>
      </w:r>
      <w:r w:rsidRPr="002C224A">
        <w:rPr>
          <w:lang w:eastAsia="en-US"/>
        </w:rPr>
        <w:t>. Dle analýzy dostupných informací a pohovorů se zástupci veřejného i soukromého sektoru je klíčovým prvkem rozhodování při investicích do BF dostupnost dotačního titulu a jeho výše.</w:t>
      </w:r>
    </w:p>
    <w:p w:rsidR="006D67F1" w:rsidRPr="002C224A" w:rsidRDefault="006D67F1" w:rsidP="00416BF2">
      <w:pPr>
        <w:rPr>
          <w:lang w:eastAsia="en-US"/>
        </w:rPr>
      </w:pPr>
    </w:p>
    <w:p w:rsidR="006D67F1" w:rsidRPr="00A50943" w:rsidRDefault="007A3F34">
      <w:pPr>
        <w:keepNext/>
        <w:jc w:val="center"/>
      </w:pPr>
      <w:r w:rsidRPr="002C224A">
        <w:rPr>
          <w:rFonts w:cs="Arial"/>
          <w:noProof/>
          <w:color w:val="1F497D"/>
          <w:sz w:val="24"/>
          <w:szCs w:val="24"/>
        </w:rPr>
        <w:drawing>
          <wp:inline distT="0" distB="0" distL="0" distR="0" wp14:anchorId="56C1F62F" wp14:editId="6A0E5B30">
            <wp:extent cx="2171700" cy="1514475"/>
            <wp:effectExtent l="0" t="0" r="0" b="9525"/>
            <wp:docPr id="49"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1">
                      <a:extLst>
                        <a:ext uri="{28A0092B-C50C-407E-A947-70E740481C1C}">
                          <a14:useLocalDpi xmlns:a14="http://schemas.microsoft.com/office/drawing/2010/main" val="0"/>
                        </a:ext>
                      </a:extLst>
                    </a:blip>
                    <a:srcRect l="2582"/>
                    <a:stretch>
                      <a:fillRect/>
                    </a:stretch>
                  </pic:blipFill>
                  <pic:spPr bwMode="auto">
                    <a:xfrm>
                      <a:off x="0" y="0"/>
                      <a:ext cx="2171700" cy="1514475"/>
                    </a:xfrm>
                    <a:prstGeom prst="rect">
                      <a:avLst/>
                    </a:prstGeom>
                    <a:noFill/>
                    <a:ln>
                      <a:noFill/>
                    </a:ln>
                  </pic:spPr>
                </pic:pic>
              </a:graphicData>
            </a:graphic>
          </wp:inline>
        </w:drawing>
      </w:r>
    </w:p>
    <w:p w:rsidR="006D67F1" w:rsidRPr="002C224A" w:rsidRDefault="007A3F34" w:rsidP="00DF6E0B">
      <w:pPr>
        <w:pStyle w:val="Titulek"/>
        <w:jc w:val="center"/>
      </w:pPr>
      <w:r w:rsidRPr="002C224A">
        <w:rPr>
          <w:noProof/>
          <w:color w:val="1F497D"/>
          <w:sz w:val="24"/>
          <w:szCs w:val="24"/>
          <w:lang w:eastAsia="cs-CZ"/>
        </w:rPr>
        <w:drawing>
          <wp:inline distT="0" distB="0" distL="0" distR="0" wp14:anchorId="43CD32C7" wp14:editId="3221DD2D">
            <wp:extent cx="3733800" cy="180975"/>
            <wp:effectExtent l="0" t="0" r="0" b="9525"/>
            <wp:docPr id="50"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180975"/>
                    </a:xfrm>
                    <a:prstGeom prst="rect">
                      <a:avLst/>
                    </a:prstGeom>
                    <a:noFill/>
                    <a:ln>
                      <a:noFill/>
                    </a:ln>
                  </pic:spPr>
                </pic:pic>
              </a:graphicData>
            </a:graphic>
          </wp:inline>
        </w:drawing>
      </w:r>
    </w:p>
    <w:p w:rsidR="006D67F1" w:rsidRPr="002C224A" w:rsidRDefault="00646277" w:rsidP="00DF6E0B">
      <w:pPr>
        <w:pStyle w:val="Titulek"/>
        <w:jc w:val="left"/>
      </w:pPr>
      <w:r>
        <w:t>Obrázek</w:t>
      </w:r>
      <w:r w:rsidRPr="002C224A">
        <w:t xml:space="preserve"> </w:t>
      </w:r>
      <w:r>
        <w:t>22</w:t>
      </w:r>
      <w:r w:rsidR="006D67F1" w:rsidRPr="002C224A">
        <w:t xml:space="preserve">:  Rozložení poptávky po nemovitostech v 1. pololetí 2014 </w:t>
      </w:r>
    </w:p>
    <w:p w:rsidR="006D67F1" w:rsidRPr="002C224A" w:rsidRDefault="006D67F1" w:rsidP="00DF6E0B">
      <w:pPr>
        <w:pStyle w:val="Titulek"/>
        <w:jc w:val="left"/>
      </w:pPr>
      <w:r w:rsidRPr="002C224A">
        <w:t>Zdroj: CI 2014</w:t>
      </w:r>
    </w:p>
    <w:p w:rsidR="006D67F1" w:rsidRPr="00A50943" w:rsidRDefault="006D67F1" w:rsidP="002433DA">
      <w:pPr>
        <w:rPr>
          <w:b/>
          <w:bCs/>
        </w:rPr>
      </w:pPr>
    </w:p>
    <w:p w:rsidR="006D67F1" w:rsidRPr="002C224A" w:rsidRDefault="006D67F1" w:rsidP="009C2E9F">
      <w:pPr>
        <w:rPr>
          <w:lang w:eastAsia="en-US"/>
        </w:rPr>
      </w:pPr>
      <w:r w:rsidRPr="002C224A">
        <w:rPr>
          <w:b/>
          <w:lang w:eastAsia="en-US"/>
        </w:rPr>
        <w:t>Specifická poptávka po BF je přímo úměrná poptávce po nemovitostech</w:t>
      </w:r>
      <w:r w:rsidRPr="002C224A">
        <w:rPr>
          <w:lang w:eastAsia="en-US"/>
        </w:rPr>
        <w:t>, s růstem trhu nemovitostí stoupá i trh BF. Po krizovém období se tak aktivita na trhu v roce 2014 opět zvyšuje (viz tabulka níže). Podíl BF na celkové poptávce po nemovitostech je poměrně stabilní, na úrovni 20 % (viz graf č.  11)</w:t>
      </w:r>
    </w:p>
    <w:p w:rsidR="006D67F1" w:rsidRPr="002C224A" w:rsidRDefault="006D67F1" w:rsidP="009C2E9F">
      <w:pPr>
        <w:rPr>
          <w:lang w:eastAsia="en-US"/>
        </w:rPr>
      </w:pPr>
    </w:p>
    <w:tbl>
      <w:tblPr>
        <w:tblW w:w="787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037"/>
        <w:gridCol w:w="1722"/>
        <w:gridCol w:w="1134"/>
        <w:gridCol w:w="1559"/>
        <w:gridCol w:w="1418"/>
      </w:tblGrid>
      <w:tr w:rsidR="006D67F1" w:rsidRPr="002C224A" w:rsidTr="00841304">
        <w:trPr>
          <w:trHeight w:val="300"/>
        </w:trPr>
        <w:tc>
          <w:tcPr>
            <w:tcW w:w="2037" w:type="dxa"/>
            <w:tcBorders>
              <w:top w:val="single" w:sz="8" w:space="0" w:color="4F81BD"/>
            </w:tcBorders>
            <w:shd w:val="clear" w:color="auto" w:fill="4F81BD"/>
            <w:noWrap/>
          </w:tcPr>
          <w:p w:rsidR="006D67F1" w:rsidRPr="002C224A" w:rsidRDefault="006D67F1" w:rsidP="00A577A4">
            <w:pPr>
              <w:rPr>
                <w:b/>
                <w:bCs/>
                <w:color w:val="FFFFFF"/>
              </w:rPr>
            </w:pPr>
            <w:r w:rsidRPr="002C224A">
              <w:rPr>
                <w:bCs/>
              </w:rPr>
              <w:lastRenderedPageBreak/>
              <w:t>Region</w:t>
            </w:r>
          </w:p>
        </w:tc>
        <w:tc>
          <w:tcPr>
            <w:tcW w:w="1722" w:type="dxa"/>
            <w:tcBorders>
              <w:top w:val="single" w:sz="8" w:space="0" w:color="4F81BD"/>
              <w:left w:val="single" w:sz="8" w:space="0" w:color="4F81BD"/>
              <w:right w:val="single" w:sz="8" w:space="0" w:color="4F81BD"/>
            </w:tcBorders>
            <w:shd w:val="clear" w:color="auto" w:fill="4F81BD"/>
            <w:noWrap/>
          </w:tcPr>
          <w:p w:rsidR="006D67F1" w:rsidRPr="002C224A" w:rsidRDefault="006D67F1" w:rsidP="00841304">
            <w:pPr>
              <w:jc w:val="right"/>
              <w:rPr>
                <w:b/>
                <w:bCs/>
                <w:color w:val="FFFFFF"/>
              </w:rPr>
            </w:pPr>
            <w:r w:rsidRPr="002C224A">
              <w:rPr>
                <w:bCs/>
              </w:rPr>
              <w:t>Počet 2013</w:t>
            </w:r>
          </w:p>
        </w:tc>
        <w:tc>
          <w:tcPr>
            <w:tcW w:w="1134" w:type="dxa"/>
            <w:tcBorders>
              <w:top w:val="single" w:sz="8" w:space="0" w:color="4F81BD"/>
            </w:tcBorders>
            <w:shd w:val="clear" w:color="auto" w:fill="4F81BD"/>
            <w:noWrap/>
          </w:tcPr>
          <w:p w:rsidR="006D67F1" w:rsidRPr="002C224A" w:rsidRDefault="006D67F1" w:rsidP="00841304">
            <w:pPr>
              <w:jc w:val="right"/>
              <w:rPr>
                <w:b/>
                <w:bCs/>
                <w:color w:val="FFFFFF"/>
              </w:rPr>
            </w:pPr>
            <w:r w:rsidRPr="002C224A">
              <w:rPr>
                <w:bCs/>
              </w:rPr>
              <w:t>Podíl</w:t>
            </w:r>
          </w:p>
        </w:tc>
        <w:tc>
          <w:tcPr>
            <w:tcW w:w="1559" w:type="dxa"/>
            <w:tcBorders>
              <w:top w:val="single" w:sz="8" w:space="0" w:color="4F81BD"/>
              <w:left w:val="single" w:sz="8" w:space="0" w:color="4F81BD"/>
              <w:right w:val="single" w:sz="8" w:space="0" w:color="4F81BD"/>
            </w:tcBorders>
            <w:shd w:val="clear" w:color="auto" w:fill="4F81BD"/>
          </w:tcPr>
          <w:p w:rsidR="006D67F1" w:rsidRPr="002C224A" w:rsidRDefault="006D67F1" w:rsidP="00841304">
            <w:pPr>
              <w:jc w:val="right"/>
              <w:rPr>
                <w:b/>
                <w:bCs/>
                <w:color w:val="FFFFFF"/>
              </w:rPr>
            </w:pPr>
            <w:r w:rsidRPr="002C224A">
              <w:rPr>
                <w:bCs/>
              </w:rPr>
              <w:t>Počet 2014</w:t>
            </w:r>
          </w:p>
        </w:tc>
        <w:tc>
          <w:tcPr>
            <w:tcW w:w="1418" w:type="dxa"/>
            <w:tcBorders>
              <w:top w:val="single" w:sz="8" w:space="0" w:color="4F81BD"/>
            </w:tcBorders>
            <w:shd w:val="clear" w:color="auto" w:fill="4F81BD"/>
          </w:tcPr>
          <w:p w:rsidR="006D67F1" w:rsidRPr="002C224A" w:rsidRDefault="006D67F1" w:rsidP="00841304">
            <w:pPr>
              <w:jc w:val="right"/>
              <w:rPr>
                <w:b/>
                <w:bCs/>
                <w:color w:val="FFFFFF"/>
              </w:rPr>
            </w:pPr>
            <w:r w:rsidRPr="002C224A">
              <w:rPr>
                <w:bCs/>
              </w:rPr>
              <w:t>Podíl</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color w:val="000000"/>
              </w:rPr>
              <w:t>ČR</w:t>
            </w:r>
          </w:p>
        </w:tc>
        <w:tc>
          <w:tcPr>
            <w:tcW w:w="1722" w:type="dxa"/>
            <w:noWrap/>
          </w:tcPr>
          <w:p w:rsidR="006D67F1" w:rsidRPr="002C224A" w:rsidRDefault="006D67F1" w:rsidP="00841304">
            <w:pPr>
              <w:jc w:val="right"/>
              <w:rPr>
                <w:rFonts w:cs="Calibri"/>
                <w:b/>
                <w:bCs/>
                <w:color w:val="000000"/>
                <w:szCs w:val="22"/>
              </w:rPr>
            </w:pPr>
            <w:r w:rsidRPr="002C224A">
              <w:rPr>
                <w:b/>
                <w:bCs/>
                <w:color w:val="000000"/>
              </w:rPr>
              <w:t>28</w:t>
            </w:r>
          </w:p>
        </w:tc>
        <w:tc>
          <w:tcPr>
            <w:tcW w:w="1134" w:type="dxa"/>
            <w:noWrap/>
          </w:tcPr>
          <w:p w:rsidR="006D67F1" w:rsidRPr="002C224A" w:rsidRDefault="006D67F1" w:rsidP="00841304">
            <w:pPr>
              <w:jc w:val="right"/>
              <w:rPr>
                <w:rFonts w:cs="Calibri"/>
                <w:color w:val="000000"/>
                <w:szCs w:val="22"/>
              </w:rPr>
            </w:pPr>
            <w:r w:rsidRPr="002C224A">
              <w:rPr>
                <w:color w:val="000000"/>
              </w:rPr>
              <w:t>100%</w:t>
            </w:r>
          </w:p>
        </w:tc>
        <w:tc>
          <w:tcPr>
            <w:tcW w:w="1559" w:type="dxa"/>
          </w:tcPr>
          <w:p w:rsidR="006D67F1" w:rsidRPr="002C224A" w:rsidRDefault="006D67F1" w:rsidP="00841304">
            <w:pPr>
              <w:jc w:val="right"/>
              <w:rPr>
                <w:color w:val="000000"/>
              </w:rPr>
            </w:pPr>
            <w:r w:rsidRPr="002C224A">
              <w:rPr>
                <w:color w:val="000000"/>
              </w:rPr>
              <w:t>34</w:t>
            </w:r>
          </w:p>
        </w:tc>
        <w:tc>
          <w:tcPr>
            <w:tcW w:w="1418" w:type="dxa"/>
          </w:tcPr>
          <w:p w:rsidR="006D67F1" w:rsidRPr="002C224A" w:rsidRDefault="006D67F1" w:rsidP="00841304">
            <w:pPr>
              <w:jc w:val="right"/>
              <w:rPr>
                <w:color w:val="000000"/>
              </w:rPr>
            </w:pPr>
            <w:r w:rsidRPr="002C224A">
              <w:rPr>
                <w:color w:val="000000"/>
              </w:rPr>
              <w:t>100%</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Moravskoslezský</w:t>
            </w:r>
          </w:p>
        </w:tc>
        <w:tc>
          <w:tcPr>
            <w:tcW w:w="1722" w:type="dxa"/>
            <w:noWrap/>
          </w:tcPr>
          <w:p w:rsidR="006D67F1" w:rsidRPr="002C224A" w:rsidRDefault="006D67F1" w:rsidP="00841304">
            <w:pPr>
              <w:jc w:val="right"/>
              <w:rPr>
                <w:rFonts w:cs="Calibri"/>
                <w:color w:val="000000"/>
                <w:szCs w:val="22"/>
              </w:rPr>
            </w:pPr>
            <w:r w:rsidRPr="002C224A">
              <w:rPr>
                <w:color w:val="000000"/>
              </w:rPr>
              <w:t>6</w:t>
            </w:r>
          </w:p>
        </w:tc>
        <w:tc>
          <w:tcPr>
            <w:tcW w:w="1134" w:type="dxa"/>
            <w:noWrap/>
          </w:tcPr>
          <w:p w:rsidR="006D67F1" w:rsidRPr="002C224A" w:rsidRDefault="006D67F1" w:rsidP="00841304">
            <w:pPr>
              <w:jc w:val="right"/>
              <w:rPr>
                <w:rFonts w:cs="Calibri"/>
                <w:color w:val="000000"/>
                <w:szCs w:val="22"/>
              </w:rPr>
            </w:pPr>
            <w:r w:rsidRPr="002C224A">
              <w:rPr>
                <w:color w:val="000000"/>
              </w:rPr>
              <w:t>21,4%</w:t>
            </w:r>
          </w:p>
        </w:tc>
        <w:tc>
          <w:tcPr>
            <w:tcW w:w="1559" w:type="dxa"/>
          </w:tcPr>
          <w:p w:rsidR="006D67F1" w:rsidRPr="002C224A" w:rsidRDefault="006D67F1" w:rsidP="00841304">
            <w:pPr>
              <w:jc w:val="right"/>
              <w:rPr>
                <w:color w:val="000000"/>
              </w:rPr>
            </w:pPr>
            <w:r w:rsidRPr="002C224A">
              <w:rPr>
                <w:color w:val="000000"/>
              </w:rPr>
              <w:t>2</w:t>
            </w:r>
          </w:p>
        </w:tc>
        <w:tc>
          <w:tcPr>
            <w:tcW w:w="1418" w:type="dxa"/>
          </w:tcPr>
          <w:p w:rsidR="006D67F1" w:rsidRPr="002C224A" w:rsidRDefault="006D67F1" w:rsidP="00841304">
            <w:pPr>
              <w:jc w:val="right"/>
              <w:rPr>
                <w:color w:val="000000"/>
              </w:rPr>
            </w:pPr>
            <w:r w:rsidRPr="002C224A">
              <w:rPr>
                <w:color w:val="000000"/>
              </w:rPr>
              <w:t>5,9%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Středočeský</w:t>
            </w:r>
          </w:p>
        </w:tc>
        <w:tc>
          <w:tcPr>
            <w:tcW w:w="1722" w:type="dxa"/>
            <w:noWrap/>
          </w:tcPr>
          <w:p w:rsidR="006D67F1" w:rsidRPr="002C224A" w:rsidRDefault="006D67F1" w:rsidP="00841304">
            <w:pPr>
              <w:jc w:val="right"/>
              <w:rPr>
                <w:rFonts w:cs="Calibri"/>
                <w:color w:val="000000"/>
                <w:szCs w:val="22"/>
              </w:rPr>
            </w:pPr>
            <w:r w:rsidRPr="002C224A">
              <w:rPr>
                <w:color w:val="000000"/>
              </w:rPr>
              <w:t>3</w:t>
            </w:r>
          </w:p>
        </w:tc>
        <w:tc>
          <w:tcPr>
            <w:tcW w:w="1134" w:type="dxa"/>
            <w:noWrap/>
          </w:tcPr>
          <w:p w:rsidR="006D67F1" w:rsidRPr="002C224A" w:rsidRDefault="006D67F1" w:rsidP="00841304">
            <w:pPr>
              <w:jc w:val="right"/>
              <w:rPr>
                <w:rFonts w:cs="Calibri"/>
                <w:color w:val="000000"/>
                <w:szCs w:val="22"/>
              </w:rPr>
            </w:pPr>
            <w:r w:rsidRPr="002C224A">
              <w:rPr>
                <w:color w:val="000000"/>
              </w:rPr>
              <w:t>10,7%</w:t>
            </w:r>
          </w:p>
        </w:tc>
        <w:tc>
          <w:tcPr>
            <w:tcW w:w="1559" w:type="dxa"/>
          </w:tcPr>
          <w:p w:rsidR="006D67F1" w:rsidRPr="002C224A" w:rsidRDefault="006D67F1" w:rsidP="00841304">
            <w:pPr>
              <w:jc w:val="right"/>
              <w:rPr>
                <w:color w:val="000000"/>
              </w:rPr>
            </w:pPr>
            <w:r w:rsidRPr="002C224A">
              <w:rPr>
                <w:color w:val="000000"/>
              </w:rPr>
              <w:t>9</w:t>
            </w:r>
          </w:p>
        </w:tc>
        <w:tc>
          <w:tcPr>
            <w:tcW w:w="1418" w:type="dxa"/>
          </w:tcPr>
          <w:p w:rsidR="006D67F1" w:rsidRPr="002C224A" w:rsidRDefault="006D67F1" w:rsidP="00841304">
            <w:pPr>
              <w:jc w:val="right"/>
              <w:rPr>
                <w:color w:val="000000"/>
              </w:rPr>
            </w:pPr>
            <w:r w:rsidRPr="002C224A">
              <w:rPr>
                <w:color w:val="000000"/>
              </w:rPr>
              <w:t>26,5%</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Jihomoravský</w:t>
            </w:r>
          </w:p>
        </w:tc>
        <w:tc>
          <w:tcPr>
            <w:tcW w:w="1722" w:type="dxa"/>
            <w:noWrap/>
          </w:tcPr>
          <w:p w:rsidR="006D67F1" w:rsidRPr="002C224A" w:rsidRDefault="006D67F1" w:rsidP="00841304">
            <w:pPr>
              <w:jc w:val="right"/>
              <w:rPr>
                <w:rFonts w:cs="Calibri"/>
                <w:color w:val="000000"/>
                <w:szCs w:val="22"/>
              </w:rPr>
            </w:pPr>
            <w:r w:rsidRPr="002C224A">
              <w:rPr>
                <w:color w:val="000000"/>
              </w:rPr>
              <w:t>4</w:t>
            </w:r>
          </w:p>
        </w:tc>
        <w:tc>
          <w:tcPr>
            <w:tcW w:w="1134" w:type="dxa"/>
            <w:noWrap/>
          </w:tcPr>
          <w:p w:rsidR="006D67F1" w:rsidRPr="002C224A" w:rsidRDefault="006D67F1" w:rsidP="00841304">
            <w:pPr>
              <w:jc w:val="right"/>
              <w:rPr>
                <w:rFonts w:cs="Calibri"/>
                <w:color w:val="000000"/>
                <w:szCs w:val="22"/>
              </w:rPr>
            </w:pPr>
            <w:r w:rsidRPr="002C224A">
              <w:rPr>
                <w:color w:val="000000"/>
              </w:rPr>
              <w:t>14,3%</w:t>
            </w:r>
          </w:p>
        </w:tc>
        <w:tc>
          <w:tcPr>
            <w:tcW w:w="1559" w:type="dxa"/>
          </w:tcPr>
          <w:p w:rsidR="006D67F1" w:rsidRPr="002C224A" w:rsidRDefault="006D67F1" w:rsidP="00841304">
            <w:pPr>
              <w:jc w:val="right"/>
              <w:rPr>
                <w:color w:val="000000"/>
              </w:rPr>
            </w:pPr>
            <w:r w:rsidRPr="002C224A">
              <w:rPr>
                <w:color w:val="000000"/>
              </w:rPr>
              <w:t>5</w:t>
            </w:r>
          </w:p>
        </w:tc>
        <w:tc>
          <w:tcPr>
            <w:tcW w:w="1418" w:type="dxa"/>
          </w:tcPr>
          <w:p w:rsidR="006D67F1" w:rsidRPr="002C224A" w:rsidRDefault="006D67F1" w:rsidP="00841304">
            <w:pPr>
              <w:jc w:val="right"/>
              <w:rPr>
                <w:color w:val="000000"/>
              </w:rPr>
            </w:pPr>
            <w:r w:rsidRPr="002C224A">
              <w:rPr>
                <w:color w:val="000000"/>
              </w:rPr>
              <w:t>14,7%</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Plzeňský</w:t>
            </w:r>
          </w:p>
        </w:tc>
        <w:tc>
          <w:tcPr>
            <w:tcW w:w="1722" w:type="dxa"/>
            <w:noWrap/>
          </w:tcPr>
          <w:p w:rsidR="006D67F1" w:rsidRPr="002C224A" w:rsidRDefault="006D67F1" w:rsidP="00841304">
            <w:pPr>
              <w:jc w:val="right"/>
              <w:rPr>
                <w:rFonts w:cs="Calibri"/>
                <w:color w:val="000000"/>
                <w:szCs w:val="22"/>
              </w:rPr>
            </w:pPr>
            <w:r w:rsidRPr="002C224A">
              <w:rPr>
                <w:color w:val="000000"/>
              </w:rPr>
              <w:t>2</w:t>
            </w:r>
          </w:p>
        </w:tc>
        <w:tc>
          <w:tcPr>
            <w:tcW w:w="1134" w:type="dxa"/>
            <w:noWrap/>
          </w:tcPr>
          <w:p w:rsidR="006D67F1" w:rsidRPr="002C224A" w:rsidRDefault="006D67F1" w:rsidP="00841304">
            <w:pPr>
              <w:jc w:val="right"/>
              <w:rPr>
                <w:rFonts w:cs="Calibri"/>
                <w:color w:val="000000"/>
                <w:szCs w:val="22"/>
              </w:rPr>
            </w:pPr>
            <w:r w:rsidRPr="002C224A">
              <w:rPr>
                <w:color w:val="000000"/>
              </w:rPr>
              <w:t>7,1%</w:t>
            </w:r>
          </w:p>
        </w:tc>
        <w:tc>
          <w:tcPr>
            <w:tcW w:w="1559" w:type="dxa"/>
          </w:tcPr>
          <w:p w:rsidR="006D67F1" w:rsidRPr="002C224A" w:rsidRDefault="006D67F1" w:rsidP="00841304">
            <w:pPr>
              <w:jc w:val="right"/>
              <w:rPr>
                <w:color w:val="000000"/>
              </w:rPr>
            </w:pPr>
            <w:r w:rsidRPr="002C224A">
              <w:rPr>
                <w:color w:val="000000"/>
              </w:rPr>
              <w:t>2</w:t>
            </w:r>
          </w:p>
        </w:tc>
        <w:tc>
          <w:tcPr>
            <w:tcW w:w="1418" w:type="dxa"/>
          </w:tcPr>
          <w:p w:rsidR="006D67F1" w:rsidRPr="002C224A" w:rsidRDefault="006D67F1" w:rsidP="00841304">
            <w:pPr>
              <w:jc w:val="right"/>
              <w:rPr>
                <w:color w:val="000000"/>
              </w:rPr>
            </w:pPr>
            <w:r w:rsidRPr="002C224A">
              <w:rPr>
                <w:color w:val="000000"/>
              </w:rPr>
              <w:t>5,9%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Ústecký</w:t>
            </w:r>
          </w:p>
        </w:tc>
        <w:tc>
          <w:tcPr>
            <w:tcW w:w="1722" w:type="dxa"/>
            <w:noWrap/>
          </w:tcPr>
          <w:p w:rsidR="006D67F1" w:rsidRPr="002C224A" w:rsidRDefault="006D67F1" w:rsidP="00841304">
            <w:pPr>
              <w:jc w:val="right"/>
              <w:rPr>
                <w:rFonts w:cs="Calibri"/>
                <w:color w:val="000000"/>
                <w:szCs w:val="22"/>
              </w:rPr>
            </w:pPr>
            <w:r w:rsidRPr="002C224A">
              <w:rPr>
                <w:color w:val="000000"/>
              </w:rPr>
              <w:t>1</w:t>
            </w:r>
          </w:p>
        </w:tc>
        <w:tc>
          <w:tcPr>
            <w:tcW w:w="1134" w:type="dxa"/>
            <w:noWrap/>
          </w:tcPr>
          <w:p w:rsidR="006D67F1" w:rsidRPr="002C224A" w:rsidRDefault="006D67F1" w:rsidP="00841304">
            <w:pPr>
              <w:jc w:val="right"/>
              <w:rPr>
                <w:rFonts w:cs="Calibri"/>
                <w:color w:val="000000"/>
                <w:szCs w:val="22"/>
              </w:rPr>
            </w:pPr>
            <w:r w:rsidRPr="002C224A">
              <w:rPr>
                <w:color w:val="000000"/>
              </w:rPr>
              <w:t>3,6%</w:t>
            </w:r>
          </w:p>
        </w:tc>
        <w:tc>
          <w:tcPr>
            <w:tcW w:w="1559" w:type="dxa"/>
          </w:tcPr>
          <w:p w:rsidR="006D67F1" w:rsidRPr="002C224A" w:rsidRDefault="006D67F1" w:rsidP="00841304">
            <w:pPr>
              <w:jc w:val="right"/>
              <w:rPr>
                <w:color w:val="000000"/>
              </w:rPr>
            </w:pPr>
            <w:r w:rsidRPr="002C224A">
              <w:rPr>
                <w:color w:val="000000"/>
              </w:rPr>
              <w:t>2</w:t>
            </w:r>
          </w:p>
        </w:tc>
        <w:tc>
          <w:tcPr>
            <w:tcW w:w="1418" w:type="dxa"/>
          </w:tcPr>
          <w:p w:rsidR="006D67F1" w:rsidRPr="002C224A" w:rsidRDefault="006D67F1" w:rsidP="00841304">
            <w:pPr>
              <w:jc w:val="right"/>
              <w:rPr>
                <w:color w:val="000000"/>
              </w:rPr>
            </w:pPr>
            <w:r w:rsidRPr="002C224A">
              <w:rPr>
                <w:color w:val="000000"/>
              </w:rPr>
              <w:t>5,9%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Karlovarský</w:t>
            </w:r>
          </w:p>
        </w:tc>
        <w:tc>
          <w:tcPr>
            <w:tcW w:w="1722" w:type="dxa"/>
            <w:noWrap/>
          </w:tcPr>
          <w:p w:rsidR="006D67F1" w:rsidRPr="002C224A" w:rsidRDefault="006D67F1" w:rsidP="00841304">
            <w:pPr>
              <w:jc w:val="right"/>
              <w:rPr>
                <w:rFonts w:cs="Calibri"/>
                <w:color w:val="000000"/>
                <w:szCs w:val="22"/>
              </w:rPr>
            </w:pPr>
            <w:r w:rsidRPr="002C224A">
              <w:rPr>
                <w:color w:val="000000"/>
              </w:rPr>
              <w:t>0</w:t>
            </w:r>
          </w:p>
        </w:tc>
        <w:tc>
          <w:tcPr>
            <w:tcW w:w="1134" w:type="dxa"/>
            <w:noWrap/>
          </w:tcPr>
          <w:p w:rsidR="006D67F1" w:rsidRPr="002C224A" w:rsidRDefault="006D67F1" w:rsidP="00841304">
            <w:pPr>
              <w:jc w:val="right"/>
              <w:rPr>
                <w:rFonts w:cs="Calibri"/>
                <w:color w:val="000000"/>
                <w:szCs w:val="22"/>
              </w:rPr>
            </w:pPr>
            <w:r w:rsidRPr="002C224A">
              <w:rPr>
                <w:color w:val="000000"/>
              </w:rPr>
              <w:t>0,0%</w:t>
            </w:r>
          </w:p>
        </w:tc>
        <w:tc>
          <w:tcPr>
            <w:tcW w:w="1559" w:type="dxa"/>
          </w:tcPr>
          <w:p w:rsidR="006D67F1" w:rsidRPr="002C224A" w:rsidRDefault="006D67F1" w:rsidP="00841304">
            <w:pPr>
              <w:jc w:val="right"/>
              <w:rPr>
                <w:color w:val="000000"/>
              </w:rPr>
            </w:pPr>
            <w:r w:rsidRPr="002C224A">
              <w:rPr>
                <w:color w:val="000000"/>
              </w:rPr>
              <w:t>4</w:t>
            </w:r>
          </w:p>
        </w:tc>
        <w:tc>
          <w:tcPr>
            <w:tcW w:w="1418" w:type="dxa"/>
          </w:tcPr>
          <w:p w:rsidR="006D67F1" w:rsidRPr="002C224A" w:rsidRDefault="006D67F1" w:rsidP="00841304">
            <w:pPr>
              <w:jc w:val="right"/>
              <w:rPr>
                <w:color w:val="000000"/>
              </w:rPr>
            </w:pPr>
            <w:r w:rsidRPr="002C224A">
              <w:rPr>
                <w:color w:val="000000"/>
              </w:rPr>
              <w:t>11,8%</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Královehradecký</w:t>
            </w:r>
          </w:p>
        </w:tc>
        <w:tc>
          <w:tcPr>
            <w:tcW w:w="1722" w:type="dxa"/>
            <w:noWrap/>
          </w:tcPr>
          <w:p w:rsidR="006D67F1" w:rsidRPr="002C224A" w:rsidRDefault="006D67F1" w:rsidP="00841304">
            <w:pPr>
              <w:jc w:val="right"/>
              <w:rPr>
                <w:rFonts w:cs="Calibri"/>
                <w:color w:val="000000"/>
                <w:szCs w:val="22"/>
              </w:rPr>
            </w:pPr>
            <w:r w:rsidRPr="002C224A">
              <w:rPr>
                <w:color w:val="000000"/>
              </w:rPr>
              <w:t>3</w:t>
            </w:r>
          </w:p>
        </w:tc>
        <w:tc>
          <w:tcPr>
            <w:tcW w:w="1134" w:type="dxa"/>
            <w:noWrap/>
          </w:tcPr>
          <w:p w:rsidR="006D67F1" w:rsidRPr="002C224A" w:rsidRDefault="006D67F1" w:rsidP="00841304">
            <w:pPr>
              <w:jc w:val="right"/>
              <w:rPr>
                <w:rFonts w:cs="Calibri"/>
                <w:color w:val="000000"/>
                <w:szCs w:val="22"/>
              </w:rPr>
            </w:pPr>
            <w:r w:rsidRPr="002C224A">
              <w:rPr>
                <w:color w:val="000000"/>
              </w:rPr>
              <w:t>10,7%</w:t>
            </w:r>
          </w:p>
        </w:tc>
        <w:tc>
          <w:tcPr>
            <w:tcW w:w="1559" w:type="dxa"/>
          </w:tcPr>
          <w:p w:rsidR="006D67F1" w:rsidRPr="002C224A" w:rsidRDefault="006D67F1" w:rsidP="00841304">
            <w:pPr>
              <w:jc w:val="right"/>
              <w:rPr>
                <w:color w:val="000000"/>
              </w:rPr>
            </w:pPr>
            <w:r w:rsidRPr="002C224A">
              <w:rPr>
                <w:color w:val="000000"/>
              </w:rPr>
              <w:t>1</w:t>
            </w:r>
          </w:p>
        </w:tc>
        <w:tc>
          <w:tcPr>
            <w:tcW w:w="1418" w:type="dxa"/>
          </w:tcPr>
          <w:p w:rsidR="006D67F1" w:rsidRPr="002C224A" w:rsidRDefault="006D67F1" w:rsidP="00841304">
            <w:pPr>
              <w:jc w:val="right"/>
              <w:rPr>
                <w:color w:val="000000"/>
              </w:rPr>
            </w:pPr>
            <w:r w:rsidRPr="002C224A">
              <w:rPr>
                <w:color w:val="000000"/>
              </w:rPr>
              <w:t>2,9%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Zlínský</w:t>
            </w:r>
          </w:p>
        </w:tc>
        <w:tc>
          <w:tcPr>
            <w:tcW w:w="1722" w:type="dxa"/>
            <w:noWrap/>
          </w:tcPr>
          <w:p w:rsidR="006D67F1" w:rsidRPr="002C224A" w:rsidRDefault="006D67F1" w:rsidP="00841304">
            <w:pPr>
              <w:jc w:val="right"/>
              <w:rPr>
                <w:rFonts w:cs="Calibri"/>
                <w:color w:val="000000"/>
                <w:szCs w:val="22"/>
              </w:rPr>
            </w:pPr>
            <w:r w:rsidRPr="002C224A">
              <w:rPr>
                <w:color w:val="000000"/>
              </w:rPr>
              <w:t>1</w:t>
            </w:r>
          </w:p>
        </w:tc>
        <w:tc>
          <w:tcPr>
            <w:tcW w:w="1134" w:type="dxa"/>
            <w:noWrap/>
          </w:tcPr>
          <w:p w:rsidR="006D67F1" w:rsidRPr="002C224A" w:rsidRDefault="006D67F1" w:rsidP="00841304">
            <w:pPr>
              <w:jc w:val="right"/>
              <w:rPr>
                <w:rFonts w:cs="Calibri"/>
                <w:color w:val="000000"/>
                <w:szCs w:val="22"/>
              </w:rPr>
            </w:pPr>
            <w:r w:rsidRPr="002C224A">
              <w:rPr>
                <w:color w:val="000000"/>
              </w:rPr>
              <w:t>3,6%</w:t>
            </w:r>
          </w:p>
        </w:tc>
        <w:tc>
          <w:tcPr>
            <w:tcW w:w="1559" w:type="dxa"/>
          </w:tcPr>
          <w:p w:rsidR="006D67F1" w:rsidRPr="002C224A" w:rsidRDefault="006D67F1" w:rsidP="00841304">
            <w:pPr>
              <w:jc w:val="right"/>
              <w:rPr>
                <w:color w:val="000000"/>
              </w:rPr>
            </w:pPr>
            <w:r w:rsidRPr="002C224A">
              <w:rPr>
                <w:color w:val="000000"/>
              </w:rPr>
              <w:t>4</w:t>
            </w:r>
          </w:p>
        </w:tc>
        <w:tc>
          <w:tcPr>
            <w:tcW w:w="1418" w:type="dxa"/>
          </w:tcPr>
          <w:p w:rsidR="006D67F1" w:rsidRPr="002C224A" w:rsidRDefault="006D67F1" w:rsidP="00841304">
            <w:pPr>
              <w:jc w:val="right"/>
              <w:rPr>
                <w:color w:val="000000"/>
              </w:rPr>
            </w:pPr>
            <w:r w:rsidRPr="002C224A">
              <w:rPr>
                <w:color w:val="000000"/>
              </w:rPr>
              <w:t>11,8%</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Olomoucký</w:t>
            </w:r>
          </w:p>
        </w:tc>
        <w:tc>
          <w:tcPr>
            <w:tcW w:w="1722" w:type="dxa"/>
            <w:noWrap/>
          </w:tcPr>
          <w:p w:rsidR="006D67F1" w:rsidRPr="002C224A" w:rsidRDefault="006D67F1" w:rsidP="00841304">
            <w:pPr>
              <w:jc w:val="right"/>
              <w:rPr>
                <w:rFonts w:cs="Calibri"/>
                <w:color w:val="000000"/>
                <w:szCs w:val="22"/>
              </w:rPr>
            </w:pPr>
            <w:r w:rsidRPr="002C224A">
              <w:rPr>
                <w:color w:val="000000"/>
              </w:rPr>
              <w:t>1</w:t>
            </w:r>
          </w:p>
        </w:tc>
        <w:tc>
          <w:tcPr>
            <w:tcW w:w="1134" w:type="dxa"/>
            <w:noWrap/>
          </w:tcPr>
          <w:p w:rsidR="006D67F1" w:rsidRPr="002C224A" w:rsidRDefault="006D67F1" w:rsidP="00841304">
            <w:pPr>
              <w:jc w:val="right"/>
              <w:rPr>
                <w:rFonts w:cs="Calibri"/>
                <w:color w:val="000000"/>
                <w:szCs w:val="22"/>
              </w:rPr>
            </w:pPr>
            <w:r w:rsidRPr="002C224A">
              <w:rPr>
                <w:color w:val="000000"/>
              </w:rPr>
              <w:t>3,6%</w:t>
            </w:r>
          </w:p>
        </w:tc>
        <w:tc>
          <w:tcPr>
            <w:tcW w:w="1559" w:type="dxa"/>
          </w:tcPr>
          <w:p w:rsidR="006D67F1" w:rsidRPr="002C224A" w:rsidRDefault="006D67F1" w:rsidP="00841304">
            <w:pPr>
              <w:jc w:val="right"/>
              <w:rPr>
                <w:color w:val="000000"/>
              </w:rPr>
            </w:pPr>
            <w:r w:rsidRPr="002C224A">
              <w:rPr>
                <w:color w:val="000000"/>
              </w:rPr>
              <w:t>2</w:t>
            </w:r>
          </w:p>
        </w:tc>
        <w:tc>
          <w:tcPr>
            <w:tcW w:w="1418" w:type="dxa"/>
          </w:tcPr>
          <w:p w:rsidR="006D67F1" w:rsidRPr="002C224A" w:rsidRDefault="006D67F1" w:rsidP="00841304">
            <w:pPr>
              <w:jc w:val="right"/>
              <w:rPr>
                <w:color w:val="000000"/>
              </w:rPr>
            </w:pPr>
            <w:r w:rsidRPr="002C224A">
              <w:rPr>
                <w:color w:val="000000"/>
              </w:rPr>
              <w:t>5,9%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Liberecký</w:t>
            </w:r>
          </w:p>
        </w:tc>
        <w:tc>
          <w:tcPr>
            <w:tcW w:w="1722" w:type="dxa"/>
            <w:noWrap/>
          </w:tcPr>
          <w:p w:rsidR="006D67F1" w:rsidRPr="002C224A" w:rsidRDefault="006D67F1" w:rsidP="00841304">
            <w:pPr>
              <w:jc w:val="right"/>
              <w:rPr>
                <w:rFonts w:cs="Calibri"/>
                <w:color w:val="000000"/>
                <w:szCs w:val="22"/>
              </w:rPr>
            </w:pPr>
            <w:r w:rsidRPr="002C224A">
              <w:rPr>
                <w:color w:val="000000"/>
              </w:rPr>
              <w:t>0</w:t>
            </w:r>
          </w:p>
        </w:tc>
        <w:tc>
          <w:tcPr>
            <w:tcW w:w="1134" w:type="dxa"/>
            <w:noWrap/>
          </w:tcPr>
          <w:p w:rsidR="006D67F1" w:rsidRPr="002C224A" w:rsidRDefault="006D67F1" w:rsidP="00841304">
            <w:pPr>
              <w:jc w:val="right"/>
              <w:rPr>
                <w:rFonts w:cs="Calibri"/>
                <w:color w:val="000000"/>
                <w:szCs w:val="22"/>
              </w:rPr>
            </w:pPr>
            <w:r w:rsidRPr="002C224A">
              <w:rPr>
                <w:color w:val="000000"/>
              </w:rPr>
              <w:t>0,0%</w:t>
            </w:r>
          </w:p>
        </w:tc>
        <w:tc>
          <w:tcPr>
            <w:tcW w:w="1559" w:type="dxa"/>
          </w:tcPr>
          <w:p w:rsidR="006D67F1" w:rsidRPr="002C224A" w:rsidRDefault="006D67F1" w:rsidP="00841304">
            <w:pPr>
              <w:jc w:val="right"/>
              <w:rPr>
                <w:color w:val="000000"/>
              </w:rPr>
            </w:pPr>
            <w:r w:rsidRPr="002C224A">
              <w:rPr>
                <w:color w:val="000000"/>
              </w:rPr>
              <w:t>2</w:t>
            </w:r>
          </w:p>
        </w:tc>
        <w:tc>
          <w:tcPr>
            <w:tcW w:w="1418" w:type="dxa"/>
          </w:tcPr>
          <w:p w:rsidR="006D67F1" w:rsidRPr="002C224A" w:rsidRDefault="006D67F1" w:rsidP="00841304">
            <w:pPr>
              <w:jc w:val="right"/>
              <w:rPr>
                <w:color w:val="000000"/>
              </w:rPr>
            </w:pPr>
            <w:r w:rsidRPr="002C224A">
              <w:rPr>
                <w:color w:val="000000"/>
              </w:rPr>
              <w:t>5,9%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Pardubický</w:t>
            </w:r>
          </w:p>
        </w:tc>
        <w:tc>
          <w:tcPr>
            <w:tcW w:w="1722" w:type="dxa"/>
            <w:noWrap/>
          </w:tcPr>
          <w:p w:rsidR="006D67F1" w:rsidRPr="002C224A" w:rsidRDefault="006D67F1" w:rsidP="00841304">
            <w:pPr>
              <w:jc w:val="right"/>
              <w:rPr>
                <w:rFonts w:cs="Calibri"/>
                <w:color w:val="000000"/>
                <w:szCs w:val="22"/>
              </w:rPr>
            </w:pPr>
            <w:r w:rsidRPr="002C224A">
              <w:rPr>
                <w:color w:val="000000"/>
              </w:rPr>
              <w:t>6</w:t>
            </w:r>
          </w:p>
        </w:tc>
        <w:tc>
          <w:tcPr>
            <w:tcW w:w="1134" w:type="dxa"/>
            <w:noWrap/>
          </w:tcPr>
          <w:p w:rsidR="006D67F1" w:rsidRPr="002C224A" w:rsidRDefault="006D67F1" w:rsidP="00841304">
            <w:pPr>
              <w:jc w:val="right"/>
              <w:rPr>
                <w:rFonts w:cs="Calibri"/>
                <w:color w:val="000000"/>
                <w:szCs w:val="22"/>
              </w:rPr>
            </w:pPr>
            <w:r w:rsidRPr="002C224A">
              <w:rPr>
                <w:color w:val="000000"/>
              </w:rPr>
              <w:t>21,4%</w:t>
            </w:r>
          </w:p>
        </w:tc>
        <w:tc>
          <w:tcPr>
            <w:tcW w:w="1559" w:type="dxa"/>
          </w:tcPr>
          <w:p w:rsidR="006D67F1" w:rsidRPr="002C224A" w:rsidRDefault="006D67F1" w:rsidP="00841304">
            <w:pPr>
              <w:jc w:val="right"/>
              <w:rPr>
                <w:color w:val="000000"/>
              </w:rPr>
            </w:pPr>
            <w:r w:rsidRPr="002C224A">
              <w:rPr>
                <w:color w:val="000000"/>
              </w:rPr>
              <w:t>0</w:t>
            </w:r>
          </w:p>
        </w:tc>
        <w:tc>
          <w:tcPr>
            <w:tcW w:w="1418" w:type="dxa"/>
          </w:tcPr>
          <w:p w:rsidR="006D67F1" w:rsidRPr="002C224A" w:rsidRDefault="006D67F1" w:rsidP="00841304">
            <w:pPr>
              <w:jc w:val="right"/>
              <w:rPr>
                <w:color w:val="000000"/>
              </w:rPr>
            </w:pPr>
            <w:r w:rsidRPr="002C224A">
              <w:rPr>
                <w:color w:val="000000"/>
              </w:rPr>
              <w:t>0%</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Jihočeský</w:t>
            </w:r>
          </w:p>
        </w:tc>
        <w:tc>
          <w:tcPr>
            <w:tcW w:w="1722" w:type="dxa"/>
            <w:noWrap/>
          </w:tcPr>
          <w:p w:rsidR="006D67F1" w:rsidRPr="002C224A" w:rsidRDefault="006D67F1" w:rsidP="00841304">
            <w:pPr>
              <w:jc w:val="right"/>
              <w:rPr>
                <w:rFonts w:cs="Calibri"/>
                <w:color w:val="000000"/>
                <w:szCs w:val="22"/>
              </w:rPr>
            </w:pPr>
            <w:r w:rsidRPr="002C224A">
              <w:rPr>
                <w:color w:val="000000"/>
              </w:rPr>
              <w:t>0</w:t>
            </w:r>
          </w:p>
        </w:tc>
        <w:tc>
          <w:tcPr>
            <w:tcW w:w="1134" w:type="dxa"/>
            <w:noWrap/>
          </w:tcPr>
          <w:p w:rsidR="006D67F1" w:rsidRPr="002C224A" w:rsidRDefault="006D67F1" w:rsidP="00841304">
            <w:pPr>
              <w:jc w:val="right"/>
              <w:rPr>
                <w:rFonts w:cs="Calibri"/>
                <w:color w:val="000000"/>
                <w:szCs w:val="22"/>
              </w:rPr>
            </w:pPr>
            <w:r w:rsidRPr="002C224A">
              <w:rPr>
                <w:color w:val="000000"/>
              </w:rPr>
              <w:t>0,0%</w:t>
            </w:r>
          </w:p>
        </w:tc>
        <w:tc>
          <w:tcPr>
            <w:tcW w:w="1559" w:type="dxa"/>
          </w:tcPr>
          <w:p w:rsidR="006D67F1" w:rsidRPr="002C224A" w:rsidRDefault="006D67F1" w:rsidP="00841304">
            <w:pPr>
              <w:jc w:val="right"/>
              <w:rPr>
                <w:color w:val="000000"/>
              </w:rPr>
            </w:pPr>
            <w:r w:rsidRPr="002C224A">
              <w:rPr>
                <w:color w:val="000000"/>
              </w:rPr>
              <w:t>1</w:t>
            </w:r>
          </w:p>
        </w:tc>
        <w:tc>
          <w:tcPr>
            <w:tcW w:w="1418" w:type="dxa"/>
          </w:tcPr>
          <w:p w:rsidR="006D67F1" w:rsidRPr="002C224A" w:rsidRDefault="006D67F1" w:rsidP="00841304">
            <w:pPr>
              <w:jc w:val="right"/>
              <w:rPr>
                <w:color w:val="000000"/>
              </w:rPr>
            </w:pPr>
            <w:r w:rsidRPr="002C224A">
              <w:rPr>
                <w:color w:val="000000"/>
              </w:rPr>
              <w:t>2,9%</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Vysočina</w:t>
            </w:r>
          </w:p>
        </w:tc>
        <w:tc>
          <w:tcPr>
            <w:tcW w:w="1722" w:type="dxa"/>
            <w:noWrap/>
          </w:tcPr>
          <w:p w:rsidR="006D67F1" w:rsidRPr="002C224A" w:rsidRDefault="006D67F1" w:rsidP="00841304">
            <w:pPr>
              <w:jc w:val="right"/>
              <w:rPr>
                <w:rFonts w:cs="Calibri"/>
                <w:color w:val="000000"/>
                <w:szCs w:val="22"/>
              </w:rPr>
            </w:pPr>
            <w:r w:rsidRPr="002C224A">
              <w:rPr>
                <w:color w:val="000000"/>
              </w:rPr>
              <w:t>0</w:t>
            </w:r>
          </w:p>
        </w:tc>
        <w:tc>
          <w:tcPr>
            <w:tcW w:w="1134" w:type="dxa"/>
            <w:noWrap/>
          </w:tcPr>
          <w:p w:rsidR="006D67F1" w:rsidRPr="002C224A" w:rsidRDefault="006D67F1" w:rsidP="00841304">
            <w:pPr>
              <w:jc w:val="right"/>
              <w:rPr>
                <w:rFonts w:cs="Calibri"/>
                <w:color w:val="000000"/>
                <w:szCs w:val="22"/>
              </w:rPr>
            </w:pPr>
            <w:r w:rsidRPr="002C224A">
              <w:rPr>
                <w:color w:val="000000"/>
              </w:rPr>
              <w:t>0,0%</w:t>
            </w:r>
          </w:p>
        </w:tc>
        <w:tc>
          <w:tcPr>
            <w:tcW w:w="1559" w:type="dxa"/>
          </w:tcPr>
          <w:p w:rsidR="006D67F1" w:rsidRPr="002C224A" w:rsidRDefault="006D67F1" w:rsidP="00841304">
            <w:pPr>
              <w:jc w:val="right"/>
              <w:rPr>
                <w:color w:val="000000"/>
              </w:rPr>
            </w:pPr>
            <w:r w:rsidRPr="002C224A">
              <w:rPr>
                <w:color w:val="000000"/>
              </w:rPr>
              <w:t>0</w:t>
            </w:r>
          </w:p>
        </w:tc>
        <w:tc>
          <w:tcPr>
            <w:tcW w:w="1418" w:type="dxa"/>
          </w:tcPr>
          <w:p w:rsidR="006D67F1" w:rsidRPr="002C224A" w:rsidRDefault="006D67F1" w:rsidP="00841304">
            <w:pPr>
              <w:jc w:val="right"/>
              <w:rPr>
                <w:color w:val="000000"/>
              </w:rPr>
            </w:pPr>
            <w:r w:rsidRPr="002C224A">
              <w:rPr>
                <w:color w:val="000000"/>
              </w:rPr>
              <w:t>0%</w:t>
            </w:r>
          </w:p>
        </w:tc>
      </w:tr>
      <w:tr w:rsidR="006D67F1" w:rsidRPr="002C224A"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2C224A" w:rsidRDefault="006D67F1" w:rsidP="00A577A4">
            <w:pPr>
              <w:rPr>
                <w:rFonts w:cs="Calibri"/>
                <w:b/>
                <w:bCs/>
                <w:color w:val="000000"/>
                <w:szCs w:val="22"/>
              </w:rPr>
            </w:pPr>
            <w:r w:rsidRPr="002C224A">
              <w:rPr>
                <w:b/>
                <w:bCs/>
                <w:color w:val="000000"/>
              </w:rPr>
              <w:t>Praha</w:t>
            </w:r>
          </w:p>
        </w:tc>
        <w:tc>
          <w:tcPr>
            <w:tcW w:w="1722" w:type="dxa"/>
            <w:noWrap/>
          </w:tcPr>
          <w:p w:rsidR="006D67F1" w:rsidRPr="002C224A" w:rsidRDefault="006D67F1" w:rsidP="00841304">
            <w:pPr>
              <w:jc w:val="right"/>
              <w:rPr>
                <w:rFonts w:cs="Calibri"/>
                <w:color w:val="000000"/>
                <w:szCs w:val="22"/>
              </w:rPr>
            </w:pPr>
            <w:r w:rsidRPr="002C224A">
              <w:rPr>
                <w:color w:val="000000"/>
              </w:rPr>
              <w:t>1</w:t>
            </w:r>
          </w:p>
        </w:tc>
        <w:tc>
          <w:tcPr>
            <w:tcW w:w="1134" w:type="dxa"/>
            <w:noWrap/>
          </w:tcPr>
          <w:p w:rsidR="006D67F1" w:rsidRPr="002C224A" w:rsidRDefault="006D67F1" w:rsidP="00841304">
            <w:pPr>
              <w:jc w:val="right"/>
              <w:rPr>
                <w:rFonts w:cs="Calibri"/>
                <w:color w:val="000000"/>
                <w:szCs w:val="22"/>
              </w:rPr>
            </w:pPr>
            <w:r w:rsidRPr="002C224A">
              <w:rPr>
                <w:color w:val="000000"/>
              </w:rPr>
              <w:t>3,6%</w:t>
            </w:r>
          </w:p>
        </w:tc>
        <w:tc>
          <w:tcPr>
            <w:tcW w:w="1559" w:type="dxa"/>
          </w:tcPr>
          <w:p w:rsidR="006D67F1" w:rsidRPr="002C224A" w:rsidRDefault="006D67F1" w:rsidP="00841304">
            <w:pPr>
              <w:jc w:val="right"/>
              <w:rPr>
                <w:color w:val="000000"/>
              </w:rPr>
            </w:pPr>
            <w:r w:rsidRPr="002C224A">
              <w:rPr>
                <w:color w:val="000000"/>
              </w:rPr>
              <w:t>0</w:t>
            </w:r>
          </w:p>
        </w:tc>
        <w:tc>
          <w:tcPr>
            <w:tcW w:w="1418" w:type="dxa"/>
          </w:tcPr>
          <w:p w:rsidR="006D67F1" w:rsidRPr="002C224A" w:rsidRDefault="006D67F1" w:rsidP="00841304">
            <w:pPr>
              <w:keepNext/>
              <w:jc w:val="right"/>
              <w:rPr>
                <w:color w:val="000000"/>
              </w:rPr>
            </w:pPr>
            <w:r w:rsidRPr="002C224A">
              <w:rPr>
                <w:color w:val="000000"/>
              </w:rPr>
              <w:t>0%</w:t>
            </w:r>
          </w:p>
        </w:tc>
      </w:tr>
    </w:tbl>
    <w:p w:rsidR="006D67F1" w:rsidRPr="002C224A" w:rsidRDefault="006D67F1" w:rsidP="009C2E9F">
      <w:pPr>
        <w:pStyle w:val="Titulek"/>
      </w:pPr>
      <w:r w:rsidRPr="002C224A">
        <w:t xml:space="preserve">Tabulka </w:t>
      </w:r>
      <w:r w:rsidR="00F13FC5">
        <w:t>4</w:t>
      </w:r>
      <w:r w:rsidR="00BD640F">
        <w:t>2</w:t>
      </w:r>
      <w:r w:rsidRPr="002C224A">
        <w:t>: Nabídka brownfieldů na trhu nemovitostí v ČR</w:t>
      </w:r>
    </w:p>
    <w:p w:rsidR="006D67F1" w:rsidRPr="002C224A" w:rsidRDefault="006D67F1" w:rsidP="009C2E9F">
      <w:pPr>
        <w:pStyle w:val="Titulek"/>
      </w:pPr>
      <w:r w:rsidRPr="002C224A">
        <w:t>Zdroj CI 2015</w:t>
      </w:r>
    </w:p>
    <w:p w:rsidR="006D67F1" w:rsidRPr="00A50943" w:rsidRDefault="006D67F1" w:rsidP="002433DA"/>
    <w:p w:rsidR="006D67F1" w:rsidRPr="002C224A" w:rsidRDefault="006D67F1" w:rsidP="002433DA">
      <w:r w:rsidRPr="002C224A">
        <w:t xml:space="preserve">Růst trhu podnikatelských nemovitostí je v současné době podpořen růstem ekonomické aktivity podniků a také růstem HDP, nicméně výhled do dalších let upozorňuje na riziko možného poklesu. </w:t>
      </w:r>
      <w:r w:rsidRPr="002C224A">
        <w:rPr>
          <w:b/>
        </w:rPr>
        <w:t>Trh průmyslových nemovitostí ve střední Evropě roste, během posledních 10 let se zvětšil desetinásobně</w:t>
      </w:r>
      <w:r w:rsidRPr="002C224A">
        <w:t xml:space="preserve">. V rámci České republiky se aktuálně jedná o </w:t>
      </w:r>
      <w:smartTag w:uri="urn:schemas-microsoft-com:office:smarttags" w:element="metricconverter">
        <w:smartTagPr>
          <w:attr w:name="ProductID" w:val="4,88 mil"/>
        </w:smartTagPr>
        <w:r w:rsidRPr="002C224A">
          <w:t>4,88 mil</w:t>
        </w:r>
      </w:smartTag>
      <w:r w:rsidRPr="002C224A">
        <w:t>. metrů čtverečních ploch.</w:t>
      </w:r>
      <w:r w:rsidR="00422394" w:rsidRPr="002C224A">
        <w:t xml:space="preserve"> </w:t>
      </w:r>
      <w:r w:rsidRPr="002C224A">
        <w:t xml:space="preserve">Poptávku po podnikatelských nemovitostech „táhne“ zájem průmyslových exportérů, např. z branže automobilového průmyslu. Tyto podniky požadují v naprosté většině nemovitosti vysoké kvality. Ročně je tak v ČR aktuálně obsazeno cca. </w:t>
      </w:r>
      <w:smartTag w:uri="urn:schemas-microsoft-com:office:smarttags" w:element="metricconverter">
        <w:smartTagPr>
          <w:attr w:name="ProductID" w:val="1,2 mil"/>
        </w:smartTagPr>
        <w:r w:rsidRPr="002C224A">
          <w:t>1,2 mil</w:t>
        </w:r>
      </w:smartTag>
      <w:r w:rsidRPr="002C224A">
        <w:t>. čtverečních metrů podnikatelských objektů.</w:t>
      </w:r>
    </w:p>
    <w:p w:rsidR="006D67F1" w:rsidRPr="002C224A" w:rsidRDefault="006D67F1" w:rsidP="002433DA"/>
    <w:p w:rsidR="006D67F1" w:rsidRPr="002C224A" w:rsidRDefault="006D67F1" w:rsidP="002433DA">
      <w:pPr>
        <w:pStyle w:val="Neslovannadpisy"/>
      </w:pPr>
      <w:r w:rsidRPr="002C224A">
        <w:t>Zdroje financování</w:t>
      </w:r>
    </w:p>
    <w:p w:rsidR="006D67F1" w:rsidRPr="002C224A" w:rsidRDefault="006D67F1" w:rsidP="002433DA">
      <w:pPr>
        <w:rPr>
          <w:lang w:eastAsia="en-US"/>
        </w:rPr>
      </w:pPr>
      <w:r w:rsidRPr="002C224A">
        <w:t xml:space="preserve">Velká část nemovitostí je přímo vlastněna a regenerována </w:t>
      </w:r>
      <w:r w:rsidR="00F472A6" w:rsidRPr="002C224A">
        <w:t xml:space="preserve">developerskými </w:t>
      </w:r>
      <w:r w:rsidRPr="002C224A">
        <w:t>firmami, které je následně na trhu podnikům nabízejí. Na financování rekonstrukce ve vlastní režii MSP se standardně z největší části podílejí vlastní zdroje a bankovní úvěry. Významnou složkou byly však v posledních letech i dotace ze strany veřejné podpory.</w:t>
      </w:r>
    </w:p>
    <w:p w:rsidR="006D67F1" w:rsidRPr="002C224A" w:rsidRDefault="006D67F1" w:rsidP="002433DA">
      <w:pPr>
        <w:rPr>
          <w:lang w:eastAsia="en-US"/>
        </w:rPr>
      </w:pPr>
    </w:p>
    <w:p w:rsidR="006D67F1" w:rsidRPr="002C224A" w:rsidRDefault="006D67F1" w:rsidP="002433DA">
      <w:r w:rsidRPr="002C224A">
        <w:rPr>
          <w:lang w:eastAsia="en-US"/>
        </w:rPr>
        <w:t xml:space="preserve">V rámci České republiky bylo pro podporu investic na regeneraci BF z OP PI (SC 3.1, 5.1, </w:t>
      </w:r>
      <w:smartTag w:uri="urn:schemas-microsoft-com:office:smarttags" w:element="metricconverter">
        <w:smartTagPr>
          <w:attr w:name="ProductID" w:val="5.2 a"/>
        </w:smartTagPr>
        <w:r w:rsidRPr="002C224A">
          <w:rPr>
            <w:lang w:eastAsia="en-US"/>
          </w:rPr>
          <w:t>5.2 a</w:t>
        </w:r>
      </w:smartTag>
      <w:r w:rsidRPr="002C224A">
        <w:rPr>
          <w:lang w:eastAsia="en-US"/>
        </w:rPr>
        <w:t xml:space="preserve"> 5.3) za posledních 7 let z veřejných zahraničních zdrojů alokováno celkově 37,5 mld. Kč (41,8 % z celkové alokace v OPPI)</w:t>
      </w:r>
      <w:r w:rsidRPr="002C224A">
        <w:rPr>
          <w:rStyle w:val="Znakapoznpodarou"/>
          <w:rFonts w:ascii="Calibri" w:hAnsi="Calibri"/>
        </w:rPr>
        <w:footnoteReference w:id="30"/>
      </w:r>
      <w:r w:rsidRPr="00A50943">
        <w:rPr>
          <w:lang w:eastAsia="en-US"/>
        </w:rPr>
        <w:t>. Největší podíl na regeneraci BF měl logicky program Nemovitosti, ur</w:t>
      </w:r>
      <w:r w:rsidRPr="002C224A">
        <w:rPr>
          <w:lang w:eastAsia="en-US"/>
        </w:rPr>
        <w:t>čité přesahy byly však i do dalších programů OP PI.</w:t>
      </w:r>
      <w:r w:rsidR="00422394" w:rsidRPr="002C224A">
        <w:rPr>
          <w:lang w:eastAsia="en-US"/>
        </w:rPr>
        <w:t xml:space="preserve"> </w:t>
      </w:r>
      <w:r w:rsidRPr="002C224A">
        <w:rPr>
          <w:lang w:eastAsia="en-US"/>
        </w:rPr>
        <w:t>Větší část alokovaných zdrojů byla podle analýzy CI využita na podporu MSP – rekonstrukci výrobních prostorů (63 %) a zbylých 37 % tvořily investice do regenerace typických BF.</w:t>
      </w:r>
    </w:p>
    <w:tbl>
      <w:tblPr>
        <w:tblW w:w="8245" w:type="dxa"/>
        <w:tblInd w:w="836"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2570"/>
        <w:gridCol w:w="1913"/>
        <w:gridCol w:w="1913"/>
        <w:gridCol w:w="1913"/>
      </w:tblGrid>
      <w:tr w:rsidR="006D67F1" w:rsidRPr="002C224A" w:rsidTr="00A17A22">
        <w:trPr>
          <w:trHeight w:val="20"/>
        </w:trPr>
        <w:tc>
          <w:tcPr>
            <w:tcW w:w="2554" w:type="dxa"/>
            <w:tcBorders>
              <w:top w:val="nil"/>
              <w:left w:val="nil"/>
              <w:right w:val="nil"/>
            </w:tcBorders>
            <w:shd w:val="clear" w:color="auto" w:fill="00A1DE"/>
          </w:tcPr>
          <w:p w:rsidR="006D67F1" w:rsidRPr="002C224A" w:rsidRDefault="006D67F1" w:rsidP="00A17A22">
            <w:pPr>
              <w:jc w:val="center"/>
              <w:rPr>
                <w:rFonts w:cs="Arial"/>
                <w:b/>
                <w:color w:val="000000"/>
                <w:sz w:val="18"/>
                <w:szCs w:val="18"/>
              </w:rPr>
            </w:pPr>
            <w:r w:rsidRPr="002C224A">
              <w:rPr>
                <w:b/>
                <w:color w:val="000000"/>
                <w:sz w:val="18"/>
                <w:szCs w:val="18"/>
              </w:rPr>
              <w:t>Program</w:t>
            </w:r>
          </w:p>
        </w:tc>
        <w:tc>
          <w:tcPr>
            <w:tcW w:w="1897" w:type="dxa"/>
            <w:tcBorders>
              <w:top w:val="nil"/>
              <w:left w:val="nil"/>
              <w:right w:val="nil"/>
            </w:tcBorders>
            <w:shd w:val="clear" w:color="auto" w:fill="00A1DE"/>
          </w:tcPr>
          <w:p w:rsidR="006D67F1" w:rsidRPr="002C224A" w:rsidRDefault="006D67F1" w:rsidP="00A17A22">
            <w:pPr>
              <w:jc w:val="center"/>
              <w:rPr>
                <w:rFonts w:cs="Arial"/>
                <w:b/>
                <w:color w:val="000000"/>
                <w:sz w:val="18"/>
                <w:szCs w:val="18"/>
              </w:rPr>
            </w:pPr>
            <w:r w:rsidRPr="00A50943">
              <w:rPr>
                <w:b/>
                <w:color w:val="000000"/>
                <w:sz w:val="18"/>
                <w:szCs w:val="18"/>
              </w:rPr>
              <w:t xml:space="preserve"> suma požadované do</w:t>
            </w:r>
            <w:r w:rsidRPr="002C224A">
              <w:rPr>
                <w:b/>
                <w:color w:val="000000"/>
                <w:sz w:val="18"/>
                <w:szCs w:val="18"/>
              </w:rPr>
              <w:t xml:space="preserve">tace </w:t>
            </w:r>
          </w:p>
        </w:tc>
        <w:tc>
          <w:tcPr>
            <w:tcW w:w="1897" w:type="dxa"/>
            <w:tcBorders>
              <w:top w:val="nil"/>
              <w:left w:val="nil"/>
              <w:right w:val="nil"/>
            </w:tcBorders>
            <w:shd w:val="clear" w:color="auto" w:fill="00A1DE"/>
          </w:tcPr>
          <w:p w:rsidR="006D67F1" w:rsidRPr="002C224A" w:rsidRDefault="006D67F1" w:rsidP="00A17A22">
            <w:pPr>
              <w:jc w:val="center"/>
              <w:rPr>
                <w:rFonts w:cs="Arial"/>
                <w:b/>
                <w:color w:val="000000"/>
                <w:sz w:val="18"/>
                <w:szCs w:val="18"/>
              </w:rPr>
            </w:pPr>
            <w:r w:rsidRPr="00A50943">
              <w:rPr>
                <w:b/>
                <w:color w:val="000000"/>
                <w:sz w:val="18"/>
                <w:szCs w:val="18"/>
              </w:rPr>
              <w:t xml:space="preserve">  BF Požadované dotace </w:t>
            </w:r>
          </w:p>
        </w:tc>
        <w:tc>
          <w:tcPr>
            <w:tcW w:w="1897" w:type="dxa"/>
            <w:tcBorders>
              <w:top w:val="nil"/>
              <w:left w:val="nil"/>
              <w:right w:val="nil"/>
            </w:tcBorders>
            <w:shd w:val="clear" w:color="auto" w:fill="00A1DE"/>
          </w:tcPr>
          <w:p w:rsidR="006D67F1" w:rsidRPr="002C224A" w:rsidRDefault="006D67F1" w:rsidP="00A17A22">
            <w:pPr>
              <w:jc w:val="center"/>
              <w:rPr>
                <w:rFonts w:cs="Arial"/>
                <w:b/>
                <w:color w:val="000000"/>
                <w:sz w:val="18"/>
                <w:szCs w:val="18"/>
              </w:rPr>
            </w:pPr>
            <w:r w:rsidRPr="00A50943">
              <w:rPr>
                <w:b/>
                <w:color w:val="000000"/>
                <w:sz w:val="18"/>
                <w:szCs w:val="18"/>
              </w:rPr>
              <w:t xml:space="preserve">  BF úspěšní žadatelé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Eko-energie Výzva 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1 069 470 000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67 558 000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18 630 000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Eko-energie - Výzva II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10 190 861 000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1 262 260 000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390 868 000</w:t>
            </w:r>
            <w:r w:rsidRPr="002C224A">
              <w:rPr>
                <w:color w:val="000000"/>
                <w:sz w:val="18"/>
                <w:szCs w:val="18"/>
              </w:rPr>
              <w:t xml:space="preserve">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Eko-energie - Výzva III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14 285 261 000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1 395 522 000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238 428 000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Nemovitosti - Výzva 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9 794 544 000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6 211 932 000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2 279 287 000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Nemovitosti - Výzva II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18 579 748 000  </w:t>
            </w:r>
            <w:r w:rsidRPr="002C224A">
              <w:rPr>
                <w:color w:val="000000"/>
                <w:sz w:val="18"/>
                <w:szCs w:val="18"/>
              </w:rPr>
              <w:t xml:space="preserve">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10 909 026 000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5 445 034 000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Prosperita - Výzva 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3 657 562 000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1 087 806 000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333 663 000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Prosperita - Výzva II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2 296 854 000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851 119 000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123 768 000</w:t>
            </w:r>
            <w:r w:rsidRPr="002C224A">
              <w:rPr>
                <w:color w:val="000000"/>
                <w:sz w:val="18"/>
                <w:szCs w:val="18"/>
              </w:rPr>
              <w:t xml:space="preserve">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Prosperita Výzva III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13 404 255 000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5 316 309 000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489 561 000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lastRenderedPageBreak/>
              <w:t>Prosperita Výzva IV</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7 508 918 000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2 409 241 000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642 915 000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Školicí střediska - Výzva 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3 161 428 00</w:t>
            </w:r>
            <w:r w:rsidRPr="002C224A">
              <w:rPr>
                <w:color w:val="000000"/>
                <w:sz w:val="18"/>
                <w:szCs w:val="18"/>
              </w:rPr>
              <w:t xml:space="preserve">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601 519 000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242 439 000    </w:t>
            </w:r>
          </w:p>
        </w:tc>
      </w:tr>
      <w:tr w:rsidR="006D67F1" w:rsidRPr="002C224A" w:rsidTr="00A17A22">
        <w:trPr>
          <w:trHeight w:val="20"/>
        </w:trPr>
        <w:tc>
          <w:tcPr>
            <w:tcW w:w="2554" w:type="dxa"/>
            <w:tcBorders>
              <w:left w:val="nil"/>
              <w:right w:val="nil"/>
            </w:tcBorders>
            <w:shd w:val="clear" w:color="auto" w:fill="FFFFFF"/>
            <w:noWrap/>
            <w:vAlign w:val="center"/>
          </w:tcPr>
          <w:p w:rsidR="006D67F1" w:rsidRPr="002C224A" w:rsidRDefault="006D67F1" w:rsidP="00A17A22">
            <w:pPr>
              <w:jc w:val="left"/>
              <w:rPr>
                <w:rFonts w:cs="Arial"/>
                <w:color w:val="000000"/>
                <w:sz w:val="18"/>
                <w:szCs w:val="18"/>
              </w:rPr>
            </w:pPr>
            <w:r w:rsidRPr="002C224A">
              <w:rPr>
                <w:color w:val="000000"/>
                <w:sz w:val="18"/>
                <w:szCs w:val="18"/>
              </w:rPr>
              <w:t>Školicí střediska - Výzva II</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8 394 963 000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1 909 783 000    </w:t>
            </w:r>
          </w:p>
        </w:tc>
        <w:tc>
          <w:tcPr>
            <w:tcW w:w="1897" w:type="dxa"/>
            <w:tcBorders>
              <w:left w:val="nil"/>
              <w:right w:val="nil"/>
            </w:tcBorders>
            <w:shd w:val="clear" w:color="auto" w:fill="FFFFFF"/>
            <w:noWrap/>
            <w:vAlign w:val="center"/>
          </w:tcPr>
          <w:p w:rsidR="006D67F1" w:rsidRPr="002C224A" w:rsidRDefault="006D67F1" w:rsidP="00A17A22">
            <w:pPr>
              <w:jc w:val="right"/>
              <w:rPr>
                <w:rFonts w:cs="Arial"/>
                <w:color w:val="000000"/>
                <w:sz w:val="18"/>
                <w:szCs w:val="18"/>
              </w:rPr>
            </w:pPr>
            <w:r w:rsidRPr="00A50943">
              <w:rPr>
                <w:color w:val="000000"/>
                <w:sz w:val="18"/>
                <w:szCs w:val="18"/>
              </w:rPr>
              <w:t xml:space="preserve">            472 775 000    </w:t>
            </w:r>
          </w:p>
        </w:tc>
      </w:tr>
      <w:tr w:rsidR="006D67F1" w:rsidRPr="002C224A" w:rsidTr="00A17A22">
        <w:trPr>
          <w:trHeight w:val="20"/>
        </w:trPr>
        <w:tc>
          <w:tcPr>
            <w:tcW w:w="2554" w:type="dxa"/>
            <w:tcBorders>
              <w:left w:val="nil"/>
              <w:right w:val="nil"/>
            </w:tcBorders>
            <w:shd w:val="clear" w:color="auto" w:fill="92D050"/>
            <w:noWrap/>
            <w:vAlign w:val="center"/>
          </w:tcPr>
          <w:p w:rsidR="006D67F1" w:rsidRPr="002C224A" w:rsidRDefault="006D67F1" w:rsidP="00A17A22">
            <w:pPr>
              <w:jc w:val="left"/>
              <w:rPr>
                <w:rFonts w:cs="Arial"/>
                <w:b/>
                <w:color w:val="000000"/>
                <w:sz w:val="18"/>
                <w:szCs w:val="18"/>
              </w:rPr>
            </w:pPr>
            <w:r w:rsidRPr="002C224A">
              <w:rPr>
                <w:b/>
                <w:color w:val="000000"/>
                <w:sz w:val="18"/>
                <w:szCs w:val="18"/>
              </w:rPr>
              <w:t>Celkem</w:t>
            </w:r>
          </w:p>
        </w:tc>
        <w:tc>
          <w:tcPr>
            <w:tcW w:w="1897" w:type="dxa"/>
            <w:tcBorders>
              <w:left w:val="nil"/>
              <w:right w:val="nil"/>
            </w:tcBorders>
            <w:shd w:val="clear" w:color="auto" w:fill="92D050"/>
            <w:noWrap/>
            <w:vAlign w:val="center"/>
          </w:tcPr>
          <w:p w:rsidR="006D67F1" w:rsidRPr="002C224A" w:rsidRDefault="006D67F1" w:rsidP="00A17A22">
            <w:pPr>
              <w:jc w:val="right"/>
              <w:rPr>
                <w:rFonts w:cs="Arial"/>
                <w:b/>
                <w:bCs/>
                <w:color w:val="000000"/>
                <w:sz w:val="18"/>
                <w:szCs w:val="18"/>
              </w:rPr>
            </w:pPr>
            <w:r w:rsidRPr="00A50943">
              <w:rPr>
                <w:b/>
                <w:bCs/>
                <w:color w:val="000000"/>
                <w:sz w:val="18"/>
                <w:szCs w:val="18"/>
              </w:rPr>
              <w:t xml:space="preserve">      92 343 864 000    </w:t>
            </w:r>
          </w:p>
        </w:tc>
        <w:tc>
          <w:tcPr>
            <w:tcW w:w="1897" w:type="dxa"/>
            <w:tcBorders>
              <w:left w:val="nil"/>
              <w:right w:val="nil"/>
            </w:tcBorders>
            <w:shd w:val="clear" w:color="auto" w:fill="92D050"/>
            <w:noWrap/>
            <w:vAlign w:val="center"/>
          </w:tcPr>
          <w:p w:rsidR="006D67F1" w:rsidRPr="002C224A" w:rsidRDefault="006D67F1" w:rsidP="00A17A22">
            <w:pPr>
              <w:jc w:val="right"/>
              <w:rPr>
                <w:rFonts w:cs="Arial"/>
                <w:b/>
                <w:bCs/>
                <w:color w:val="000000"/>
                <w:sz w:val="18"/>
                <w:szCs w:val="18"/>
              </w:rPr>
            </w:pPr>
            <w:r w:rsidRPr="00A50943">
              <w:rPr>
                <w:b/>
                <w:bCs/>
                <w:color w:val="000000"/>
                <w:sz w:val="18"/>
                <w:szCs w:val="18"/>
              </w:rPr>
              <w:t xml:space="preserve">      32 022 075 000    </w:t>
            </w:r>
          </w:p>
        </w:tc>
        <w:tc>
          <w:tcPr>
            <w:tcW w:w="1897" w:type="dxa"/>
            <w:tcBorders>
              <w:left w:val="nil"/>
              <w:right w:val="nil"/>
            </w:tcBorders>
            <w:shd w:val="clear" w:color="auto" w:fill="92D050"/>
            <w:noWrap/>
            <w:vAlign w:val="center"/>
          </w:tcPr>
          <w:p w:rsidR="006D67F1" w:rsidRPr="002C224A" w:rsidRDefault="006D67F1" w:rsidP="00A17A22">
            <w:pPr>
              <w:jc w:val="right"/>
              <w:rPr>
                <w:rFonts w:cs="Arial"/>
                <w:b/>
                <w:bCs/>
                <w:color w:val="000000"/>
                <w:sz w:val="18"/>
                <w:szCs w:val="18"/>
              </w:rPr>
            </w:pPr>
            <w:r w:rsidRPr="00A50943">
              <w:rPr>
                <w:b/>
                <w:bCs/>
                <w:color w:val="000000"/>
                <w:sz w:val="18"/>
                <w:szCs w:val="18"/>
              </w:rPr>
              <w:t xml:space="preserve">      10 677 368 000    </w:t>
            </w:r>
          </w:p>
        </w:tc>
      </w:tr>
    </w:tbl>
    <w:p w:rsidR="006D67F1" w:rsidRPr="002C224A" w:rsidRDefault="006D67F1" w:rsidP="00266A15">
      <w:pPr>
        <w:rPr>
          <w:lang w:eastAsia="en-US"/>
        </w:rPr>
      </w:pPr>
    </w:p>
    <w:p w:rsidR="006D67F1" w:rsidRPr="002C224A" w:rsidRDefault="006D67F1" w:rsidP="00266A15">
      <w:pPr>
        <w:pStyle w:val="Titulek"/>
        <w:jc w:val="center"/>
      </w:pPr>
      <w:r w:rsidRPr="002C224A">
        <w:t xml:space="preserve">Tabulka </w:t>
      </w:r>
      <w:r w:rsidR="00582262" w:rsidRPr="002C224A">
        <w:t>4</w:t>
      </w:r>
      <w:r w:rsidR="00BD640F">
        <w:t>3</w:t>
      </w:r>
      <w:r w:rsidRPr="002C224A">
        <w:t xml:space="preserve">: Čerpání na regeneraci BF dle programů </w:t>
      </w:r>
    </w:p>
    <w:p w:rsidR="006D67F1" w:rsidRPr="002C224A" w:rsidRDefault="006D67F1" w:rsidP="00266A15">
      <w:pPr>
        <w:pStyle w:val="Titulek"/>
        <w:jc w:val="center"/>
      </w:pPr>
      <w:r w:rsidRPr="002C224A">
        <w:t>Zdroj: CI 2014</w:t>
      </w:r>
    </w:p>
    <w:p w:rsidR="006D67F1" w:rsidRPr="002C224A" w:rsidRDefault="006D67F1" w:rsidP="002433DA">
      <w:r w:rsidRPr="00A50943">
        <w:t>Podporu na regeneraci BF bylo možné čerpat na jiné účely též z dalších veřejných zdrojů a operačních programů. Detailnější přehled je součástí podkapitoly Posouzení zkušeností získaných v m</w:t>
      </w:r>
      <w:r w:rsidRPr="002C224A">
        <w:t>inulosti.</w:t>
      </w:r>
    </w:p>
    <w:p w:rsidR="006D67F1" w:rsidRPr="002C224A" w:rsidRDefault="006D67F1" w:rsidP="00DF6E0B">
      <w:pPr>
        <w:rPr>
          <w:lang w:eastAsia="en-US"/>
        </w:rPr>
      </w:pPr>
    </w:p>
    <w:p w:rsidR="006D67F1" w:rsidRPr="002C224A" w:rsidRDefault="006D67F1" w:rsidP="000C38AE">
      <w:pPr>
        <w:pStyle w:val="Odstavecseseznamem1"/>
        <w:rPr>
          <w:lang w:eastAsia="en-US"/>
        </w:rPr>
      </w:pPr>
    </w:p>
    <w:p w:rsidR="006D67F1" w:rsidRPr="002C224A" w:rsidRDefault="001802B3" w:rsidP="001802B3">
      <w:pPr>
        <w:pStyle w:val="Nadpis4"/>
        <w:rPr>
          <w:rFonts w:ascii="Calibri" w:hAnsi="Calibri"/>
          <w:lang w:eastAsia="en-US"/>
        </w:rPr>
      </w:pPr>
      <w:r w:rsidRPr="002C224A">
        <w:rPr>
          <w:rFonts w:ascii="Calibri" w:hAnsi="Calibri"/>
          <w:lang w:eastAsia="en-US"/>
        </w:rPr>
        <w:t>Dotazníkové šetření</w:t>
      </w:r>
    </w:p>
    <w:p w:rsidR="006D67F1" w:rsidRPr="00A50943" w:rsidRDefault="006D67F1" w:rsidP="00863E59"/>
    <w:p w:rsidR="00582262" w:rsidRPr="002C224A" w:rsidRDefault="00582262" w:rsidP="00582262">
      <w:pPr>
        <w:pStyle w:val="Titulek"/>
      </w:pPr>
      <w:r w:rsidRPr="002C224A">
        <w:t>Tabulka 4</w:t>
      </w:r>
      <w:r w:rsidR="00BD640F">
        <w:t>4</w:t>
      </w:r>
      <w:r w:rsidRPr="002C224A">
        <w:t xml:space="preserve">: </w:t>
      </w:r>
      <w:r w:rsidR="00F13FC5">
        <w:t>Skladba respondentů</w:t>
      </w:r>
    </w:p>
    <w:tbl>
      <w:tblPr>
        <w:tblW w:w="3310" w:type="dxa"/>
        <w:tblInd w:w="55" w:type="dxa"/>
        <w:tblCellMar>
          <w:left w:w="70" w:type="dxa"/>
          <w:right w:w="70" w:type="dxa"/>
        </w:tblCellMar>
        <w:tblLook w:val="00A0" w:firstRow="1" w:lastRow="0" w:firstColumn="1" w:lastColumn="0" w:noHBand="0" w:noVBand="0"/>
      </w:tblPr>
      <w:tblGrid>
        <w:gridCol w:w="1387"/>
        <w:gridCol w:w="963"/>
        <w:gridCol w:w="960"/>
      </w:tblGrid>
      <w:tr w:rsidR="006D67F1" w:rsidRPr="002C224A"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Skladba respondentů z hlediska velikosti podniku</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malé 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111</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47,2%</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mikropodniky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19,6%</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střední 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78</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33,2%</w:t>
            </w:r>
          </w:p>
        </w:tc>
      </w:tr>
      <w:tr w:rsidR="006D67F1" w:rsidRPr="002C224A" w:rsidTr="00BF0A9E">
        <w:trPr>
          <w:trHeight w:val="255"/>
        </w:trPr>
        <w:tc>
          <w:tcPr>
            <w:tcW w:w="1387"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235</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p w:rsidR="006D67F1" w:rsidRPr="002C224A" w:rsidRDefault="006D67F1" w:rsidP="00863E59">
      <w:r w:rsidRPr="002C224A">
        <w:t>Přes 66 % respondentů s plánem na investice do vlastních nemovitostí tvořily malé podniky a mikropodniky.</w:t>
      </w:r>
    </w:p>
    <w:p w:rsidR="006D67F1" w:rsidRPr="002C224A" w:rsidRDefault="00582262" w:rsidP="00582262">
      <w:pPr>
        <w:pStyle w:val="Titulek"/>
      </w:pPr>
      <w:r w:rsidRPr="002C224A">
        <w:t>Tabulka 4</w:t>
      </w:r>
      <w:r w:rsidR="00BD640F">
        <w:t>5</w:t>
      </w:r>
      <w:r w:rsidRPr="002C224A">
        <w:t>: fáze podnikání</w:t>
      </w:r>
    </w:p>
    <w:tbl>
      <w:tblPr>
        <w:tblW w:w="6021" w:type="dxa"/>
        <w:tblInd w:w="55" w:type="dxa"/>
        <w:tblCellMar>
          <w:left w:w="70" w:type="dxa"/>
          <w:right w:w="70" w:type="dxa"/>
        </w:tblCellMar>
        <w:tblLook w:val="00A0" w:firstRow="1" w:lastRow="0" w:firstColumn="1" w:lastColumn="0" w:noHBand="0" w:noVBand="0"/>
      </w:tblPr>
      <w:tblGrid>
        <w:gridCol w:w="4098"/>
        <w:gridCol w:w="963"/>
        <w:gridCol w:w="960"/>
      </w:tblGrid>
      <w:tr w:rsidR="006D67F1" w:rsidRPr="002C224A" w:rsidTr="00BF0A9E">
        <w:trPr>
          <w:trHeight w:val="255"/>
        </w:trPr>
        <w:tc>
          <w:tcPr>
            <w:tcW w:w="4098"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3,9%</w:t>
            </w:r>
          </w:p>
        </w:tc>
      </w:tr>
      <w:tr w:rsidR="006D67F1" w:rsidRPr="002C224A"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171</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73,7%</w:t>
            </w:r>
          </w:p>
        </w:tc>
      </w:tr>
      <w:tr w:rsidR="006D67F1" w:rsidRPr="002C224A"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14,7%</w:t>
            </w:r>
          </w:p>
        </w:tc>
      </w:tr>
      <w:tr w:rsidR="006D67F1" w:rsidRPr="002C224A"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18</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7,8%</w:t>
            </w:r>
          </w:p>
        </w:tc>
      </w:tr>
      <w:tr w:rsidR="006D67F1" w:rsidRPr="002C224A" w:rsidTr="00BF0A9E">
        <w:trPr>
          <w:trHeight w:val="255"/>
        </w:trPr>
        <w:tc>
          <w:tcPr>
            <w:tcW w:w="409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232</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r w:rsidRPr="002C224A">
        <w:t>Jednalo se zejména o zavedené společnosti s mediánem stáří 17 let, nejčastěji svou fázi zařadily do fáze růstu, a to v 73,7 % případů.</w:t>
      </w:r>
    </w:p>
    <w:p w:rsidR="006D67F1" w:rsidRPr="002C224A" w:rsidRDefault="00582262" w:rsidP="00582262">
      <w:pPr>
        <w:pStyle w:val="Titulek"/>
      </w:pPr>
      <w:r w:rsidRPr="002C224A">
        <w:t>Tabulka 4</w:t>
      </w:r>
      <w:r w:rsidR="00BD640F">
        <w:t>6</w:t>
      </w:r>
      <w:r w:rsidRPr="002C224A">
        <w:t>: investice MSP</w:t>
      </w:r>
    </w:p>
    <w:tbl>
      <w:tblPr>
        <w:tblW w:w="9422" w:type="dxa"/>
        <w:tblInd w:w="55" w:type="dxa"/>
        <w:tblCellMar>
          <w:left w:w="70" w:type="dxa"/>
          <w:right w:w="70" w:type="dxa"/>
        </w:tblCellMar>
        <w:tblLook w:val="00A0" w:firstRow="1" w:lastRow="0" w:firstColumn="1" w:lastColumn="0" w:noHBand="0" w:noVBand="0"/>
      </w:tblPr>
      <w:tblGrid>
        <w:gridCol w:w="6201"/>
        <w:gridCol w:w="1298"/>
        <w:gridCol w:w="963"/>
        <w:gridCol w:w="960"/>
      </w:tblGrid>
      <w:tr w:rsidR="006D67F1" w:rsidRPr="002C224A" w:rsidTr="00BF0A9E">
        <w:trPr>
          <w:trHeight w:val="255"/>
        </w:trPr>
        <w:tc>
          <w:tcPr>
            <w:tcW w:w="7499"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Investice MSP</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6201" w:type="dxa"/>
            <w:vMerge w:val="restart"/>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Investice v posledních třech letech</w:t>
            </w: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100</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42,6%</w:t>
            </w:r>
          </w:p>
        </w:tc>
      </w:tr>
      <w:tr w:rsidR="006D67F1" w:rsidRPr="002C224A" w:rsidTr="00BF0A9E">
        <w:trPr>
          <w:trHeight w:val="255"/>
        </w:trPr>
        <w:tc>
          <w:tcPr>
            <w:tcW w:w="6201"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81</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34,5%</w:t>
            </w:r>
          </w:p>
        </w:tc>
      </w:tr>
      <w:tr w:rsidR="006D67F1" w:rsidRPr="002C224A" w:rsidTr="00BF0A9E">
        <w:trPr>
          <w:trHeight w:val="255"/>
        </w:trPr>
        <w:tc>
          <w:tcPr>
            <w:tcW w:w="6201"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23,0%</w:t>
            </w:r>
          </w:p>
        </w:tc>
      </w:tr>
      <w:tr w:rsidR="006D67F1" w:rsidRPr="002C224A" w:rsidTr="00BF0A9E">
        <w:trPr>
          <w:trHeight w:val="255"/>
        </w:trPr>
        <w:tc>
          <w:tcPr>
            <w:tcW w:w="6201"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235</w:t>
            </w:r>
          </w:p>
        </w:tc>
        <w:tc>
          <w:tcPr>
            <w:tcW w:w="963" w:type="dxa"/>
            <w:tcBorders>
              <w:top w:val="nil"/>
              <w:left w:val="nil"/>
              <w:bottom w:val="single" w:sz="4" w:space="0" w:color="auto"/>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c>
          <w:tcPr>
            <w:tcW w:w="960" w:type="dxa"/>
            <w:tcBorders>
              <w:top w:val="nil"/>
              <w:left w:val="nil"/>
              <w:bottom w:val="single" w:sz="4" w:space="0" w:color="auto"/>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r>
      <w:tr w:rsidR="006D67F1" w:rsidRPr="002C224A" w:rsidTr="00BF0A9E">
        <w:trPr>
          <w:trHeight w:val="255"/>
        </w:trPr>
        <w:tc>
          <w:tcPr>
            <w:tcW w:w="6201" w:type="dxa"/>
            <w:vMerge w:val="restart"/>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Plánované investice do nemovitostí k podnikání v příštích třech letech </w:t>
            </w:r>
          </w:p>
        </w:tc>
        <w:tc>
          <w:tcPr>
            <w:tcW w:w="129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60,4%</w:t>
            </w:r>
          </w:p>
        </w:tc>
      </w:tr>
      <w:tr w:rsidR="006D67F1" w:rsidRPr="002C224A" w:rsidTr="00BF0A9E">
        <w:trPr>
          <w:trHeight w:val="255"/>
        </w:trPr>
        <w:tc>
          <w:tcPr>
            <w:tcW w:w="6201" w:type="dxa"/>
            <w:vMerge/>
            <w:tcBorders>
              <w:top w:val="single" w:sz="4" w:space="0" w:color="auto"/>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73</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31,1%</w:t>
            </w:r>
          </w:p>
        </w:tc>
      </w:tr>
      <w:tr w:rsidR="006D67F1" w:rsidRPr="002C224A" w:rsidTr="00BF0A9E">
        <w:trPr>
          <w:trHeight w:val="255"/>
        </w:trPr>
        <w:tc>
          <w:tcPr>
            <w:tcW w:w="6201" w:type="dxa"/>
            <w:vMerge/>
            <w:tcBorders>
              <w:top w:val="single" w:sz="4" w:space="0" w:color="auto"/>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8,5%</w:t>
            </w:r>
          </w:p>
        </w:tc>
      </w:tr>
      <w:tr w:rsidR="006D67F1" w:rsidRPr="002C224A" w:rsidTr="00BF0A9E">
        <w:trPr>
          <w:trHeight w:val="255"/>
        </w:trPr>
        <w:tc>
          <w:tcPr>
            <w:tcW w:w="6201"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235</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r w:rsidRPr="002C224A">
        <w:t xml:space="preserve">Dotazované firmy preferují z hlediska rozsahu svých plánovaných investic do nemovitostí spíše menší projekty do </w:t>
      </w:r>
      <w:smartTag w:uri="urn:schemas-microsoft-com:office:smarttags" w:element="metricconverter">
        <w:smartTagPr>
          <w:attr w:name="ProductID" w:val="10 mil"/>
        </w:smartTagPr>
        <w:r w:rsidRPr="002C224A">
          <w:t>10 mil</w:t>
        </w:r>
      </w:smartTag>
      <w:r w:rsidRPr="002C224A">
        <w:t>. Kč, a to ve více než 60 % případů. Bude se tedy jednat zejména o dílčí rekonstrukce</w:t>
      </w:r>
      <w:r w:rsidR="00422394" w:rsidRPr="002C224A">
        <w:t xml:space="preserve">, </w:t>
      </w:r>
      <w:r w:rsidRPr="002C224A">
        <w:t xml:space="preserve">komplexní rekonstrukce </w:t>
      </w:r>
      <w:r w:rsidR="00422394" w:rsidRPr="002C224A">
        <w:t xml:space="preserve">nebo </w:t>
      </w:r>
      <w:r w:rsidRPr="002C224A">
        <w:t>novostavby malých objektů.</w:t>
      </w:r>
    </w:p>
    <w:p w:rsidR="006D67F1" w:rsidRPr="002C224A" w:rsidRDefault="006D67F1" w:rsidP="00863E59"/>
    <w:p w:rsidR="00582262" w:rsidRPr="002C224A" w:rsidRDefault="00582262" w:rsidP="00582262">
      <w:pPr>
        <w:pStyle w:val="Titulek"/>
      </w:pPr>
      <w:r w:rsidRPr="002C224A">
        <w:t>Tabulka 4</w:t>
      </w:r>
      <w:r w:rsidR="00BD640F">
        <w:t>7</w:t>
      </w:r>
      <w:r w:rsidRPr="002C224A">
        <w:t>: odhadovaná doba návratnosti plánovaných investic</w:t>
      </w:r>
    </w:p>
    <w:tbl>
      <w:tblPr>
        <w:tblW w:w="5325" w:type="dxa"/>
        <w:tblInd w:w="55" w:type="dxa"/>
        <w:tblCellMar>
          <w:left w:w="70" w:type="dxa"/>
          <w:right w:w="70" w:type="dxa"/>
        </w:tblCellMar>
        <w:tblLook w:val="00A0" w:firstRow="1" w:lastRow="0" w:firstColumn="1" w:lastColumn="0" w:noHBand="0" w:noVBand="0"/>
      </w:tblPr>
      <w:tblGrid>
        <w:gridCol w:w="3165"/>
        <w:gridCol w:w="1200"/>
        <w:gridCol w:w="960"/>
      </w:tblGrid>
      <w:tr w:rsidR="006D67F1" w:rsidRPr="002C224A"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lastRenderedPageBreak/>
              <w:t>Odhadovaná doba návratnosti plánovaných investic</w:t>
            </w:r>
          </w:p>
        </w:tc>
        <w:tc>
          <w:tcPr>
            <w:tcW w:w="120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1-3 roky</w:t>
            </w:r>
          </w:p>
        </w:tc>
        <w:tc>
          <w:tcPr>
            <w:tcW w:w="120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3,6%</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3-5 let</w:t>
            </w:r>
          </w:p>
        </w:tc>
        <w:tc>
          <w:tcPr>
            <w:tcW w:w="120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38</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17,0%</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5-10 let</w:t>
            </w:r>
          </w:p>
        </w:tc>
        <w:tc>
          <w:tcPr>
            <w:tcW w:w="120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50,9%</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10 let a více</w:t>
            </w:r>
          </w:p>
        </w:tc>
        <w:tc>
          <w:tcPr>
            <w:tcW w:w="120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28,6%</w:t>
            </w:r>
          </w:p>
        </w:tc>
      </w:tr>
      <w:tr w:rsidR="006D67F1" w:rsidRPr="002C224A" w:rsidTr="00BF0A9E">
        <w:trPr>
          <w:trHeight w:val="255"/>
        </w:trPr>
        <w:tc>
          <w:tcPr>
            <w:tcW w:w="3165"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0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224</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p w:rsidR="006D67F1" w:rsidRPr="002C224A" w:rsidRDefault="006D67F1" w:rsidP="00863E59">
      <w:r w:rsidRPr="002C224A">
        <w:t>Tento údaj je úzce spojen s dobou návratnosti, kdy plných 79,5 % malých a středních podniků uvedlo, že očekávají návratnost plánovaných investic delší než 5 let.</w:t>
      </w:r>
    </w:p>
    <w:p w:rsidR="006D67F1" w:rsidRPr="002C224A" w:rsidRDefault="006D67F1" w:rsidP="00863E59"/>
    <w:p w:rsidR="006D67F1" w:rsidRPr="002C224A" w:rsidRDefault="006D67F1" w:rsidP="00863E59">
      <w:pPr>
        <w:pStyle w:val="Titulek"/>
        <w:keepNext/>
      </w:pPr>
      <w:r w:rsidRPr="002C224A">
        <w:t>Obrázek</w:t>
      </w:r>
      <w:r w:rsidR="00646277">
        <w:rPr>
          <w:noProof/>
        </w:rPr>
        <w:t xml:space="preserve"> 23</w:t>
      </w:r>
      <w:r w:rsidRPr="002C224A">
        <w:t>: Očekávaná doba návratnosti plánovaných investic MSP do podnikatelských nemovitostí</w:t>
      </w:r>
    </w:p>
    <w:p w:rsidR="006D67F1" w:rsidRPr="00A50943" w:rsidRDefault="007A3F34" w:rsidP="00863E59">
      <w:r w:rsidRPr="00A50943">
        <w:rPr>
          <w:noProof/>
        </w:rPr>
        <w:drawing>
          <wp:inline distT="0" distB="0" distL="0" distR="0" wp14:anchorId="582EDBDE" wp14:editId="18B5A94B">
            <wp:extent cx="4543425" cy="3133725"/>
            <wp:effectExtent l="0" t="0" r="9525" b="9525"/>
            <wp:docPr id="51" name="obráz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67F1" w:rsidRPr="002C224A" w:rsidRDefault="006D67F1" w:rsidP="00863E59"/>
    <w:p w:rsidR="006D67F1" w:rsidRPr="002C224A" w:rsidRDefault="006D67F1" w:rsidP="00863E59">
      <w:r w:rsidRPr="002C224A">
        <w:t>Následující tabulka podrobně mapuje dostupnost financování pro tyto podniky v období posledních tří let.</w:t>
      </w:r>
    </w:p>
    <w:p w:rsidR="006D67F1" w:rsidRPr="002C224A" w:rsidRDefault="00582262" w:rsidP="00582262">
      <w:pPr>
        <w:pStyle w:val="Titulek"/>
      </w:pPr>
      <w:r w:rsidRPr="002C224A">
        <w:t>Tabulka 4</w:t>
      </w:r>
      <w:r w:rsidR="00BD640F">
        <w:t>8</w:t>
      </w:r>
      <w:r w:rsidRPr="002C224A">
        <w:t>: dostupnost financování pro investice</w:t>
      </w:r>
    </w:p>
    <w:tbl>
      <w:tblPr>
        <w:tblW w:w="8422" w:type="dxa"/>
        <w:tblInd w:w="55" w:type="dxa"/>
        <w:tblCellMar>
          <w:left w:w="70" w:type="dxa"/>
          <w:right w:w="70" w:type="dxa"/>
        </w:tblCellMar>
        <w:tblLook w:val="00A0" w:firstRow="1" w:lastRow="0" w:firstColumn="1" w:lastColumn="0" w:noHBand="0" w:noVBand="0"/>
      </w:tblPr>
      <w:tblGrid>
        <w:gridCol w:w="3543"/>
        <w:gridCol w:w="919"/>
        <w:gridCol w:w="1507"/>
        <w:gridCol w:w="1134"/>
        <w:gridCol w:w="1319"/>
      </w:tblGrid>
      <w:tr w:rsidR="006D67F1" w:rsidRPr="002C224A" w:rsidTr="00BF0A9E">
        <w:trPr>
          <w:trHeight w:val="255"/>
        </w:trPr>
        <w:tc>
          <w:tcPr>
            <w:tcW w:w="8422" w:type="dxa"/>
            <w:gridSpan w:val="5"/>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Úspěšný</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Neúspěšný nebo částečně úspěšný</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Celkem</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 neúspěšných</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Krátkodobé půjčky</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134</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138</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Dlouhodobé a střednědobé půjčky</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126</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140</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Záruky</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33</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39</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15,4%</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Dotace nebo jiná veřejná podpora</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157</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169</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7,1%</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Rizikový kapitál</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33,3%</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Private equity</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Mezzaninové financování</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33,3%</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Firemní dluhopisy</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Mikropůjčky</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50,0%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Leasing</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100</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102</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Faktoring</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15,0%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Emise akcií na veřejně obchodovaném trhu</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Rodina, přátelé a známí</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35</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37</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5,4%</w:t>
            </w:r>
          </w:p>
        </w:tc>
      </w:tr>
      <w:tr w:rsidR="006D67F1" w:rsidRPr="002C224A"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lastRenderedPageBreak/>
              <w:t>Vlastní zdroje financování</w:t>
            </w:r>
          </w:p>
        </w:tc>
        <w:tc>
          <w:tcPr>
            <w:tcW w:w="9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148</w:t>
            </w:r>
          </w:p>
        </w:tc>
        <w:tc>
          <w:tcPr>
            <w:tcW w:w="1507"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113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148</w:t>
            </w:r>
          </w:p>
        </w:tc>
        <w:tc>
          <w:tcPr>
            <w:tcW w:w="1319"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bl>
    <w:p w:rsidR="006D67F1" w:rsidRPr="002C224A" w:rsidRDefault="006D67F1" w:rsidP="00863E59"/>
    <w:p w:rsidR="006D67F1" w:rsidRPr="002C224A" w:rsidRDefault="006D67F1" w:rsidP="00863E59">
      <w:r w:rsidRPr="002C224A">
        <w:t xml:space="preserve">Malé a střední podniky, které v příštích třech letech chtějí investovat do nemovitostí k vlastnímu podnikání, dosud usilovaly zejména o financování prostřednictvím půjček, kde jejich úspěšnost dosahovala v případě středně a dlouhodobých úvěrů 90 %, což je překvapivě dobrý výsledek s ohledem na poměrně silně převažující podíl malých podniků mezi respondenty. </w:t>
      </w:r>
      <w:r w:rsidR="0005008A" w:rsidRPr="002C224A">
        <w:t>Alternativní zdroje financování se specificky na tento typ projektů zpravidla nevyužívají.</w:t>
      </w:r>
    </w:p>
    <w:p w:rsidR="006D67F1" w:rsidRPr="002C224A" w:rsidRDefault="006D67F1" w:rsidP="00863E59"/>
    <w:p w:rsidR="00582262" w:rsidRPr="002C224A" w:rsidRDefault="00582262" w:rsidP="00582262">
      <w:pPr>
        <w:pStyle w:val="Titulek"/>
      </w:pPr>
      <w:r w:rsidRPr="002C224A">
        <w:t>Tabulka 4</w:t>
      </w:r>
      <w:r w:rsidR="00BD640F">
        <w:t>9</w:t>
      </w:r>
      <w:r w:rsidRPr="002C224A">
        <w:t>: dostupnost financování pro investice</w:t>
      </w:r>
    </w:p>
    <w:tbl>
      <w:tblPr>
        <w:tblW w:w="9601" w:type="dxa"/>
        <w:tblInd w:w="55" w:type="dxa"/>
        <w:tblCellMar>
          <w:left w:w="70" w:type="dxa"/>
          <w:right w:w="70" w:type="dxa"/>
        </w:tblCellMar>
        <w:tblLook w:val="00A0" w:firstRow="1" w:lastRow="0" w:firstColumn="1" w:lastColumn="0" w:noHBand="0" w:noVBand="0"/>
      </w:tblPr>
      <w:tblGrid>
        <w:gridCol w:w="7840"/>
        <w:gridCol w:w="963"/>
        <w:gridCol w:w="798"/>
      </w:tblGrid>
      <w:tr w:rsidR="006D67F1" w:rsidRPr="002C224A" w:rsidTr="00BF0A9E">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79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Bezproblémová – zdroje získáváme poměrně rychle a jednoduše, jednání bývají efektivní a úspěšná</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86</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41,0%</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 menšími problémy – informací je dostatek a lze nalézt financující subjekt po vícekolovém vyjednávání</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54</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25,7%</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Dostupnost je pouze dobrá – finanční zdroje zde jsou, ale je obtížně možné je získat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32</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15,2%</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Dostupnost je špatná – existuje informační bariéra, banky mají velké požadavky na hodnotu zástavy, apod.</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38</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18,1%</w:t>
            </w:r>
          </w:p>
        </w:tc>
      </w:tr>
      <w:tr w:rsidR="006D67F1" w:rsidRPr="002C224A" w:rsidTr="00BF0A9E">
        <w:trPr>
          <w:trHeight w:val="255"/>
        </w:trPr>
        <w:tc>
          <w:tcPr>
            <w:tcW w:w="784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210</w:t>
            </w:r>
          </w:p>
        </w:tc>
        <w:tc>
          <w:tcPr>
            <w:tcW w:w="79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r w:rsidRPr="002C224A">
        <w:t>Celkově proto respondenti hodnotili svůj přístup k financování jako ztížený v 33,3 % případů.</w:t>
      </w:r>
    </w:p>
    <w:p w:rsidR="006D67F1" w:rsidRPr="002C224A" w:rsidRDefault="006D67F1" w:rsidP="00863E59">
      <w:pPr>
        <w:pStyle w:val="Titulek"/>
        <w:keepNext/>
      </w:pPr>
    </w:p>
    <w:p w:rsidR="006D67F1" w:rsidRPr="002C224A" w:rsidRDefault="006D67F1" w:rsidP="00863E59">
      <w:pPr>
        <w:pStyle w:val="Titulek"/>
        <w:keepNext/>
      </w:pPr>
      <w:r w:rsidRPr="002C224A">
        <w:t>Obrázek</w:t>
      </w:r>
      <w:r w:rsidR="00646277">
        <w:rPr>
          <w:noProof/>
        </w:rPr>
        <w:t xml:space="preserve"> 24</w:t>
      </w:r>
      <w:r w:rsidRPr="002C224A">
        <w:t>: Dostupnost financování respondentů v posledních třech letech</w:t>
      </w:r>
    </w:p>
    <w:p w:rsidR="006D67F1" w:rsidRPr="00A50943" w:rsidRDefault="007A3F34" w:rsidP="00863E59">
      <w:r w:rsidRPr="00A50943">
        <w:rPr>
          <w:noProof/>
        </w:rPr>
        <w:drawing>
          <wp:inline distT="0" distB="0" distL="0" distR="0" wp14:anchorId="0C2C6D54" wp14:editId="1F6AE325">
            <wp:extent cx="5238750" cy="2847975"/>
            <wp:effectExtent l="0" t="0" r="0" b="9525"/>
            <wp:docPr id="52" name="obráz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67F1" w:rsidRPr="002C224A" w:rsidRDefault="006D67F1" w:rsidP="00863E59"/>
    <w:p w:rsidR="006D67F1" w:rsidRPr="002C224A" w:rsidRDefault="006D67F1" w:rsidP="00863E59">
      <w:r w:rsidRPr="002C224A">
        <w:t xml:space="preserve">Další data uvádíme již jen za MSP, které uvedly, že mají ztížený přístup k financování. </w:t>
      </w:r>
    </w:p>
    <w:p w:rsidR="006D67F1" w:rsidRPr="002C224A" w:rsidRDefault="00582262" w:rsidP="00582262">
      <w:pPr>
        <w:pStyle w:val="Titulek"/>
      </w:pPr>
      <w:r w:rsidRPr="002C224A">
        <w:t xml:space="preserve">Tabulka </w:t>
      </w:r>
      <w:r w:rsidR="00BD640F">
        <w:t>50</w:t>
      </w:r>
      <w:r w:rsidRPr="002C224A">
        <w:t>: důvody zhoršeného přístupu k financování</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67F1" w:rsidRPr="002C224A"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41,4%</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41,4%</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55,7%</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48,6%</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24,3%</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11,4%</w:t>
            </w:r>
          </w:p>
        </w:tc>
      </w:tr>
      <w:tr w:rsidR="006D67F1" w:rsidRPr="002C224A" w:rsidTr="00BF0A9E">
        <w:trPr>
          <w:trHeight w:val="255"/>
        </w:trPr>
        <w:tc>
          <w:tcPr>
            <w:tcW w:w="2966"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70</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p w:rsidR="006D67F1" w:rsidRPr="002C224A" w:rsidRDefault="006D67F1" w:rsidP="00863E59">
      <w:r w:rsidRPr="002C224A">
        <w:lastRenderedPageBreak/>
        <w:t>Mezi hlavní důvody ztíženého přístupu k financování podnikatelských nemovitostí uvedli respondenti zejména možnosti zajištění, finanční náklady, ale i dobu návratnosti a délku vlastní historie.</w:t>
      </w:r>
    </w:p>
    <w:p w:rsidR="006D67F1" w:rsidRPr="002C224A" w:rsidRDefault="006D67F1" w:rsidP="00863E59">
      <w:r w:rsidRPr="002C224A">
        <w:t xml:space="preserve"> </w:t>
      </w:r>
    </w:p>
    <w:p w:rsidR="00582262" w:rsidRPr="002C224A" w:rsidRDefault="00582262" w:rsidP="00582262">
      <w:pPr>
        <w:pStyle w:val="Titulek"/>
      </w:pPr>
      <w:r w:rsidRPr="002C224A">
        <w:t xml:space="preserve">Tabulka </w:t>
      </w:r>
      <w:r w:rsidR="00F13FC5">
        <w:t>5</w:t>
      </w:r>
      <w:r w:rsidR="00BD640F">
        <w:t>1</w:t>
      </w:r>
      <w:r w:rsidRPr="002C224A">
        <w:t>: potenciálně ekonomicky životaschopné projekty se zhoršeným přístupem k financování</w:t>
      </w:r>
    </w:p>
    <w:tbl>
      <w:tblPr>
        <w:tblW w:w="7316" w:type="dxa"/>
        <w:tblInd w:w="55" w:type="dxa"/>
        <w:tblCellMar>
          <w:left w:w="70" w:type="dxa"/>
          <w:right w:w="70" w:type="dxa"/>
        </w:tblCellMar>
        <w:tblLook w:val="00A0" w:firstRow="1" w:lastRow="0" w:firstColumn="1" w:lastColumn="0" w:noHBand="0" w:noVBand="0"/>
      </w:tblPr>
      <w:tblGrid>
        <w:gridCol w:w="2934"/>
        <w:gridCol w:w="3422"/>
        <w:gridCol w:w="960"/>
      </w:tblGrid>
      <w:tr w:rsidR="006D67F1" w:rsidRPr="002C224A"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Potenciálně ekonomicky životaschopné projekty se zhoršeným přístupem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 na podnicích plánujících investice do VaVaI v příštích třech letech</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19,1%</w:t>
            </w:r>
          </w:p>
        </w:tc>
      </w:tr>
      <w:tr w:rsidR="006D67F1" w:rsidRPr="002C224A"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 na projektech se zhoršeným přístupem k financování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64,3%</w:t>
            </w:r>
          </w:p>
        </w:tc>
      </w:tr>
      <w:tr w:rsidR="006D67F1" w:rsidRPr="002C224A" w:rsidTr="00BF0A9E">
        <w:trPr>
          <w:trHeight w:val="255"/>
        </w:trPr>
        <w:tc>
          <w:tcPr>
            <w:tcW w:w="2934" w:type="dxa"/>
            <w:vMerge w:val="restart"/>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center"/>
              <w:textAlignment w:val="auto"/>
              <w:rPr>
                <w:rFonts w:cs="Arial"/>
                <w:sz w:val="20"/>
              </w:rPr>
            </w:pPr>
            <w:r w:rsidRPr="002C224A">
              <w:rPr>
                <w:rFonts w:cs="Arial"/>
                <w:sz w:val="20"/>
              </w:rPr>
              <w:t>Hlavní identifikované bariéry</w:t>
            </w: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64,4%</w:t>
            </w:r>
          </w:p>
        </w:tc>
      </w:tr>
      <w:tr w:rsidR="006D67F1" w:rsidRPr="002C224A"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64,4%</w:t>
            </w:r>
          </w:p>
        </w:tc>
      </w:tr>
      <w:tr w:rsidR="006D67F1" w:rsidRPr="002C224A"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86,7%</w:t>
            </w:r>
          </w:p>
        </w:tc>
      </w:tr>
      <w:tr w:rsidR="006D67F1" w:rsidRPr="002C224A"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75,6%</w:t>
            </w:r>
          </w:p>
        </w:tc>
      </w:tr>
      <w:tr w:rsidR="006D67F1" w:rsidRPr="002C224A" w:rsidTr="00BF0A9E">
        <w:trPr>
          <w:trHeight w:val="255"/>
        </w:trPr>
        <w:tc>
          <w:tcPr>
            <w:tcW w:w="2934"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3422"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45</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863E59">
      <w:pPr>
        <w:rPr>
          <w:b/>
        </w:rPr>
      </w:pPr>
    </w:p>
    <w:p w:rsidR="006D67F1" w:rsidRPr="002C224A" w:rsidRDefault="006D67F1" w:rsidP="00863E59">
      <w:r w:rsidRPr="002C224A">
        <w:rPr>
          <w:b/>
        </w:rPr>
        <w:t>Celkový podíl potenciálně životaschopných firem se ztíženým přístupem financování na počtu respondentů tvořil 19,1 %.</w:t>
      </w:r>
      <w:r w:rsidRPr="002C224A">
        <w:t xml:space="preserve"> Více než 86 % z nich uvedlo, že jejich hlavním problémem jsou omezené možnosti zajištění. Řešením této suboptimální investiční situace proto může být zejména záruční finanční nástroj. Přes 64 % firem rovněž uvedlo potíže s dlouhou dobou návratnosti projektu, což lze řešit např. zvýhodněným úvěrem s prodlouženou dobou splatnosti a odkladem splátek jistiny. Přes 75,6 % respondentů zároveň považuje za bariéru financování též finanční náklady, což lze řešit kombinací finančních nástrojů se subvencí úrokové sazby</w:t>
      </w:r>
      <w:r w:rsidR="00433FCD" w:rsidRPr="002C224A">
        <w:t xml:space="preserve"> či repayable assitance (návratné podpory konvertované do nenávratné v případě naplnění cílů projektu)</w:t>
      </w:r>
      <w:r w:rsidRPr="002C224A">
        <w:t>.</w:t>
      </w:r>
    </w:p>
    <w:p w:rsidR="006D67F1" w:rsidRPr="002C224A" w:rsidRDefault="006D67F1" w:rsidP="00863E59"/>
    <w:p w:rsidR="006D67F1" w:rsidRPr="002C224A" w:rsidRDefault="006D67F1" w:rsidP="00863E59">
      <w:pPr>
        <w:pStyle w:val="Titulek"/>
        <w:keepNext/>
      </w:pPr>
      <w:r w:rsidRPr="002C224A">
        <w:t>Obrázek</w:t>
      </w:r>
      <w:r w:rsidR="00646277">
        <w:t xml:space="preserve"> 25</w:t>
      </w:r>
      <w:r w:rsidRPr="002C224A">
        <w:t>: Ekonomicky životaschopné podniky se zhoršeným přístupem k financování a specifikace hlavních důvodů ztíženého přístupu (bylo možné uvést více odpovědí)</w:t>
      </w:r>
    </w:p>
    <w:p w:rsidR="006D67F1" w:rsidRPr="00A50943" w:rsidRDefault="007A3F34" w:rsidP="00863E59">
      <w:r w:rsidRPr="00A50943">
        <w:rPr>
          <w:noProof/>
        </w:rPr>
        <w:drawing>
          <wp:inline distT="0" distB="0" distL="0" distR="0" wp14:anchorId="6298BBAF" wp14:editId="18652016">
            <wp:extent cx="5305425" cy="2762250"/>
            <wp:effectExtent l="0" t="0" r="9525" b="0"/>
            <wp:docPr id="53" name="obráz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67F1" w:rsidRPr="002C224A" w:rsidRDefault="006D67F1" w:rsidP="00863E59">
      <w:pPr>
        <w:rPr>
          <w:sz w:val="24"/>
        </w:rPr>
      </w:pPr>
    </w:p>
    <w:p w:rsidR="006D67F1" w:rsidRPr="002C224A" w:rsidRDefault="006D67F1" w:rsidP="00863E59">
      <w:r w:rsidRPr="002C224A">
        <w:t>Tyto závěry korelují též s odpověďmi respondentů ohledně preferované formy podpory – nejčastěji malé a střední podniky uváděly získání zvýhodněné úrokové sazby, úhradu úroků za komerční úvěr, zajištění ručení za úvěr a navýšení úvěrového financování. Podniky by také uvítaly snížení administrativních bariér při získávání financování. Nejdůležitějším prvkem je snížení úrokových nákladů, čehož lze dosáhnout prostřednictvím poskytnutím subvence úrokové sazby a zvýhodněného úvěru s nižší sazbou.</w:t>
      </w:r>
    </w:p>
    <w:p w:rsidR="00582262" w:rsidRPr="002C224A" w:rsidRDefault="00582262" w:rsidP="00863E59"/>
    <w:p w:rsidR="006D67F1" w:rsidRPr="002C224A" w:rsidRDefault="00582262" w:rsidP="00582262">
      <w:pPr>
        <w:pStyle w:val="Titulek"/>
      </w:pPr>
      <w:r w:rsidRPr="002C224A">
        <w:t xml:space="preserve">Tabulka </w:t>
      </w:r>
      <w:r w:rsidR="00F13FC5">
        <w:t>5</w:t>
      </w:r>
      <w:r w:rsidR="00BD640F">
        <w:t>2</w:t>
      </w:r>
      <w:r w:rsidRPr="002C224A">
        <w:t>: preferované formy podpory</w:t>
      </w:r>
    </w:p>
    <w:tbl>
      <w:tblPr>
        <w:tblW w:w="7103" w:type="dxa"/>
        <w:tblInd w:w="55" w:type="dxa"/>
        <w:tblCellMar>
          <w:left w:w="70" w:type="dxa"/>
          <w:right w:w="70" w:type="dxa"/>
        </w:tblCellMar>
        <w:tblLook w:val="00A0" w:firstRow="1" w:lastRow="0" w:firstColumn="1" w:lastColumn="0" w:noHBand="0" w:noVBand="0"/>
      </w:tblPr>
      <w:tblGrid>
        <w:gridCol w:w="5260"/>
        <w:gridCol w:w="992"/>
        <w:gridCol w:w="851"/>
      </w:tblGrid>
      <w:tr w:rsidR="006D67F1" w:rsidRPr="002C224A" w:rsidTr="00BF0A9E">
        <w:trPr>
          <w:trHeight w:val="255"/>
        </w:trPr>
        <w:tc>
          <w:tcPr>
            <w:tcW w:w="5260"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Preferované formy podpory</w:t>
            </w:r>
          </w:p>
        </w:tc>
        <w:tc>
          <w:tcPr>
            <w:tcW w:w="992"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851"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lastRenderedPageBreak/>
              <w:t>Zajištění ručení za úvěr</w:t>
            </w:r>
          </w:p>
        </w:tc>
        <w:tc>
          <w:tcPr>
            <w:tcW w:w="992" w:type="dxa"/>
            <w:tcBorders>
              <w:top w:val="nil"/>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44,6%</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Navýšení úvěrového financování na projekt</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30,4%</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Úhrada úroků hrazených za komerční úvěr</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30</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53,6%</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Získání zvýhodněné úrokové sazby</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32</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57,1%</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Prodloužení doby splatnosti úvěru</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19,6%</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Odklad splátek úvěru</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17,9%</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Odpuštění několika posledních splátek úvěru</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33,9%</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Získání prostředků od investora</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19,6%</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Zlepšení informovanosti o dostupných zdrojích financování</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16,1%</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Snížení administrativní bariéry při získávání financování</w:t>
            </w:r>
          </w:p>
        </w:tc>
        <w:tc>
          <w:tcPr>
            <w:tcW w:w="992" w:type="dxa"/>
            <w:tcBorders>
              <w:top w:val="single" w:sz="4" w:space="0" w:color="000000"/>
              <w:left w:val="nil"/>
              <w:bottom w:val="nil"/>
              <w:right w:val="single" w:sz="4" w:space="0" w:color="000000"/>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35,7%</w:t>
            </w:r>
          </w:p>
        </w:tc>
      </w:tr>
      <w:tr w:rsidR="006D67F1" w:rsidRPr="002C224A"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Pomoc při přípravě projektu (např. business plán nebo specializované poradenství: financování zpracování projektové dokumentace, energetického auditu apod.)</w:t>
            </w:r>
          </w:p>
        </w:tc>
        <w:tc>
          <w:tcPr>
            <w:tcW w:w="992"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85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30,4%</w:t>
            </w:r>
          </w:p>
        </w:tc>
      </w:tr>
      <w:tr w:rsidR="006D67F1" w:rsidRPr="002C224A" w:rsidTr="00BF0A9E">
        <w:trPr>
          <w:trHeight w:val="255"/>
        </w:trPr>
        <w:tc>
          <w:tcPr>
            <w:tcW w:w="526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92"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56</w:t>
            </w:r>
          </w:p>
        </w:tc>
        <w:tc>
          <w:tcPr>
            <w:tcW w:w="851"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5162A5">
      <w:pPr>
        <w:pStyle w:val="Neslovannadpisy"/>
        <w:rPr>
          <w:lang w:eastAsia="en-US"/>
        </w:rPr>
      </w:pPr>
    </w:p>
    <w:p w:rsidR="00CC255A" w:rsidRPr="002C224A" w:rsidRDefault="00CC255A">
      <w:pPr>
        <w:rPr>
          <w:lang w:eastAsia="en-US"/>
        </w:rPr>
      </w:pPr>
      <w:r w:rsidRPr="002C224A">
        <w:rPr>
          <w:lang w:eastAsia="en-US"/>
        </w:rPr>
        <w:t xml:space="preserve">Až 69 % subjektů v dotazníku vyjádřilo, že by je zvýhodněný úvěr podpořil v aktivaci investičního záměru v plné nebo částečné výši. </w:t>
      </w:r>
      <w:r w:rsidRPr="002C224A">
        <w:rPr>
          <w:b/>
          <w:lang w:eastAsia="en-US"/>
        </w:rPr>
        <w:t>Kdyby neexistovala žádná forma veřejné podpory (FN), tak by v plném rozsahu realizovalo projekt jenom 13,9 % tázaných subjektů</w:t>
      </w:r>
      <w:r w:rsidRPr="002C224A">
        <w:rPr>
          <w:lang w:eastAsia="en-US"/>
        </w:rPr>
        <w:t>. Přes relativně vysokou část pozitivní odezvy k úvěrovým nástrojům se dá předpokládat, že se ve většině případů jednalo o projekty dílčích rekonstrukcí, nikoli revitalizací výrazně zchátralých BF.</w:t>
      </w:r>
    </w:p>
    <w:p w:rsidR="00CC255A" w:rsidRPr="002C224A" w:rsidRDefault="00CC255A" w:rsidP="00CC255A">
      <w:pPr>
        <w:rPr>
          <w:lang w:eastAsia="en-US"/>
        </w:rPr>
      </w:pPr>
    </w:p>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CC255A" w:rsidRPr="002C224A" w:rsidTr="001802B3">
        <w:trPr>
          <w:trHeight w:val="300"/>
        </w:trPr>
        <w:tc>
          <w:tcPr>
            <w:tcW w:w="3289" w:type="dxa"/>
            <w:tcBorders>
              <w:top w:val="nil"/>
              <w:left w:val="nil"/>
              <w:right w:val="nil"/>
            </w:tcBorders>
            <w:shd w:val="clear" w:color="auto" w:fill="00A1DE"/>
            <w:noWrap/>
          </w:tcPr>
          <w:p w:rsidR="00CC255A" w:rsidRPr="002C224A" w:rsidRDefault="00CC255A" w:rsidP="001802B3">
            <w:pPr>
              <w:keepNext/>
              <w:jc w:val="left"/>
              <w:rPr>
                <w:rFonts w:cs="Arial"/>
                <w:b/>
                <w:bCs/>
                <w:color w:val="FFFFFF"/>
                <w:sz w:val="18"/>
                <w:szCs w:val="18"/>
              </w:rPr>
            </w:pPr>
            <w:r w:rsidRPr="002C224A">
              <w:rPr>
                <w:b/>
                <w:bCs/>
                <w:color w:val="FFFFFF"/>
                <w:sz w:val="18"/>
                <w:szCs w:val="18"/>
              </w:rPr>
              <w:t> </w:t>
            </w:r>
          </w:p>
        </w:tc>
        <w:tc>
          <w:tcPr>
            <w:tcW w:w="1060" w:type="dxa"/>
            <w:tcBorders>
              <w:top w:val="nil"/>
              <w:left w:val="nil"/>
              <w:right w:val="nil"/>
            </w:tcBorders>
            <w:shd w:val="clear" w:color="auto" w:fill="00A1DE"/>
            <w:noWrap/>
            <w:vAlign w:val="center"/>
          </w:tcPr>
          <w:p w:rsidR="00CC255A" w:rsidRPr="002C224A" w:rsidRDefault="00CC255A" w:rsidP="001802B3">
            <w:pPr>
              <w:keepNext/>
              <w:jc w:val="center"/>
              <w:rPr>
                <w:rFonts w:cs="Arial"/>
                <w:b/>
                <w:bCs/>
                <w:color w:val="FFFFFF"/>
                <w:sz w:val="18"/>
                <w:szCs w:val="18"/>
              </w:rPr>
            </w:pPr>
            <w:r w:rsidRPr="00A50943">
              <w:rPr>
                <w:b/>
                <w:bCs/>
                <w:color w:val="FFFFFF"/>
                <w:sz w:val="18"/>
                <w:szCs w:val="18"/>
              </w:rPr>
              <w:t>Ur</w:t>
            </w:r>
            <w:r w:rsidRPr="002C224A">
              <w:rPr>
                <w:b/>
                <w:bCs/>
                <w:color w:val="FFFFFF"/>
                <w:sz w:val="18"/>
                <w:szCs w:val="18"/>
              </w:rPr>
              <w:t>čitě ano</w:t>
            </w:r>
          </w:p>
        </w:tc>
        <w:tc>
          <w:tcPr>
            <w:tcW w:w="960" w:type="dxa"/>
            <w:tcBorders>
              <w:top w:val="nil"/>
              <w:left w:val="nil"/>
              <w:right w:val="nil"/>
            </w:tcBorders>
            <w:shd w:val="clear" w:color="auto" w:fill="00A1DE"/>
            <w:noWrap/>
            <w:vAlign w:val="center"/>
          </w:tcPr>
          <w:p w:rsidR="00CC255A" w:rsidRPr="002C224A" w:rsidRDefault="00CC255A" w:rsidP="001802B3">
            <w:pPr>
              <w:keepNext/>
              <w:jc w:val="center"/>
              <w:rPr>
                <w:rFonts w:cs="Arial"/>
                <w:b/>
                <w:bCs/>
                <w:color w:val="FFFFFF"/>
                <w:sz w:val="18"/>
                <w:szCs w:val="18"/>
              </w:rPr>
            </w:pPr>
            <w:r w:rsidRPr="00A50943">
              <w:rPr>
                <w:b/>
                <w:bCs/>
                <w:color w:val="FFFFFF"/>
                <w:sz w:val="18"/>
                <w:szCs w:val="18"/>
              </w:rPr>
              <w:t>Spíše ano</w:t>
            </w:r>
          </w:p>
        </w:tc>
        <w:tc>
          <w:tcPr>
            <w:tcW w:w="960" w:type="dxa"/>
            <w:tcBorders>
              <w:top w:val="nil"/>
              <w:left w:val="nil"/>
              <w:right w:val="nil"/>
            </w:tcBorders>
            <w:shd w:val="clear" w:color="auto" w:fill="00A1DE"/>
            <w:noWrap/>
            <w:vAlign w:val="center"/>
          </w:tcPr>
          <w:p w:rsidR="00CC255A" w:rsidRPr="002C224A" w:rsidRDefault="00CC255A" w:rsidP="001802B3">
            <w:pPr>
              <w:keepNext/>
              <w:jc w:val="center"/>
              <w:rPr>
                <w:rFonts w:cs="Arial"/>
                <w:b/>
                <w:bCs/>
                <w:color w:val="FFFFFF"/>
                <w:sz w:val="18"/>
                <w:szCs w:val="18"/>
              </w:rPr>
            </w:pPr>
            <w:r w:rsidRPr="00A50943">
              <w:rPr>
                <w:b/>
                <w:bCs/>
                <w:color w:val="FFFFFF"/>
                <w:sz w:val="18"/>
                <w:szCs w:val="18"/>
              </w:rPr>
              <w:t>Spíše ne</w:t>
            </w:r>
          </w:p>
        </w:tc>
        <w:tc>
          <w:tcPr>
            <w:tcW w:w="960" w:type="dxa"/>
            <w:tcBorders>
              <w:top w:val="nil"/>
              <w:left w:val="nil"/>
              <w:right w:val="nil"/>
            </w:tcBorders>
            <w:shd w:val="clear" w:color="auto" w:fill="00A1DE"/>
            <w:noWrap/>
            <w:vAlign w:val="center"/>
          </w:tcPr>
          <w:p w:rsidR="00CC255A" w:rsidRPr="002C224A" w:rsidRDefault="00CC255A" w:rsidP="001802B3">
            <w:pPr>
              <w:keepNext/>
              <w:jc w:val="center"/>
              <w:rPr>
                <w:rFonts w:cs="Arial"/>
                <w:b/>
                <w:bCs/>
                <w:color w:val="FFFFFF"/>
                <w:sz w:val="18"/>
                <w:szCs w:val="18"/>
              </w:rPr>
            </w:pPr>
            <w:r w:rsidRPr="00A50943">
              <w:rPr>
                <w:b/>
                <w:bCs/>
                <w:color w:val="FFFFFF"/>
                <w:sz w:val="18"/>
                <w:szCs w:val="18"/>
              </w:rPr>
              <w:t>Určitě ne</w:t>
            </w:r>
          </w:p>
        </w:tc>
        <w:tc>
          <w:tcPr>
            <w:tcW w:w="1730" w:type="dxa"/>
            <w:tcBorders>
              <w:top w:val="nil"/>
              <w:left w:val="nil"/>
              <w:right w:val="nil"/>
            </w:tcBorders>
            <w:shd w:val="clear" w:color="auto" w:fill="00A1DE"/>
            <w:noWrap/>
            <w:vAlign w:val="center"/>
          </w:tcPr>
          <w:p w:rsidR="00CC255A" w:rsidRPr="002C224A" w:rsidRDefault="00CC255A" w:rsidP="001802B3">
            <w:pPr>
              <w:keepNext/>
              <w:jc w:val="center"/>
              <w:rPr>
                <w:rFonts w:cs="Arial"/>
                <w:b/>
                <w:bCs/>
                <w:color w:val="FFFFFF"/>
                <w:sz w:val="18"/>
                <w:szCs w:val="18"/>
              </w:rPr>
            </w:pPr>
            <w:r w:rsidRPr="00A50943">
              <w:rPr>
                <w:b/>
                <w:bCs/>
                <w:color w:val="FFFFFF"/>
                <w:sz w:val="18"/>
                <w:szCs w:val="18"/>
              </w:rPr>
              <w:t>Typ nástroje</w:t>
            </w:r>
          </w:p>
        </w:tc>
        <w:tc>
          <w:tcPr>
            <w:tcW w:w="160" w:type="dxa"/>
            <w:tcBorders>
              <w:top w:val="nil"/>
              <w:left w:val="nil"/>
              <w:right w:val="nil"/>
            </w:tcBorders>
            <w:shd w:val="clear" w:color="auto" w:fill="00A1DE"/>
            <w:noWrap/>
          </w:tcPr>
          <w:p w:rsidR="00CC255A" w:rsidRPr="002C224A" w:rsidRDefault="00CC255A" w:rsidP="001802B3">
            <w:pPr>
              <w:keepNext/>
              <w:jc w:val="left"/>
              <w:rPr>
                <w:rFonts w:cs="Arial"/>
                <w:b/>
                <w:bCs/>
                <w:color w:val="000000"/>
                <w:sz w:val="18"/>
                <w:szCs w:val="18"/>
              </w:rPr>
            </w:pPr>
            <w:r w:rsidRPr="00A50943">
              <w:rPr>
                <w:b/>
                <w:bCs/>
                <w:color w:val="000000"/>
                <w:sz w:val="18"/>
                <w:szCs w:val="18"/>
              </w:rPr>
              <w:t> </w:t>
            </w:r>
          </w:p>
        </w:tc>
      </w:tr>
      <w:tr w:rsidR="00CC255A" w:rsidRPr="002C224A" w:rsidTr="001802B3">
        <w:trPr>
          <w:trHeight w:val="300"/>
        </w:trPr>
        <w:tc>
          <w:tcPr>
            <w:tcW w:w="3289" w:type="dxa"/>
            <w:tcBorders>
              <w:left w:val="nil"/>
              <w:right w:val="nil"/>
            </w:tcBorders>
            <w:shd w:val="clear" w:color="auto" w:fill="FFFFFF"/>
            <w:noWrap/>
            <w:vAlign w:val="center"/>
          </w:tcPr>
          <w:p w:rsidR="00CC255A" w:rsidRPr="002C224A" w:rsidRDefault="00CC255A" w:rsidP="001802B3">
            <w:pPr>
              <w:keepNext/>
              <w:jc w:val="left"/>
              <w:rPr>
                <w:rFonts w:cs="Arial"/>
                <w:color w:val="000000"/>
                <w:sz w:val="18"/>
                <w:szCs w:val="18"/>
              </w:rPr>
            </w:pPr>
            <w:r w:rsidRPr="002C224A">
              <w:rPr>
                <w:color w:val="000000"/>
                <w:sz w:val="18"/>
                <w:szCs w:val="18"/>
              </w:rPr>
              <w:t>Regenerace brownfieldů</w:t>
            </w:r>
          </w:p>
        </w:tc>
        <w:tc>
          <w:tcPr>
            <w:tcW w:w="10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24 %</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20 %</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27 %</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29 %</w:t>
            </w:r>
          </w:p>
        </w:tc>
        <w:tc>
          <w:tcPr>
            <w:tcW w:w="1890" w:type="dxa"/>
            <w:gridSpan w:val="2"/>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Kapitálový vstup</w:t>
            </w:r>
          </w:p>
        </w:tc>
      </w:tr>
      <w:tr w:rsidR="00CC255A" w:rsidRPr="002C224A" w:rsidTr="001802B3">
        <w:trPr>
          <w:trHeight w:val="300"/>
        </w:trPr>
        <w:tc>
          <w:tcPr>
            <w:tcW w:w="3289" w:type="dxa"/>
            <w:tcBorders>
              <w:left w:val="nil"/>
              <w:right w:val="nil"/>
            </w:tcBorders>
            <w:shd w:val="clear" w:color="auto" w:fill="FFFFFF"/>
            <w:noWrap/>
            <w:vAlign w:val="center"/>
          </w:tcPr>
          <w:p w:rsidR="00CC255A" w:rsidRPr="002C224A" w:rsidRDefault="00CC255A" w:rsidP="001802B3">
            <w:pPr>
              <w:jc w:val="left"/>
              <w:rPr>
                <w:rFonts w:cs="Arial"/>
                <w:sz w:val="19"/>
                <w:szCs w:val="24"/>
                <w:lang w:eastAsia="en-US"/>
              </w:rPr>
            </w:pPr>
            <w:r w:rsidRPr="002C224A">
              <w:rPr>
                <w:color w:val="000000"/>
                <w:sz w:val="18"/>
                <w:szCs w:val="18"/>
              </w:rPr>
              <w:t>Regenerace brownfieldů</w:t>
            </w:r>
          </w:p>
        </w:tc>
        <w:tc>
          <w:tcPr>
            <w:tcW w:w="10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26</w:t>
            </w:r>
            <w:r w:rsidR="00E27130">
              <w:rPr>
                <w:color w:val="000000"/>
                <w:sz w:val="18"/>
                <w:szCs w:val="18"/>
              </w:rPr>
              <w:t xml:space="preserve"> </w:t>
            </w:r>
            <w:r w:rsidRPr="00A50943">
              <w:rPr>
                <w:color w:val="000000"/>
                <w:sz w:val="18"/>
                <w:szCs w:val="18"/>
              </w:rPr>
              <w:t>%</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33</w:t>
            </w:r>
            <w:r w:rsidR="00E27130">
              <w:rPr>
                <w:color w:val="000000"/>
                <w:sz w:val="18"/>
                <w:szCs w:val="18"/>
              </w:rPr>
              <w:t xml:space="preserve"> </w:t>
            </w:r>
            <w:r w:rsidRPr="00A50943">
              <w:rPr>
                <w:color w:val="000000"/>
                <w:sz w:val="18"/>
                <w:szCs w:val="18"/>
              </w:rPr>
              <w:t>%</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21</w:t>
            </w:r>
            <w:r w:rsidR="00E27130">
              <w:rPr>
                <w:color w:val="000000"/>
                <w:sz w:val="18"/>
                <w:szCs w:val="18"/>
              </w:rPr>
              <w:t xml:space="preserve"> </w:t>
            </w:r>
            <w:r w:rsidRPr="00A50943">
              <w:rPr>
                <w:color w:val="000000"/>
                <w:sz w:val="18"/>
                <w:szCs w:val="18"/>
              </w:rPr>
              <w:t>%</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20</w:t>
            </w:r>
            <w:r w:rsidR="00E27130">
              <w:rPr>
                <w:color w:val="000000"/>
                <w:sz w:val="18"/>
                <w:szCs w:val="18"/>
              </w:rPr>
              <w:t xml:space="preserve"> </w:t>
            </w:r>
            <w:r w:rsidRPr="00A50943">
              <w:rPr>
                <w:color w:val="000000"/>
                <w:sz w:val="18"/>
                <w:szCs w:val="18"/>
              </w:rPr>
              <w:t>%</w:t>
            </w:r>
          </w:p>
        </w:tc>
        <w:tc>
          <w:tcPr>
            <w:tcW w:w="1890" w:type="dxa"/>
            <w:gridSpan w:val="2"/>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Záruky</w:t>
            </w:r>
          </w:p>
        </w:tc>
      </w:tr>
      <w:tr w:rsidR="00CC255A" w:rsidRPr="002C224A" w:rsidTr="001802B3">
        <w:trPr>
          <w:trHeight w:val="300"/>
        </w:trPr>
        <w:tc>
          <w:tcPr>
            <w:tcW w:w="3289" w:type="dxa"/>
            <w:tcBorders>
              <w:left w:val="nil"/>
              <w:right w:val="nil"/>
            </w:tcBorders>
            <w:shd w:val="clear" w:color="auto" w:fill="FFFFFF"/>
            <w:noWrap/>
            <w:vAlign w:val="center"/>
          </w:tcPr>
          <w:p w:rsidR="00CC255A" w:rsidRPr="002C224A" w:rsidRDefault="00CC255A" w:rsidP="001802B3">
            <w:pPr>
              <w:jc w:val="left"/>
              <w:rPr>
                <w:rFonts w:cs="Arial"/>
                <w:sz w:val="19"/>
                <w:szCs w:val="24"/>
                <w:lang w:eastAsia="en-US"/>
              </w:rPr>
            </w:pPr>
            <w:r w:rsidRPr="002C224A">
              <w:rPr>
                <w:color w:val="000000"/>
                <w:sz w:val="18"/>
                <w:szCs w:val="18"/>
              </w:rPr>
              <w:t>Regenerace brownfieldů</w:t>
            </w:r>
          </w:p>
        </w:tc>
        <w:tc>
          <w:tcPr>
            <w:tcW w:w="10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39</w:t>
            </w:r>
            <w:r w:rsidR="00E27130">
              <w:rPr>
                <w:color w:val="000000"/>
                <w:sz w:val="18"/>
                <w:szCs w:val="18"/>
              </w:rPr>
              <w:t xml:space="preserve"> </w:t>
            </w:r>
            <w:r w:rsidRPr="00A50943">
              <w:rPr>
                <w:color w:val="000000"/>
                <w:sz w:val="18"/>
                <w:szCs w:val="18"/>
              </w:rPr>
              <w:t>%</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30</w:t>
            </w:r>
            <w:r w:rsidR="00E27130">
              <w:rPr>
                <w:color w:val="000000"/>
                <w:sz w:val="18"/>
                <w:szCs w:val="18"/>
              </w:rPr>
              <w:t xml:space="preserve"> </w:t>
            </w:r>
            <w:r w:rsidRPr="00A50943">
              <w:rPr>
                <w:color w:val="000000"/>
                <w:sz w:val="18"/>
                <w:szCs w:val="18"/>
              </w:rPr>
              <w:t>%</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17</w:t>
            </w:r>
            <w:r w:rsidR="00E27130">
              <w:rPr>
                <w:color w:val="000000"/>
                <w:sz w:val="18"/>
                <w:szCs w:val="18"/>
              </w:rPr>
              <w:t xml:space="preserve"> </w:t>
            </w:r>
            <w:r w:rsidRPr="00A50943">
              <w:rPr>
                <w:color w:val="000000"/>
                <w:sz w:val="18"/>
                <w:szCs w:val="18"/>
              </w:rPr>
              <w:t>%</w:t>
            </w:r>
          </w:p>
        </w:tc>
        <w:tc>
          <w:tcPr>
            <w:tcW w:w="960" w:type="dxa"/>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13</w:t>
            </w:r>
            <w:r w:rsidR="00E27130">
              <w:rPr>
                <w:color w:val="000000"/>
                <w:sz w:val="18"/>
                <w:szCs w:val="18"/>
              </w:rPr>
              <w:t xml:space="preserve"> </w:t>
            </w:r>
            <w:r w:rsidRPr="00A50943">
              <w:rPr>
                <w:color w:val="000000"/>
                <w:sz w:val="18"/>
                <w:szCs w:val="18"/>
              </w:rPr>
              <w:t>%</w:t>
            </w:r>
          </w:p>
        </w:tc>
        <w:tc>
          <w:tcPr>
            <w:tcW w:w="1890" w:type="dxa"/>
            <w:gridSpan w:val="2"/>
            <w:tcBorders>
              <w:left w:val="nil"/>
              <w:right w:val="nil"/>
            </w:tcBorders>
            <w:shd w:val="clear" w:color="auto" w:fill="FFFFFF"/>
            <w:noWrap/>
            <w:vAlign w:val="center"/>
          </w:tcPr>
          <w:p w:rsidR="00CC255A" w:rsidRPr="002C224A" w:rsidRDefault="00CC255A" w:rsidP="001802B3">
            <w:pPr>
              <w:keepNext/>
              <w:jc w:val="right"/>
              <w:rPr>
                <w:rFonts w:cs="Arial"/>
                <w:color w:val="000000"/>
                <w:sz w:val="18"/>
                <w:szCs w:val="18"/>
              </w:rPr>
            </w:pPr>
            <w:r w:rsidRPr="00A50943">
              <w:rPr>
                <w:color w:val="000000"/>
                <w:sz w:val="18"/>
                <w:szCs w:val="18"/>
              </w:rPr>
              <w:t>Zvýhodněný úvěr</w:t>
            </w:r>
          </w:p>
        </w:tc>
      </w:tr>
      <w:tr w:rsidR="00CC255A" w:rsidRPr="002C224A" w:rsidTr="001802B3">
        <w:trPr>
          <w:trHeight w:val="20"/>
        </w:trPr>
        <w:tc>
          <w:tcPr>
            <w:tcW w:w="9119" w:type="dxa"/>
            <w:gridSpan w:val="7"/>
            <w:tcBorders>
              <w:left w:val="nil"/>
              <w:right w:val="nil"/>
            </w:tcBorders>
            <w:shd w:val="clear" w:color="auto" w:fill="548DD4"/>
            <w:noWrap/>
            <w:vAlign w:val="center"/>
          </w:tcPr>
          <w:p w:rsidR="00CC255A" w:rsidRPr="00331BB7" w:rsidRDefault="00CC255A" w:rsidP="001802B3">
            <w:pPr>
              <w:jc w:val="left"/>
              <w:rPr>
                <w:rFonts w:cs="Calibri"/>
                <w:color w:val="FFFFFF"/>
                <w:sz w:val="18"/>
                <w:szCs w:val="18"/>
                <w:lang w:eastAsia="en-US"/>
              </w:rPr>
            </w:pPr>
            <w:r w:rsidRPr="00C52991">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CC255A" w:rsidRPr="00C52991" w:rsidRDefault="00CC255A" w:rsidP="001802B3">
            <w:pPr>
              <w:keepNext/>
              <w:jc w:val="left"/>
              <w:rPr>
                <w:rFonts w:cs="Arial"/>
                <w:color w:val="FFFFFF"/>
                <w:sz w:val="18"/>
                <w:szCs w:val="18"/>
              </w:rPr>
            </w:pPr>
          </w:p>
        </w:tc>
      </w:tr>
      <w:tr w:rsidR="00CC255A" w:rsidRPr="002C224A" w:rsidTr="001802B3">
        <w:trPr>
          <w:trHeight w:val="20"/>
        </w:trPr>
        <w:tc>
          <w:tcPr>
            <w:tcW w:w="3289" w:type="dxa"/>
            <w:tcBorders>
              <w:left w:val="nil"/>
              <w:right w:val="nil"/>
            </w:tcBorders>
            <w:shd w:val="clear" w:color="auto" w:fill="548DD4"/>
            <w:noWrap/>
            <w:vAlign w:val="center"/>
          </w:tcPr>
          <w:p w:rsidR="00CC255A" w:rsidRPr="00C52991" w:rsidRDefault="00CC255A" w:rsidP="001802B3">
            <w:pPr>
              <w:jc w:val="left"/>
              <w:rPr>
                <w:rFonts w:cs="Arial"/>
                <w:color w:val="FFFFFF"/>
                <w:sz w:val="18"/>
                <w:szCs w:val="18"/>
              </w:rPr>
            </w:pPr>
          </w:p>
        </w:tc>
        <w:tc>
          <w:tcPr>
            <w:tcW w:w="1060" w:type="dxa"/>
            <w:tcBorders>
              <w:left w:val="nil"/>
              <w:right w:val="nil"/>
            </w:tcBorders>
            <w:shd w:val="clear" w:color="auto" w:fill="548DD4"/>
            <w:noWrap/>
            <w:vAlign w:val="center"/>
          </w:tcPr>
          <w:p w:rsidR="00CC255A" w:rsidRPr="00E27130" w:rsidRDefault="00CC255A" w:rsidP="001802B3">
            <w:pPr>
              <w:keepNext/>
              <w:jc w:val="center"/>
              <w:rPr>
                <w:rFonts w:cs="Arial"/>
                <w:b/>
                <w:bCs/>
                <w:color w:val="FFFFFF"/>
                <w:sz w:val="18"/>
                <w:szCs w:val="18"/>
              </w:rPr>
            </w:pPr>
            <w:r w:rsidRPr="00E27130">
              <w:rPr>
                <w:b/>
                <w:bCs/>
                <w:color w:val="FFFFFF"/>
                <w:sz w:val="18"/>
                <w:szCs w:val="18"/>
              </w:rPr>
              <w:t>Určitě ano</w:t>
            </w:r>
          </w:p>
        </w:tc>
        <w:tc>
          <w:tcPr>
            <w:tcW w:w="960" w:type="dxa"/>
            <w:tcBorders>
              <w:left w:val="nil"/>
              <w:right w:val="nil"/>
            </w:tcBorders>
            <w:shd w:val="clear" w:color="auto" w:fill="548DD4"/>
            <w:noWrap/>
            <w:vAlign w:val="center"/>
          </w:tcPr>
          <w:p w:rsidR="00CC255A" w:rsidRPr="00E27130" w:rsidRDefault="00CC255A" w:rsidP="001802B3">
            <w:pPr>
              <w:keepNext/>
              <w:jc w:val="center"/>
              <w:rPr>
                <w:rFonts w:cs="Arial"/>
                <w:b/>
                <w:bCs/>
                <w:color w:val="FFFFFF"/>
                <w:sz w:val="18"/>
                <w:szCs w:val="18"/>
              </w:rPr>
            </w:pPr>
            <w:r w:rsidRPr="00E27130">
              <w:rPr>
                <w:b/>
                <w:bCs/>
                <w:color w:val="FFFFFF"/>
                <w:sz w:val="18"/>
                <w:szCs w:val="18"/>
              </w:rPr>
              <w:t>Spíše ano</w:t>
            </w:r>
          </w:p>
        </w:tc>
        <w:tc>
          <w:tcPr>
            <w:tcW w:w="960" w:type="dxa"/>
            <w:tcBorders>
              <w:left w:val="nil"/>
              <w:right w:val="nil"/>
            </w:tcBorders>
            <w:shd w:val="clear" w:color="auto" w:fill="548DD4"/>
            <w:noWrap/>
            <w:vAlign w:val="center"/>
          </w:tcPr>
          <w:p w:rsidR="00CC255A" w:rsidRPr="00E27130" w:rsidRDefault="00CC255A" w:rsidP="001802B3">
            <w:pPr>
              <w:keepNext/>
              <w:jc w:val="center"/>
              <w:rPr>
                <w:rFonts w:cs="Arial"/>
                <w:b/>
                <w:bCs/>
                <w:color w:val="FFFFFF"/>
                <w:sz w:val="18"/>
                <w:szCs w:val="18"/>
              </w:rPr>
            </w:pPr>
            <w:r w:rsidRPr="00E27130">
              <w:rPr>
                <w:b/>
                <w:bCs/>
                <w:color w:val="FFFFFF"/>
                <w:sz w:val="18"/>
                <w:szCs w:val="18"/>
              </w:rPr>
              <w:t>Spíše ne</w:t>
            </w:r>
          </w:p>
        </w:tc>
        <w:tc>
          <w:tcPr>
            <w:tcW w:w="960" w:type="dxa"/>
            <w:tcBorders>
              <w:left w:val="nil"/>
              <w:right w:val="nil"/>
            </w:tcBorders>
            <w:shd w:val="clear" w:color="auto" w:fill="548DD4"/>
            <w:noWrap/>
            <w:vAlign w:val="center"/>
          </w:tcPr>
          <w:p w:rsidR="00CC255A" w:rsidRPr="00E27130" w:rsidRDefault="00CC255A" w:rsidP="001802B3">
            <w:pPr>
              <w:keepNext/>
              <w:jc w:val="center"/>
              <w:rPr>
                <w:rFonts w:cs="Arial"/>
                <w:b/>
                <w:bCs/>
                <w:color w:val="FFFFFF"/>
                <w:sz w:val="18"/>
                <w:szCs w:val="18"/>
              </w:rPr>
            </w:pPr>
            <w:r w:rsidRPr="00E27130">
              <w:rPr>
                <w:b/>
                <w:bCs/>
                <w:color w:val="FFFFFF"/>
                <w:sz w:val="18"/>
                <w:szCs w:val="18"/>
              </w:rPr>
              <w:t>Určitě ne</w:t>
            </w:r>
          </w:p>
        </w:tc>
        <w:tc>
          <w:tcPr>
            <w:tcW w:w="1890" w:type="dxa"/>
            <w:gridSpan w:val="2"/>
            <w:tcBorders>
              <w:left w:val="nil"/>
              <w:right w:val="nil"/>
            </w:tcBorders>
            <w:shd w:val="clear" w:color="auto" w:fill="548DD4"/>
            <w:noWrap/>
            <w:vAlign w:val="center"/>
          </w:tcPr>
          <w:p w:rsidR="00CC255A" w:rsidRPr="00E27130" w:rsidRDefault="00CC255A" w:rsidP="001802B3">
            <w:pPr>
              <w:keepNext/>
              <w:jc w:val="center"/>
              <w:rPr>
                <w:rFonts w:cs="Arial"/>
                <w:b/>
                <w:bCs/>
                <w:color w:val="FFFFFF"/>
                <w:sz w:val="18"/>
                <w:szCs w:val="18"/>
              </w:rPr>
            </w:pPr>
            <w:r w:rsidRPr="00E27130">
              <w:rPr>
                <w:b/>
                <w:bCs/>
                <w:color w:val="FFFFFF"/>
                <w:sz w:val="18"/>
                <w:szCs w:val="18"/>
              </w:rPr>
              <w:t>Typ nástroje</w:t>
            </w:r>
          </w:p>
        </w:tc>
      </w:tr>
      <w:tr w:rsidR="00CC255A" w:rsidRPr="002C224A" w:rsidTr="001802B3">
        <w:trPr>
          <w:trHeight w:val="300"/>
        </w:trPr>
        <w:tc>
          <w:tcPr>
            <w:tcW w:w="3289" w:type="dxa"/>
            <w:tcBorders>
              <w:left w:val="nil"/>
              <w:right w:val="nil"/>
            </w:tcBorders>
            <w:shd w:val="clear" w:color="auto" w:fill="FFFFFF"/>
            <w:noWrap/>
            <w:vAlign w:val="center"/>
          </w:tcPr>
          <w:p w:rsidR="00CC255A" w:rsidRPr="00331BB7" w:rsidRDefault="00CC255A" w:rsidP="001802B3">
            <w:pPr>
              <w:jc w:val="left"/>
              <w:rPr>
                <w:rFonts w:cs="Arial"/>
                <w:sz w:val="18"/>
                <w:szCs w:val="18"/>
                <w:lang w:eastAsia="en-US"/>
              </w:rPr>
            </w:pPr>
            <w:r w:rsidRPr="00C52991">
              <w:rPr>
                <w:color w:val="000000"/>
                <w:sz w:val="18"/>
                <w:szCs w:val="18"/>
              </w:rPr>
              <w:t>Regenerace brownfieldů</w:t>
            </w:r>
          </w:p>
        </w:tc>
        <w:tc>
          <w:tcPr>
            <w:tcW w:w="1060" w:type="dxa"/>
            <w:tcBorders>
              <w:left w:val="nil"/>
              <w:right w:val="nil"/>
            </w:tcBorders>
            <w:shd w:val="clear" w:color="auto" w:fill="FFFFFF"/>
            <w:noWrap/>
            <w:vAlign w:val="center"/>
          </w:tcPr>
          <w:p w:rsidR="00CC255A" w:rsidRPr="00331BB7" w:rsidRDefault="00CC255A" w:rsidP="001802B3">
            <w:pPr>
              <w:jc w:val="right"/>
              <w:rPr>
                <w:rFonts w:cs="Calibri"/>
                <w:color w:val="000000"/>
                <w:sz w:val="18"/>
                <w:szCs w:val="18"/>
                <w:lang w:eastAsia="en-US"/>
              </w:rPr>
            </w:pPr>
            <w:r w:rsidRPr="00331BB7">
              <w:rPr>
                <w:rFonts w:cs="Calibri"/>
                <w:color w:val="000000"/>
                <w:sz w:val="18"/>
                <w:szCs w:val="18"/>
              </w:rPr>
              <w:t>22</w:t>
            </w:r>
            <w:r w:rsidR="00E27130" w:rsidRPr="00331BB7">
              <w:rPr>
                <w:rFonts w:cs="Calibri"/>
                <w:color w:val="000000"/>
                <w:sz w:val="18"/>
                <w:szCs w:val="18"/>
              </w:rPr>
              <w:t xml:space="preserve"> </w:t>
            </w:r>
            <w:r w:rsidRPr="00331BB7">
              <w:rPr>
                <w:rFonts w:cs="Calibri"/>
                <w:color w:val="000000"/>
                <w:sz w:val="18"/>
                <w:szCs w:val="18"/>
              </w:rPr>
              <w:t>%</w:t>
            </w:r>
          </w:p>
        </w:tc>
        <w:tc>
          <w:tcPr>
            <w:tcW w:w="960" w:type="dxa"/>
            <w:tcBorders>
              <w:left w:val="nil"/>
              <w:right w:val="nil"/>
            </w:tcBorders>
            <w:shd w:val="clear" w:color="auto" w:fill="FFFFFF"/>
            <w:noWrap/>
            <w:vAlign w:val="center"/>
          </w:tcPr>
          <w:p w:rsidR="00CC255A" w:rsidRPr="00331BB7" w:rsidRDefault="00CC255A" w:rsidP="001802B3">
            <w:pPr>
              <w:jc w:val="right"/>
              <w:rPr>
                <w:rFonts w:cs="Calibri"/>
                <w:color w:val="000000"/>
                <w:sz w:val="18"/>
                <w:szCs w:val="18"/>
                <w:lang w:eastAsia="en-US"/>
              </w:rPr>
            </w:pPr>
            <w:r w:rsidRPr="00331BB7">
              <w:rPr>
                <w:rFonts w:cs="Calibri"/>
                <w:color w:val="000000"/>
                <w:sz w:val="18"/>
                <w:szCs w:val="18"/>
              </w:rPr>
              <w:t>31</w:t>
            </w:r>
            <w:r w:rsidR="00E27130" w:rsidRPr="00331BB7">
              <w:rPr>
                <w:rFonts w:cs="Calibri"/>
                <w:color w:val="000000"/>
                <w:sz w:val="18"/>
                <w:szCs w:val="18"/>
              </w:rPr>
              <w:t xml:space="preserve"> </w:t>
            </w:r>
            <w:r w:rsidRPr="00331BB7">
              <w:rPr>
                <w:rFonts w:cs="Calibri"/>
                <w:color w:val="000000"/>
                <w:sz w:val="18"/>
                <w:szCs w:val="18"/>
              </w:rPr>
              <w:t>%</w:t>
            </w:r>
          </w:p>
        </w:tc>
        <w:tc>
          <w:tcPr>
            <w:tcW w:w="960" w:type="dxa"/>
            <w:tcBorders>
              <w:left w:val="nil"/>
              <w:right w:val="nil"/>
            </w:tcBorders>
            <w:shd w:val="clear" w:color="auto" w:fill="FFFFFF"/>
            <w:noWrap/>
            <w:vAlign w:val="center"/>
          </w:tcPr>
          <w:p w:rsidR="00CC255A" w:rsidRPr="00331BB7" w:rsidRDefault="00CC255A" w:rsidP="001802B3">
            <w:pPr>
              <w:jc w:val="right"/>
              <w:rPr>
                <w:rFonts w:cs="Calibri"/>
                <w:color w:val="000000"/>
                <w:sz w:val="18"/>
                <w:szCs w:val="18"/>
                <w:lang w:eastAsia="en-US"/>
              </w:rPr>
            </w:pPr>
            <w:r w:rsidRPr="00331BB7">
              <w:rPr>
                <w:rFonts w:cs="Calibri"/>
                <w:color w:val="000000"/>
                <w:sz w:val="18"/>
                <w:szCs w:val="18"/>
              </w:rPr>
              <w:t>24</w:t>
            </w:r>
            <w:r w:rsidR="00E27130" w:rsidRPr="00331BB7">
              <w:rPr>
                <w:rFonts w:cs="Calibri"/>
                <w:color w:val="000000"/>
                <w:sz w:val="18"/>
                <w:szCs w:val="18"/>
              </w:rPr>
              <w:t xml:space="preserve"> </w:t>
            </w:r>
            <w:r w:rsidRPr="00331BB7">
              <w:rPr>
                <w:rFonts w:cs="Calibri"/>
                <w:color w:val="000000"/>
                <w:sz w:val="18"/>
                <w:szCs w:val="18"/>
              </w:rPr>
              <w:t>%</w:t>
            </w:r>
          </w:p>
        </w:tc>
        <w:tc>
          <w:tcPr>
            <w:tcW w:w="960" w:type="dxa"/>
            <w:tcBorders>
              <w:left w:val="nil"/>
              <w:right w:val="nil"/>
            </w:tcBorders>
            <w:shd w:val="clear" w:color="auto" w:fill="FFFFFF"/>
            <w:noWrap/>
            <w:vAlign w:val="center"/>
          </w:tcPr>
          <w:p w:rsidR="00CC255A" w:rsidRPr="00331BB7" w:rsidRDefault="00CC255A" w:rsidP="001802B3">
            <w:pPr>
              <w:jc w:val="right"/>
              <w:rPr>
                <w:rFonts w:cs="Calibri"/>
                <w:color w:val="000000"/>
                <w:sz w:val="18"/>
                <w:szCs w:val="18"/>
                <w:lang w:eastAsia="en-US"/>
              </w:rPr>
            </w:pPr>
            <w:r w:rsidRPr="00331BB7">
              <w:rPr>
                <w:rFonts w:cs="Calibri"/>
                <w:color w:val="000000"/>
                <w:sz w:val="18"/>
                <w:szCs w:val="18"/>
              </w:rPr>
              <w:t>23</w:t>
            </w:r>
            <w:r w:rsidR="00E27130" w:rsidRPr="00331BB7">
              <w:rPr>
                <w:rFonts w:cs="Calibri"/>
                <w:color w:val="000000"/>
                <w:sz w:val="18"/>
                <w:szCs w:val="18"/>
              </w:rPr>
              <w:t xml:space="preserve"> </w:t>
            </w:r>
            <w:r w:rsidRPr="00331BB7">
              <w:rPr>
                <w:rFonts w:cs="Calibri"/>
                <w:color w:val="000000"/>
                <w:sz w:val="18"/>
                <w:szCs w:val="18"/>
              </w:rPr>
              <w:t>%</w:t>
            </w:r>
          </w:p>
        </w:tc>
        <w:tc>
          <w:tcPr>
            <w:tcW w:w="1890" w:type="dxa"/>
            <w:gridSpan w:val="2"/>
            <w:tcBorders>
              <w:left w:val="nil"/>
              <w:right w:val="nil"/>
            </w:tcBorders>
            <w:shd w:val="clear" w:color="auto" w:fill="FFFFFF"/>
            <w:noWrap/>
            <w:vAlign w:val="center"/>
          </w:tcPr>
          <w:p w:rsidR="00CC255A" w:rsidRPr="00E27130" w:rsidRDefault="00CC255A" w:rsidP="001802B3">
            <w:pPr>
              <w:keepNext/>
              <w:jc w:val="right"/>
              <w:rPr>
                <w:rFonts w:cs="Arial"/>
                <w:color w:val="000000"/>
                <w:sz w:val="18"/>
                <w:szCs w:val="18"/>
              </w:rPr>
            </w:pPr>
            <w:r w:rsidRPr="00C52991">
              <w:rPr>
                <w:color w:val="000000"/>
                <w:sz w:val="18"/>
                <w:szCs w:val="18"/>
              </w:rPr>
              <w:t>Zvýhodněný úvěr + dotace</w:t>
            </w:r>
          </w:p>
        </w:tc>
      </w:tr>
    </w:tbl>
    <w:p w:rsidR="00CC255A" w:rsidRPr="002C224A" w:rsidRDefault="00CC255A" w:rsidP="00CC255A">
      <w:pPr>
        <w:pStyle w:val="Titulek"/>
        <w:jc w:val="center"/>
      </w:pPr>
      <w:r w:rsidRPr="002C224A">
        <w:t xml:space="preserve">Tabulka </w:t>
      </w:r>
      <w:r w:rsidR="00582262" w:rsidRPr="002C224A">
        <w:t>5</w:t>
      </w:r>
      <w:r w:rsidR="00F6076B">
        <w:t>3</w:t>
      </w:r>
      <w:r w:rsidRPr="002C224A">
        <w:t>: Aktivační potenciál finančních nástrojů</w:t>
      </w:r>
    </w:p>
    <w:p w:rsidR="00CC255A" w:rsidRPr="002C224A" w:rsidRDefault="00CC255A" w:rsidP="00CC255A">
      <w:pPr>
        <w:pStyle w:val="Titulek"/>
        <w:jc w:val="center"/>
      </w:pPr>
      <w:r w:rsidRPr="002C224A">
        <w:t>Zdroj: Dotazník ex ante FN OP PIK</w:t>
      </w:r>
    </w:p>
    <w:p w:rsidR="00CC255A" w:rsidRPr="002C224A" w:rsidRDefault="00CC255A" w:rsidP="00CC255A">
      <w:pPr>
        <w:pStyle w:val="Nadpis4"/>
        <w:rPr>
          <w:rFonts w:ascii="Calibri" w:hAnsi="Calibri"/>
        </w:rPr>
      </w:pPr>
      <w:r w:rsidRPr="002C224A">
        <w:rPr>
          <w:rFonts w:ascii="Calibri" w:hAnsi="Calibri"/>
        </w:rPr>
        <w:t>Odhad absorpční kapacity veřejné podpory a finančního nástroje</w:t>
      </w:r>
    </w:p>
    <w:p w:rsidR="006D67F1" w:rsidRPr="002C224A" w:rsidRDefault="006D67F1" w:rsidP="005162A5">
      <w:pPr>
        <w:rPr>
          <w:lang w:eastAsia="en-US"/>
        </w:rPr>
      </w:pPr>
      <w:r w:rsidRPr="00A50943">
        <w:rPr>
          <w:lang w:eastAsia="en-US"/>
        </w:rPr>
        <w:t>Na základě minulé poptávky v OP PI i současné</w:t>
      </w:r>
      <w:r w:rsidRPr="002C224A">
        <w:rPr>
          <w:lang w:eastAsia="en-US"/>
        </w:rPr>
        <w:t xml:space="preserve">ho trendu růstu zájmu o podnikatelské nemovitosti lze předpokládat, že </w:t>
      </w:r>
      <w:r w:rsidRPr="002C224A">
        <w:rPr>
          <w:b/>
          <w:lang w:eastAsia="en-US"/>
        </w:rPr>
        <w:t>potenciální investiční poptávka za podmínky dostatečné incentivizace veřejnou podporou bude výrazně přesahovat vyčleněnou alokaci SC 2.3</w:t>
      </w:r>
      <w:r w:rsidR="00DB630A" w:rsidRPr="002C224A">
        <w:rPr>
          <w:b/>
          <w:lang w:eastAsia="en-US"/>
        </w:rPr>
        <w:t xml:space="preserve"> </w:t>
      </w:r>
      <w:smartTag w:uri="urn:schemas-microsoft-com:office:smarttags" w:element="metricconverter">
        <w:smartTagPr>
          <w:attr w:name="ProductID" w:val="113 mil"/>
        </w:smartTagPr>
        <w:r w:rsidRPr="002C224A">
          <w:rPr>
            <w:b/>
            <w:lang w:eastAsia="en-US"/>
          </w:rPr>
          <w:t>113 mil</w:t>
        </w:r>
      </w:smartTag>
      <w:r w:rsidRPr="002C224A">
        <w:rPr>
          <w:b/>
          <w:lang w:eastAsia="en-US"/>
        </w:rPr>
        <w:t xml:space="preserve"> EUR</w:t>
      </w:r>
      <w:r w:rsidRPr="002C224A">
        <w:rPr>
          <w:lang w:eastAsia="en-US"/>
        </w:rPr>
        <w:t xml:space="preserve">. </w:t>
      </w:r>
      <w:r w:rsidRPr="00C52991">
        <w:rPr>
          <w:lang w:eastAsia="en-US"/>
        </w:rPr>
        <w:t>V programu OP</w:t>
      </w:r>
      <w:r w:rsidR="00365C30" w:rsidRPr="00C52991">
        <w:rPr>
          <w:lang w:eastAsia="en-US"/>
        </w:rPr>
        <w:t xml:space="preserve"> </w:t>
      </w:r>
      <w:r w:rsidRPr="00C52991">
        <w:rPr>
          <w:lang w:eastAsia="en-US"/>
        </w:rPr>
        <w:t xml:space="preserve">PI činila </w:t>
      </w:r>
      <w:r w:rsidRPr="00331BB7">
        <w:rPr>
          <w:b/>
          <w:lang w:eastAsia="en-US"/>
        </w:rPr>
        <w:t>poptávka v případě rekonstrukce BF a podnikatelských nemovitostí 28 mld. Kč dotací, tedy cca 64 mld.</w:t>
      </w:r>
      <w:r w:rsidRPr="002C224A">
        <w:rPr>
          <w:lang w:eastAsia="en-US"/>
        </w:rPr>
        <w:t xml:space="preserve"> Kč uznatelných nákladů pouze v programu Nemovitosti. Vzhledem k vysoké citlivosti investiční poptávky na podporu lze předpokládat poptávku nižší vlivem snížení maximální míry dotační podpory na 45 % uznatelných nákladů, růst na trhu podnikatelských nemovitostí nicméně může poptávku naopak výrazně navýšit.</w:t>
      </w:r>
      <w:r w:rsidR="00247631">
        <w:rPr>
          <w:lang w:eastAsia="en-US"/>
        </w:rPr>
        <w:t xml:space="preserve"> </w:t>
      </w:r>
      <w:r w:rsidR="00247631" w:rsidRPr="002C224A">
        <w:rPr>
          <w:b/>
          <w:lang w:eastAsia="en-US"/>
        </w:rPr>
        <w:t>Uvažované investiční záměry</w:t>
      </w:r>
      <w:r w:rsidR="00247631">
        <w:rPr>
          <w:b/>
          <w:lang w:eastAsia="en-US"/>
        </w:rPr>
        <w:t xml:space="preserve"> z dotazníkového šetření</w:t>
      </w:r>
      <w:r w:rsidR="00247631" w:rsidRPr="002C224A">
        <w:rPr>
          <w:b/>
          <w:lang w:eastAsia="en-US"/>
        </w:rPr>
        <w:t xml:space="preserve"> dosahují výši 4,4 mld. Kč.</w:t>
      </w:r>
      <w:r w:rsidR="00C52991">
        <w:rPr>
          <w:b/>
          <w:lang w:eastAsia="en-US"/>
        </w:rPr>
        <w:t xml:space="preserve"> Odhad společnosti Deloitte Advisory vyčísluje poptávku v novém programovacím období na </w:t>
      </w:r>
      <w:r w:rsidR="000D04C2">
        <w:rPr>
          <w:b/>
          <w:lang w:eastAsia="en-US"/>
        </w:rPr>
        <w:t>19-25 mld. Kč.</w:t>
      </w:r>
    </w:p>
    <w:p w:rsidR="006D67F1" w:rsidRPr="002C224A" w:rsidRDefault="006D67F1" w:rsidP="005162A5">
      <w:pPr>
        <w:rPr>
          <w:lang w:eastAsia="en-US"/>
        </w:rPr>
      </w:pPr>
    </w:p>
    <w:p w:rsidR="006D67F1" w:rsidRPr="002C224A" w:rsidRDefault="006D67F1" w:rsidP="005162A5">
      <w:pPr>
        <w:rPr>
          <w:lang w:eastAsia="en-US"/>
        </w:rPr>
      </w:pPr>
      <w:r w:rsidRPr="002C224A">
        <w:rPr>
          <w:lang w:eastAsia="en-US"/>
        </w:rPr>
        <w:t xml:space="preserve">Nezanedbatelný počet zanedbaných podnikatelských nemovitostí, které byly dle dat CI v minulosti rekonstruovány bez dotační podpory, naznačuje u vhodného typu objektů poměrně výrazný potenciál poptávky i po měkčím druhu podpory formou finančních nástrojů, jak dokládá též dotazníkové šetření – a to i s ohledem na to, že rekonstrukce podnikatelských nemovitostí byly v minulých letech </w:t>
      </w:r>
      <w:r w:rsidRPr="002C224A">
        <w:rPr>
          <w:lang w:eastAsia="en-US"/>
        </w:rPr>
        <w:lastRenderedPageBreak/>
        <w:t>v některých případech realizovány i v rámci finančních nástrojů prostřednictvím ČMZRB, v rámci podpory rozvoje podniků.</w:t>
      </w:r>
      <w:r w:rsidR="00422394" w:rsidRPr="002C224A">
        <w:rPr>
          <w:lang w:eastAsia="en-US"/>
        </w:rPr>
        <w:t xml:space="preserve"> </w:t>
      </w:r>
      <w:r w:rsidRPr="002C224A">
        <w:rPr>
          <w:lang w:eastAsia="en-US"/>
        </w:rPr>
        <w:t xml:space="preserve">Z velké části se nicméně bude při tomto druhu podpory jednat o rekonstrukce podnikatelských objektů, které nevyžadují tak velké investice a nevykazují natolik výrazné tržní selhání – resp. spíše tržní selhání pokrývané v SC 2.1. V oblasti hůře </w:t>
      </w:r>
      <w:r w:rsidR="00365C30" w:rsidRPr="002C224A">
        <w:rPr>
          <w:lang w:eastAsia="en-US"/>
        </w:rPr>
        <w:t xml:space="preserve">regenerovatelných </w:t>
      </w:r>
      <w:r w:rsidRPr="002C224A">
        <w:rPr>
          <w:lang w:eastAsia="en-US"/>
        </w:rPr>
        <w:t>BF bude mít úvěrový nástroj velmi malou absorpční kapacitu.</w:t>
      </w:r>
    </w:p>
    <w:p w:rsidR="006D67F1" w:rsidRPr="002C224A" w:rsidRDefault="006D67F1" w:rsidP="005162A5">
      <w:pPr>
        <w:rPr>
          <w:lang w:eastAsia="en-US"/>
        </w:rPr>
      </w:pPr>
    </w:p>
    <w:p w:rsidR="006D67F1" w:rsidRPr="002C224A" w:rsidRDefault="006D67F1" w:rsidP="00C72C85">
      <w:r w:rsidRPr="002C224A">
        <w:rPr>
          <w:b/>
          <w:lang w:eastAsia="en-US"/>
        </w:rPr>
        <w:t>Absorpční kapacita u nástroje formou rozvojové společnosti</w:t>
      </w:r>
      <w:r w:rsidRPr="002C224A">
        <w:rPr>
          <w:lang w:eastAsia="en-US"/>
        </w:rPr>
        <w:t xml:space="preserve"> je závislá zejména na počtu vhodných lokalit (BF s rozlohou větší jak </w:t>
      </w:r>
      <w:smartTag w:uri="urn:schemas-microsoft-com:office:smarttags" w:element="metricconverter">
        <w:smartTagPr>
          <w:attr w:name="ProductID" w:val="10 ha"/>
        </w:smartTagPr>
        <w:r w:rsidRPr="002C224A">
          <w:rPr>
            <w:lang w:eastAsia="en-US"/>
          </w:rPr>
          <w:t>10 ha</w:t>
        </w:r>
      </w:smartTag>
      <w:r w:rsidRPr="002C224A">
        <w:rPr>
          <w:lang w:eastAsia="en-US"/>
        </w:rPr>
        <w:t xml:space="preserve"> s potenciálem tržní regenerovatelnosti) pro tento specificky vyčleněný úsek a poptávce MSP po podnikatelských nemovitostech.</w:t>
      </w:r>
      <w:r w:rsidR="00422394" w:rsidRPr="002C224A">
        <w:rPr>
          <w:lang w:eastAsia="en-US"/>
        </w:rPr>
        <w:t xml:space="preserve"> </w:t>
      </w:r>
      <w:r w:rsidRPr="002C224A">
        <w:rPr>
          <w:lang w:eastAsia="en-US"/>
        </w:rPr>
        <w:t xml:space="preserve">Podle expertních odhadů odborníků v této oblasti by měla být tato podmínka vzhledem k existujícímu tržnímu selhání zajištěna. Databáze BF v současnosti eviduje 40 lokalit s rozlohou nad </w:t>
      </w:r>
      <w:smartTag w:uri="urn:schemas-microsoft-com:office:smarttags" w:element="metricconverter">
        <w:smartTagPr>
          <w:attr w:name="ProductID" w:val="10 ha"/>
        </w:smartTagPr>
        <w:r w:rsidRPr="002C224A">
          <w:rPr>
            <w:lang w:eastAsia="en-US"/>
          </w:rPr>
          <w:t>10 ha</w:t>
        </w:r>
      </w:smartTag>
      <w:r w:rsidRPr="002C224A">
        <w:rPr>
          <w:lang w:eastAsia="en-US"/>
        </w:rPr>
        <w:t xml:space="preserve">. </w:t>
      </w:r>
      <w:r w:rsidRPr="002C224A">
        <w:rPr>
          <w:b/>
        </w:rPr>
        <w:t>Vlastnictví podobných areálů je zpravidla soukromé nebo smíšené</w:t>
      </w:r>
      <w:r w:rsidRPr="002C224A">
        <w:t>, přičemž plochy ve vlastnictví měst a obcí představují pouze menší část. Obvyklým vlastníkem může být stávající či nový majitel obchodní společnosti, jež stávající areál již dále neplánuje využívat, nebo banka či konkurzní správce, hledající kupce pro uspokojení svých pohledávek. Menší část vlastníků může být také tvořena spekulanty.</w:t>
      </w:r>
    </w:p>
    <w:p w:rsidR="006D67F1" w:rsidRPr="002C224A" w:rsidRDefault="006D67F1" w:rsidP="00C72C85"/>
    <w:p w:rsidR="006D67F1" w:rsidRPr="002C224A" w:rsidRDefault="006D67F1" w:rsidP="00C72C85">
      <w:r w:rsidRPr="002C224A">
        <w:rPr>
          <w:b/>
        </w:rPr>
        <w:t xml:space="preserve">Analýza odhaduje roční poptávku po podnikatelských objektech ve výši cca. </w:t>
      </w:r>
      <w:smartTag w:uri="urn:schemas-microsoft-com:office:smarttags" w:element="metricconverter">
        <w:smartTagPr>
          <w:attr w:name="ProductID" w:val="1,2 mil"/>
        </w:smartTagPr>
        <w:r w:rsidRPr="002C224A">
          <w:rPr>
            <w:b/>
          </w:rPr>
          <w:t>1,2 mil</w:t>
        </w:r>
      </w:smartTag>
      <w:r w:rsidRPr="002C224A">
        <w:rPr>
          <w:b/>
        </w:rPr>
        <w:t>. m</w:t>
      </w:r>
      <w:r w:rsidRPr="002C224A">
        <w:rPr>
          <w:b/>
          <w:vertAlign w:val="superscript"/>
        </w:rPr>
        <w:t>2</w:t>
      </w:r>
      <w:r w:rsidRPr="002C224A">
        <w:t>. Pokud aplikujeme poměr tvorby HDP ze strany malých a středních podniků, který představuje 1/3, můžeme odhadovat roční poptávku po nemovitostech ze strany MSP na 400 tis. m</w:t>
      </w:r>
      <w:r w:rsidRPr="002C224A">
        <w:rPr>
          <w:vertAlign w:val="superscript"/>
        </w:rPr>
        <w:t>2</w:t>
      </w:r>
      <w:r w:rsidRPr="002C224A">
        <w:t xml:space="preserve"> plochy podnikatelských objektů. </w:t>
      </w:r>
      <w:r w:rsidRPr="002C224A">
        <w:rPr>
          <w:b/>
        </w:rPr>
        <w:t xml:space="preserve">Rozvojová společnost by mohla ročně uvádět na trh cca. </w:t>
      </w:r>
      <w:smartTag w:uri="urn:schemas-microsoft-com:office:smarttags" w:element="metricconverter">
        <w:smartTagPr>
          <w:attr w:name="ProductID" w:val="20 ha"/>
        </w:smartTagPr>
        <w:r w:rsidRPr="002C224A">
          <w:rPr>
            <w:b/>
          </w:rPr>
          <w:t>20 ha</w:t>
        </w:r>
      </w:smartTag>
      <w:r w:rsidRPr="002C224A">
        <w:rPr>
          <w:b/>
        </w:rPr>
        <w:t xml:space="preserve"> ploch, což následně vytváří podmínky pro cca. 60 tis. m</w:t>
      </w:r>
      <w:r w:rsidRPr="002C224A">
        <w:rPr>
          <w:b/>
          <w:vertAlign w:val="superscript"/>
        </w:rPr>
        <w:t>2</w:t>
      </w:r>
      <w:r w:rsidRPr="002C224A">
        <w:rPr>
          <w:b/>
        </w:rPr>
        <w:t>, tedy 15% roční poptávky</w:t>
      </w:r>
      <w:r w:rsidRPr="002C224A">
        <w:t>.</w:t>
      </w:r>
    </w:p>
    <w:p w:rsidR="006D67F1" w:rsidRPr="002C224A" w:rsidRDefault="006D67F1" w:rsidP="005162A5">
      <w:pPr>
        <w:rPr>
          <w:lang w:eastAsia="en-US"/>
        </w:rPr>
      </w:pPr>
    </w:p>
    <w:p w:rsidR="006D67F1" w:rsidRPr="002C224A" w:rsidRDefault="006D67F1" w:rsidP="00283266">
      <w:pPr>
        <w:pStyle w:val="Nadpis4"/>
        <w:rPr>
          <w:rFonts w:ascii="Calibri" w:hAnsi="Calibri"/>
        </w:rPr>
      </w:pPr>
      <w:bookmarkStart w:id="815" w:name="_Toc416383830"/>
      <w:bookmarkStart w:id="816" w:name="_Toc416447819"/>
      <w:bookmarkStart w:id="817" w:name="_Toc416800446"/>
      <w:bookmarkEnd w:id="815"/>
      <w:bookmarkEnd w:id="816"/>
      <w:r w:rsidRPr="002C224A">
        <w:rPr>
          <w:rFonts w:ascii="Calibri" w:hAnsi="Calibri"/>
        </w:rPr>
        <w:t>Identifikace selhání trhu a suboptimálních investičních situací</w:t>
      </w:r>
    </w:p>
    <w:p w:rsidR="006D67F1" w:rsidRPr="00A50943" w:rsidRDefault="006D67F1" w:rsidP="00A577A4">
      <w:pPr>
        <w:rPr>
          <w:lang w:eastAsia="en-US"/>
        </w:rPr>
      </w:pPr>
    </w:p>
    <w:bookmarkEnd w:id="817"/>
    <w:p w:rsidR="006D67F1" w:rsidRPr="002C224A" w:rsidRDefault="006D67F1" w:rsidP="00A577A4">
      <w:pPr>
        <w:rPr>
          <w:lang w:eastAsia="en-US"/>
        </w:rPr>
      </w:pPr>
      <w:r w:rsidRPr="002C224A">
        <w:rPr>
          <w:lang w:eastAsia="en-US"/>
        </w:rPr>
        <w:t>Hlavní trend přípravy průmyslových nemovitostí je v současnosti odlišný od specifického cíle OP PIK v oblasti podnikatelských nemovitostí. Důvody pro tento stav vyplývají zejména z charakteru objektů a ploch typu BF a z široké dostupnosti GF.</w:t>
      </w:r>
    </w:p>
    <w:p w:rsidR="006D67F1" w:rsidRPr="002C224A" w:rsidRDefault="006D67F1" w:rsidP="00A577A4">
      <w:pPr>
        <w:rPr>
          <w:lang w:eastAsia="en-US"/>
        </w:rPr>
      </w:pPr>
    </w:p>
    <w:p w:rsidR="006D67F1" w:rsidRPr="002C224A" w:rsidRDefault="006D67F1" w:rsidP="00BC15AE">
      <w:pPr>
        <w:rPr>
          <w:lang w:eastAsia="en-US"/>
        </w:rPr>
      </w:pPr>
      <w:r w:rsidRPr="002C224A">
        <w:rPr>
          <w:lang w:eastAsia="en-US"/>
        </w:rPr>
        <w:t xml:space="preserve">Využití BF a jejich přeměna na využitelné podnikatelské objekty sebou nesou </w:t>
      </w:r>
      <w:r w:rsidRPr="002C224A">
        <w:rPr>
          <w:b/>
          <w:lang w:eastAsia="en-US"/>
        </w:rPr>
        <w:t>dodatečné náklady a rizika, v různé intenzitě dle konkrétního stavu BF a podnikatelské nemovitosti</w:t>
      </w:r>
      <w:r w:rsidR="00422394" w:rsidRPr="002C224A">
        <w:rPr>
          <w:b/>
          <w:lang w:eastAsia="en-US"/>
        </w:rPr>
        <w:t xml:space="preserve"> </w:t>
      </w:r>
      <w:r w:rsidRPr="002C224A">
        <w:rPr>
          <w:lang w:eastAsia="en-US"/>
        </w:rPr>
        <w:t>– u starých objektů existuje zvýšené riziko dodatečných neplánovaných nákladů, nalezení zprvu neidentifikovaných škod (i ekologických), bariérou mohou být existující majetkoprávní vztahy, technologická omezení apod.</w:t>
      </w:r>
    </w:p>
    <w:p w:rsidR="006D67F1" w:rsidRPr="002C224A" w:rsidRDefault="006D67F1" w:rsidP="00BC15AE">
      <w:pPr>
        <w:rPr>
          <w:lang w:eastAsia="en-US"/>
        </w:rPr>
      </w:pPr>
    </w:p>
    <w:p w:rsidR="006D67F1" w:rsidRPr="002C224A" w:rsidRDefault="006D67F1" w:rsidP="00BC15AE">
      <w:pPr>
        <w:rPr>
          <w:lang w:eastAsia="en-US"/>
        </w:rPr>
      </w:pPr>
      <w:r w:rsidRPr="002C224A">
        <w:rPr>
          <w:lang w:eastAsia="en-US"/>
        </w:rPr>
        <w:t>Část BF je natolik zanedbaná a zatížená škodami, že vyžaduje příliš vysoké investice na revitalizaci a z pohledu nákladů a výnosů se zcela se vymyká možnému tržnímu zájmu o jejich obnovu.</w:t>
      </w:r>
      <w:r w:rsidR="00422394" w:rsidRPr="002C224A">
        <w:rPr>
          <w:lang w:eastAsia="en-US"/>
        </w:rPr>
        <w:t xml:space="preserve"> </w:t>
      </w:r>
      <w:r w:rsidRPr="002C224A">
        <w:rPr>
          <w:lang w:eastAsia="en-US"/>
        </w:rPr>
        <w:t>Nízká poptávka po BF může být způsobená také nenákladovými faktory. Z logistického hlediska je využitelnost pozemku omezena vzdáleností a dopravní dostupností. Průmyslové zóny (BF), které se nacházejí v méně dostupných částech ČR, se mohou setkávat s nulovým zájmem o využití – to se týká velikého množství v současnosti evidovaných BF z oblasti zemědělství a bývalých vojenských objektů.</w:t>
      </w:r>
    </w:p>
    <w:p w:rsidR="006D67F1" w:rsidRPr="002C224A" w:rsidRDefault="006D67F1" w:rsidP="001B56F4">
      <w:pPr>
        <w:rPr>
          <w:lang w:eastAsia="en-US"/>
        </w:rPr>
      </w:pPr>
    </w:p>
    <w:p w:rsidR="006D67F1" w:rsidRPr="002C224A" w:rsidRDefault="006D67F1" w:rsidP="00BC15AE">
      <w:pPr>
        <w:rPr>
          <w:lang w:eastAsia="en-US"/>
        </w:rPr>
      </w:pPr>
      <w:r w:rsidRPr="002C224A">
        <w:rPr>
          <w:lang w:eastAsia="en-US"/>
        </w:rPr>
        <w:t>Existuje však i řada snáze regenerovatelných lokalit, které se potenciálně mohou objevit v investičním plánu MSP a vykázat přijatelnou míru návratnosti.</w:t>
      </w:r>
      <w:r w:rsidR="00422394" w:rsidRPr="002C224A">
        <w:rPr>
          <w:lang w:eastAsia="en-US"/>
        </w:rPr>
        <w:t xml:space="preserve"> </w:t>
      </w:r>
      <w:r w:rsidRPr="002C224A">
        <w:rPr>
          <w:lang w:eastAsia="en-US"/>
        </w:rPr>
        <w:t xml:space="preserve">Větší tržní investiční aktivitě v rozvoji BF však zamezuje i fakt, že dostupné jsou zpravidla levnější pozemky typu GF, kterým dá podnikatel uvažující podle čistě nákladových kritérií zpravidla přednost. </w:t>
      </w:r>
      <w:r w:rsidRPr="002C224A">
        <w:rPr>
          <w:b/>
          <w:lang w:eastAsia="en-US"/>
        </w:rPr>
        <w:t>Tržní selhání v oblasti regenerace BF tedy nelze posuzovat jen z hlediska ekonomické návratnosti a rizik, ale též z pohledu srovnání investičních příležitostí podniku v BF a GF.</w:t>
      </w:r>
      <w:r w:rsidR="00422394" w:rsidRPr="002C224A">
        <w:rPr>
          <w:b/>
          <w:lang w:eastAsia="en-US"/>
        </w:rPr>
        <w:t xml:space="preserve"> </w:t>
      </w:r>
      <w:r w:rsidRPr="002C224A">
        <w:rPr>
          <w:lang w:eastAsia="en-US"/>
        </w:rPr>
        <w:t>Také z těchto důvodů se nadále počítá s velkým podílem dotační podpory, která umožňuje regenerovat i nákladnější objekty bez jasně tržního potenciálu a zvýhodňuje BF oproti GF.</w:t>
      </w:r>
    </w:p>
    <w:p w:rsidR="006D67F1" w:rsidRPr="002C224A" w:rsidRDefault="006D67F1" w:rsidP="00BC15AE">
      <w:pPr>
        <w:rPr>
          <w:lang w:eastAsia="en-US"/>
        </w:rPr>
      </w:pPr>
    </w:p>
    <w:p w:rsidR="006D67F1" w:rsidRPr="002C224A" w:rsidRDefault="006D67F1" w:rsidP="0022629D">
      <w:pPr>
        <w:rPr>
          <w:lang w:eastAsia="en-US"/>
        </w:rPr>
      </w:pPr>
      <w:r w:rsidRPr="002C224A">
        <w:rPr>
          <w:b/>
          <w:lang w:eastAsia="en-US"/>
        </w:rPr>
        <w:t xml:space="preserve">Pokud se v rámci komerčních projektů regenerace brownfields realizují investice do stávajících nemovitostí, jedná se často o menší lokality, uvnitř či v blízkosti stávajícího výrobního areálu, někdy </w:t>
      </w:r>
      <w:r w:rsidRPr="002C224A">
        <w:rPr>
          <w:b/>
          <w:lang w:eastAsia="en-US"/>
        </w:rPr>
        <w:lastRenderedPageBreak/>
        <w:t>i částečně využívané</w:t>
      </w:r>
      <w:r w:rsidRPr="002C224A">
        <w:rPr>
          <w:lang w:eastAsia="en-US"/>
        </w:rPr>
        <w:t>.</w:t>
      </w:r>
      <w:r w:rsidR="00422394" w:rsidRPr="002C224A">
        <w:rPr>
          <w:lang w:eastAsia="en-US"/>
        </w:rPr>
        <w:t xml:space="preserve"> </w:t>
      </w:r>
      <w:r w:rsidRPr="002C224A">
        <w:rPr>
          <w:lang w:eastAsia="en-US"/>
        </w:rPr>
        <w:t xml:space="preserve">Jejich realizace je závislá na specifických podmínkách a požadavcích (existují výjimky ve formě strategicky významných, plošně rozsáhlých projektů, jejich realizace je však vždy poměrně unikátní a do velké míry neopakovatelná). I pro tyto lokality nicméně může být </w:t>
      </w:r>
      <w:r w:rsidRPr="002C224A">
        <w:rPr>
          <w:b/>
          <w:lang w:eastAsia="en-US"/>
        </w:rPr>
        <w:t>problémem nákladové srovnání a zmíněná rizika, která omezují i kredibilitu podniku a jeho úvěrovatelnost bankami – což je specificky problém MSP</w:t>
      </w:r>
      <w:r w:rsidRPr="002C224A">
        <w:rPr>
          <w:lang w:eastAsia="en-US"/>
        </w:rPr>
        <w:t>.</w:t>
      </w:r>
    </w:p>
    <w:p w:rsidR="006D67F1" w:rsidRPr="002C224A" w:rsidRDefault="006D67F1" w:rsidP="0022629D">
      <w:pPr>
        <w:rPr>
          <w:lang w:eastAsia="en-US"/>
        </w:rPr>
      </w:pPr>
    </w:p>
    <w:p w:rsidR="006D67F1" w:rsidRPr="002C224A" w:rsidRDefault="006D67F1" w:rsidP="00BC15AE">
      <w:pPr>
        <w:rPr>
          <w:lang w:eastAsia="en-US"/>
        </w:rPr>
      </w:pPr>
      <w:r w:rsidRPr="002C224A">
        <w:rPr>
          <w:b/>
          <w:lang w:eastAsia="en-US"/>
        </w:rPr>
        <w:t xml:space="preserve">Jako zvláště problematické jsou v rámci tržně regenerovatelných BF identifikovány zejména projekty, na jejichž konci by měly vzniknout nové podnikatelské zóny významnější velikosti (tj. nad </w:t>
      </w:r>
      <w:smartTag w:uri="urn:schemas-microsoft-com:office:smarttags" w:element="metricconverter">
        <w:smartTagPr>
          <w:attr w:name="ProductID" w:val="10 hektarů"/>
        </w:smartTagPr>
        <w:r w:rsidRPr="002C224A">
          <w:rPr>
            <w:b/>
            <w:lang w:eastAsia="en-US"/>
          </w:rPr>
          <w:t>10 hektarů</w:t>
        </w:r>
      </w:smartTag>
      <w:r w:rsidRPr="002C224A">
        <w:rPr>
          <w:b/>
          <w:lang w:eastAsia="en-US"/>
        </w:rPr>
        <w:t>).</w:t>
      </w:r>
      <w:r w:rsidRPr="002C224A">
        <w:rPr>
          <w:lang w:eastAsia="en-US"/>
        </w:rPr>
        <w:t xml:space="preserve"> Lze předpokládat, že pokud je investorem projektu přímo uživatel objektu, tedy zpravidla malý či střední podnik, nemá zájem investovat do areálu, jehož velikost či skladba neodpovídá jeho aktuální potřebě. Na druhou stranu jsou areály BF stranou většího zájmu tradičních developerů, jež působí na trhu podnikatelských nemovitostí zejména v oblasti GF. Výsledkem tohoto stavu může být „konzervace“ či drobné zlepšování zastaralých objektů, jež zcela jistě nejsou vhodné pro podniky, které by měly produkovat vysokou přidanou hodnotu. Dílčí revitalizace pouze okrajových snáze dostupných částí velkých BF může zakonzervovat zbytek plochy.</w:t>
      </w:r>
    </w:p>
    <w:p w:rsidR="006D67F1" w:rsidRPr="002C224A" w:rsidDel="00BC15AE" w:rsidRDefault="006D67F1" w:rsidP="001B56F4">
      <w:pPr>
        <w:rPr>
          <w:lang w:eastAsia="en-US"/>
        </w:rPr>
      </w:pPr>
    </w:p>
    <w:p w:rsidR="006D67F1" w:rsidRPr="002C224A" w:rsidRDefault="006D67F1" w:rsidP="00283266">
      <w:pPr>
        <w:pStyle w:val="Nadpis4"/>
        <w:rPr>
          <w:rFonts w:ascii="Calibri" w:hAnsi="Calibri"/>
        </w:rPr>
      </w:pPr>
      <w:bookmarkStart w:id="818" w:name="_Toc416383832"/>
      <w:bookmarkStart w:id="819" w:name="_Toc416447821"/>
      <w:bookmarkStart w:id="820" w:name="_Toc416383833"/>
      <w:bookmarkStart w:id="821" w:name="_Toc416447822"/>
      <w:bookmarkStart w:id="822" w:name="_Toc416383834"/>
      <w:bookmarkStart w:id="823" w:name="_Toc416447823"/>
      <w:bookmarkStart w:id="824" w:name="_Toc416383835"/>
      <w:bookmarkStart w:id="825" w:name="_Toc416447824"/>
      <w:bookmarkStart w:id="826" w:name="_Toc416383836"/>
      <w:bookmarkStart w:id="827" w:name="_Toc416447825"/>
      <w:bookmarkStart w:id="828" w:name="_Toc416383837"/>
      <w:bookmarkStart w:id="829" w:name="_Toc416447826"/>
      <w:bookmarkStart w:id="830" w:name="_Toc416383838"/>
      <w:bookmarkStart w:id="831" w:name="_Toc416447827"/>
      <w:bookmarkStart w:id="832" w:name="_Toc416383839"/>
      <w:bookmarkStart w:id="833" w:name="_Toc416447828"/>
      <w:bookmarkStart w:id="834" w:name="_Toc416383840"/>
      <w:bookmarkStart w:id="835" w:name="_Toc416447829"/>
      <w:bookmarkStart w:id="836" w:name="_Toc416383841"/>
      <w:bookmarkStart w:id="837" w:name="_Toc416447830"/>
      <w:bookmarkStart w:id="838" w:name="_Toc41680044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2C224A">
        <w:rPr>
          <w:rFonts w:ascii="Calibri" w:hAnsi="Calibri"/>
        </w:rPr>
        <w:t>Návrh řešení identifikovaných tržních selhání</w:t>
      </w:r>
    </w:p>
    <w:p w:rsidR="006D67F1" w:rsidRPr="00A50943" w:rsidRDefault="006D67F1" w:rsidP="001B56F4">
      <w:pPr>
        <w:rPr>
          <w:lang w:eastAsia="en-US"/>
        </w:rPr>
      </w:pPr>
    </w:p>
    <w:bookmarkEnd w:id="838"/>
    <w:p w:rsidR="006D67F1" w:rsidRPr="002C224A" w:rsidRDefault="006D67F1" w:rsidP="001B56F4">
      <w:pPr>
        <w:rPr>
          <w:shd w:val="clear" w:color="auto" w:fill="FFFFFF"/>
          <w:lang w:eastAsia="en-US"/>
        </w:rPr>
      </w:pPr>
      <w:r w:rsidRPr="002C224A">
        <w:rPr>
          <w:lang w:eastAsia="en-US"/>
        </w:rPr>
        <w:t>A</w:t>
      </w:r>
      <w:r w:rsidRPr="002C224A">
        <w:rPr>
          <w:shd w:val="clear" w:color="auto" w:fill="FFFFFF"/>
          <w:lang w:eastAsia="en-US"/>
        </w:rPr>
        <w:t>lokace klíčového programu Nemovitosti se snížila pro nové období z 10 mld. Kč na 3,82 mld. Kč</w:t>
      </w:r>
      <w:r w:rsidR="00A326A4" w:rsidRPr="002C224A">
        <w:rPr>
          <w:shd w:val="clear" w:color="auto" w:fill="FFFFFF"/>
          <w:lang w:eastAsia="en-US"/>
        </w:rPr>
        <w:t>,</w:t>
      </w:r>
      <w:r w:rsidR="00535947" w:rsidRPr="002C224A">
        <w:rPr>
          <w:shd w:val="clear" w:color="auto" w:fill="FFFFFF"/>
          <w:lang w:eastAsia="en-US"/>
        </w:rPr>
        <w:t xml:space="preserve"> což je s ohledem na předpokládanou absorpční kapacitu poměrně citlivé snížení. </w:t>
      </w:r>
      <w:r w:rsidRPr="002C224A">
        <w:rPr>
          <w:shd w:val="clear" w:color="auto" w:fill="FFFFFF"/>
          <w:lang w:eastAsia="en-US"/>
        </w:rPr>
        <w:t xml:space="preserve">Na základě těchto omezení </w:t>
      </w:r>
      <w:r w:rsidR="00535947" w:rsidRPr="002C224A">
        <w:rPr>
          <w:shd w:val="clear" w:color="auto" w:fill="FFFFFF"/>
          <w:lang w:eastAsia="en-US"/>
        </w:rPr>
        <w:t xml:space="preserve">veřejných zdrojů </w:t>
      </w:r>
      <w:r w:rsidRPr="002C224A">
        <w:rPr>
          <w:shd w:val="clear" w:color="auto" w:fill="FFFFFF"/>
          <w:lang w:eastAsia="en-US"/>
        </w:rPr>
        <w:t xml:space="preserve">je zřejmé, že nástroje podpory musí primárně směřovat do oblastí s výraznějším tržním selháním, zároveň je </w:t>
      </w:r>
      <w:r w:rsidR="00535947" w:rsidRPr="002C224A">
        <w:rPr>
          <w:shd w:val="clear" w:color="auto" w:fill="FFFFFF"/>
          <w:lang w:eastAsia="en-US"/>
        </w:rPr>
        <w:t xml:space="preserve">však </w:t>
      </w:r>
      <w:r w:rsidRPr="002C224A">
        <w:rPr>
          <w:shd w:val="clear" w:color="auto" w:fill="FFFFFF"/>
          <w:lang w:eastAsia="en-US"/>
        </w:rPr>
        <w:t>prostor pro vytvoření nástroje s revolvingovým efektem, který by dostupné prostředky rozšířil.</w:t>
      </w:r>
    </w:p>
    <w:p w:rsidR="006D67F1" w:rsidRPr="002C224A" w:rsidRDefault="006D67F1" w:rsidP="001B56F4">
      <w:pPr>
        <w:rPr>
          <w:shd w:val="clear" w:color="auto" w:fill="FFFFFF"/>
          <w:lang w:eastAsia="en-US"/>
        </w:rPr>
      </w:pPr>
    </w:p>
    <w:p w:rsidR="006D67F1" w:rsidRPr="002C224A" w:rsidRDefault="006D67F1" w:rsidP="001B56F4">
      <w:pPr>
        <w:rPr>
          <w:b/>
          <w:lang w:eastAsia="en-US"/>
        </w:rPr>
      </w:pPr>
      <w:r w:rsidRPr="002C224A">
        <w:rPr>
          <w:b/>
          <w:shd w:val="clear" w:color="auto" w:fill="FFFFFF"/>
          <w:lang w:eastAsia="en-US"/>
        </w:rPr>
        <w:t>N</w:t>
      </w:r>
      <w:r w:rsidRPr="002C224A">
        <w:rPr>
          <w:b/>
          <w:lang w:eastAsia="en-US"/>
        </w:rPr>
        <w:t>a základě analýzy projektů programu Nemovitosti se domníváme, že ne všechny projekty, které v minulosti byly podpořeny dotačně, je účelné nadále tímto způsobem podporovat.</w:t>
      </w:r>
      <w:r w:rsidR="00422394" w:rsidRPr="002C224A">
        <w:rPr>
          <w:b/>
          <w:lang w:eastAsia="en-US"/>
        </w:rPr>
        <w:t xml:space="preserve"> </w:t>
      </w:r>
      <w:r w:rsidRPr="002C224A">
        <w:rPr>
          <w:lang w:eastAsia="en-US"/>
        </w:rPr>
        <w:t xml:space="preserve">Dotace důrazně doporučujeme směřovat pouze do revitalizace skutečných </w:t>
      </w:r>
      <w:r w:rsidR="00F472A6" w:rsidRPr="002C224A">
        <w:rPr>
          <w:lang w:eastAsia="en-US"/>
        </w:rPr>
        <w:t xml:space="preserve">BF </w:t>
      </w:r>
      <w:r w:rsidRPr="002C224A">
        <w:rPr>
          <w:lang w:eastAsia="en-US"/>
        </w:rPr>
        <w:t xml:space="preserve">s výraznou nákladovou mezerou. </w:t>
      </w:r>
      <w:r w:rsidRPr="002C224A">
        <w:rPr>
          <w:b/>
          <w:lang w:eastAsia="en-US"/>
        </w:rPr>
        <w:t>Za tímto účelem je třeba zpřesnit kritéria a výběr projektů.</w:t>
      </w:r>
    </w:p>
    <w:p w:rsidR="006D67F1" w:rsidRPr="002C224A" w:rsidRDefault="006D67F1" w:rsidP="001B56F4">
      <w:pPr>
        <w:rPr>
          <w:lang w:eastAsia="en-US"/>
        </w:rPr>
      </w:pPr>
    </w:p>
    <w:p w:rsidR="006D67F1" w:rsidRPr="002C224A" w:rsidRDefault="006D67F1" w:rsidP="001B56F4">
      <w:pPr>
        <w:rPr>
          <w:lang w:eastAsia="en-US"/>
        </w:rPr>
      </w:pPr>
      <w:r w:rsidRPr="002C224A">
        <w:rPr>
          <w:lang w:eastAsia="en-US"/>
        </w:rPr>
        <w:t xml:space="preserve">Na základě tohoto posouzení lze zejména na </w:t>
      </w:r>
      <w:r w:rsidRPr="002C224A">
        <w:rPr>
          <w:b/>
          <w:lang w:eastAsia="en-US"/>
        </w:rPr>
        <w:t>projekty rekonstrukcí podnikatelských objektů</w:t>
      </w:r>
      <w:r w:rsidRPr="002C224A">
        <w:rPr>
          <w:lang w:eastAsia="en-US"/>
        </w:rPr>
        <w:t>, které jsou dosud částečně využívány a nevykazují takový stupeň zchátralosti a nutnost kompletní revitalizace, uvažovat o</w:t>
      </w:r>
      <w:r w:rsidRPr="002C224A">
        <w:rPr>
          <w:b/>
          <w:lang w:eastAsia="en-US"/>
        </w:rPr>
        <w:t xml:space="preserve"> aplikaci zvýhodněných úvěrů.</w:t>
      </w:r>
      <w:r w:rsidRPr="002C224A">
        <w:rPr>
          <w:lang w:eastAsia="en-US"/>
        </w:rPr>
        <w:t xml:space="preserve"> Tento nástroj nicméně jen omezeně může zasáhnout oblast s primárním tržním selháním SC 2.3, jeho efekt přidané hodnoty bude tedy limitovaný. </w:t>
      </w:r>
      <w:r w:rsidRPr="002C224A">
        <w:rPr>
          <w:b/>
          <w:lang w:eastAsia="en-US"/>
        </w:rPr>
        <w:t>Zvýhodněné úvěry by mohly využít i obce, které chtějí investovat do revitalizace BF za účelem přípravy podnikatelských ploch pro MSP</w:t>
      </w:r>
      <w:r w:rsidRPr="002C224A">
        <w:rPr>
          <w:lang w:eastAsia="en-US"/>
        </w:rPr>
        <w:t>. V tomto ohledu nicméně zvýhodněný úvěr ani v případě doprovodných příspěvků na úrokovou míru a přípravu projektu nemusí být dostatečným zvýhodněním umožňujícím realizaci těchto projektů a lze očekávat velmi omezenou absorpční kapacitu. Municipality budou primárně čerpat podporu na BF z jiných operačních programů.</w:t>
      </w:r>
    </w:p>
    <w:p w:rsidR="006D67F1" w:rsidRPr="002C224A" w:rsidRDefault="006D67F1" w:rsidP="001B56F4">
      <w:pPr>
        <w:rPr>
          <w:lang w:eastAsia="en-US"/>
        </w:rPr>
      </w:pPr>
    </w:p>
    <w:p w:rsidR="006D67F1" w:rsidRPr="002C224A" w:rsidRDefault="006D67F1" w:rsidP="001B56F4">
      <w:pPr>
        <w:rPr>
          <w:lang w:eastAsia="en-US"/>
        </w:rPr>
      </w:pPr>
      <w:r w:rsidRPr="002C224A">
        <w:rPr>
          <w:lang w:eastAsia="en-US"/>
        </w:rPr>
        <w:t>Specifický druh suboptimální investiční situace pozorujeme u větších ploch BF, které mohou být vhodnými lokalitami pro podnikatelské aktivity MSP a nejsou revitalizovány přes relativní tržní potenciál.</w:t>
      </w:r>
      <w:r w:rsidR="00FC2DC1" w:rsidRPr="002C224A">
        <w:rPr>
          <w:lang w:eastAsia="en-US"/>
        </w:rPr>
        <w:t xml:space="preserve"> </w:t>
      </w:r>
      <w:r w:rsidRPr="002C224A">
        <w:rPr>
          <w:lang w:eastAsia="en-US"/>
        </w:rPr>
        <w:t xml:space="preserve">Průsečíkem snah o regeneraci opuštěných či nedostatečně využívaných BF a zvýšení nabídky kvalitních podnikatelských nemovitostí pro MSP může být </w:t>
      </w:r>
      <w:r w:rsidRPr="002C224A">
        <w:t>specificky vytvořený nástroj, jehož strategií bude kombinovat obě tyto složky</w:t>
      </w:r>
      <w:r w:rsidRPr="002C224A">
        <w:rPr>
          <w:b/>
        </w:rPr>
        <w:t>.</w:t>
      </w:r>
      <w:r w:rsidR="00FC2DC1" w:rsidRPr="002C224A">
        <w:rPr>
          <w:b/>
        </w:rPr>
        <w:t xml:space="preserve"> </w:t>
      </w:r>
      <w:r w:rsidRPr="002C224A">
        <w:rPr>
          <w:lang w:eastAsia="en-US"/>
        </w:rPr>
        <w:t>Do tohoto nástroje by se mohly zapojit veřejní (obce), ale i soukromí vlastníci BF, od nichž by nástroj pozemek odkoupil.</w:t>
      </w:r>
      <w:r w:rsidR="00FC2DC1" w:rsidRPr="002C224A">
        <w:rPr>
          <w:lang w:eastAsia="en-US"/>
        </w:rPr>
        <w:t xml:space="preserve"> </w:t>
      </w:r>
      <w:r w:rsidRPr="002C224A">
        <w:rPr>
          <w:b/>
        </w:rPr>
        <w:t xml:space="preserve">FN by měl podobu </w:t>
      </w:r>
      <w:r w:rsidR="00295248" w:rsidRPr="002C224A">
        <w:rPr>
          <w:b/>
        </w:rPr>
        <w:t xml:space="preserve">účelové </w:t>
      </w:r>
      <w:r w:rsidRPr="002C224A">
        <w:rPr>
          <w:b/>
        </w:rPr>
        <w:t>entity, jež bude disponovat finančními prostředky OP PIK a bude je investovat do projektů regenerace BF a přípravy podnikatelských zón vysokého standardu pro MSP, s cílem zajistit finanční návratnost.</w:t>
      </w:r>
      <w:r w:rsidR="00FC2DC1" w:rsidRPr="002C224A">
        <w:rPr>
          <w:b/>
        </w:rPr>
        <w:t xml:space="preserve"> </w:t>
      </w:r>
      <w:r w:rsidRPr="002C224A">
        <w:t>Překlene tedy propast mezi vlastníkem BF, který nemá prostředky a know-how k jeho revitalizování a zájemci z řad MSP o podnikatelské nemovitosti.</w:t>
      </w:r>
    </w:p>
    <w:p w:rsidR="006D67F1" w:rsidRPr="002C224A" w:rsidRDefault="006D67F1" w:rsidP="005E533B">
      <w:pPr>
        <w:rPr>
          <w:lang w:eastAsia="en-US"/>
        </w:rPr>
      </w:pPr>
    </w:p>
    <w:p w:rsidR="006D67F1" w:rsidRPr="002C224A" w:rsidRDefault="006D67F1" w:rsidP="002433DA">
      <w:pPr>
        <w:pStyle w:val="Nadpis3"/>
        <w:rPr>
          <w:rFonts w:ascii="Calibri" w:hAnsi="Calibri"/>
          <w:lang w:eastAsia="en-US"/>
        </w:rPr>
      </w:pPr>
      <w:bookmarkStart w:id="839" w:name="_Toc416800448"/>
      <w:bookmarkStart w:id="840" w:name="_Toc421534293"/>
      <w:r w:rsidRPr="002C224A">
        <w:rPr>
          <w:rFonts w:ascii="Calibri" w:hAnsi="Calibri"/>
          <w:lang w:eastAsia="en-US"/>
        </w:rPr>
        <w:lastRenderedPageBreak/>
        <w:t>Posouzení přidané hodnoty finančních nástrojů</w:t>
      </w:r>
      <w:bookmarkEnd w:id="839"/>
      <w:bookmarkEnd w:id="840"/>
    </w:p>
    <w:p w:rsidR="006D67F1" w:rsidRPr="002C224A" w:rsidRDefault="006D67F1" w:rsidP="00283266">
      <w:pPr>
        <w:pStyle w:val="Nadpis4"/>
        <w:rPr>
          <w:rFonts w:ascii="Calibri" w:hAnsi="Calibri"/>
        </w:rPr>
      </w:pPr>
      <w:r w:rsidRPr="002C224A">
        <w:rPr>
          <w:rFonts w:ascii="Calibri" w:hAnsi="Calibri"/>
        </w:rPr>
        <w:t>Představení typových projektů</w:t>
      </w:r>
    </w:p>
    <w:p w:rsidR="006D67F1" w:rsidRPr="00A50943" w:rsidRDefault="006D67F1" w:rsidP="00C72C85">
      <w:r w:rsidRPr="00A50943">
        <w:t>Typický projekt pro SC 2.3 může mít několik forem.</w:t>
      </w:r>
    </w:p>
    <w:p w:rsidR="006D67F1" w:rsidRPr="002C224A" w:rsidRDefault="006D67F1" w:rsidP="00C72C85"/>
    <w:p w:rsidR="00B634DD" w:rsidRDefault="00B634DD" w:rsidP="00C72C85">
      <w:pPr>
        <w:rPr>
          <w:b/>
        </w:rPr>
      </w:pPr>
      <w:r w:rsidRPr="008366D3">
        <w:rPr>
          <w:b/>
        </w:rPr>
        <w:t>Typový projekt 1</w:t>
      </w:r>
      <w:r>
        <w:rPr>
          <w:b/>
        </w:rPr>
        <w:t>:</w:t>
      </w:r>
    </w:p>
    <w:p w:rsidR="008D25F3" w:rsidRDefault="00B634DD" w:rsidP="00C72C85">
      <w:r>
        <w:t>P</w:t>
      </w:r>
      <w:r w:rsidR="006D67F1" w:rsidRPr="002C224A">
        <w:t xml:space="preserve">rojektem </w:t>
      </w:r>
      <w:r w:rsidR="000B505C">
        <w:t>byla</w:t>
      </w:r>
      <w:r w:rsidR="000B505C" w:rsidRPr="002C224A">
        <w:t xml:space="preserve"> </w:t>
      </w:r>
      <w:r w:rsidR="006D67F1" w:rsidRPr="002C224A">
        <w:t xml:space="preserve">revitalizace BF v režii středního podniku zaměřeného na výrobu motorových vozidel a jejich motorů. Záměrem společnosti </w:t>
      </w:r>
      <w:r w:rsidR="000B505C">
        <w:t>bylo vybudování moderních výrobních prostorů</w:t>
      </w:r>
      <w:r w:rsidR="006D67F1" w:rsidRPr="002C224A">
        <w:t xml:space="preserve"> na bývalém vojenském pozemku, kde se nacházejí objekty ve zchátralém stavu. </w:t>
      </w:r>
      <w:r w:rsidR="000B505C">
        <w:t>Projekt spočívá v odstranění stávajících objektů</w:t>
      </w:r>
      <w:r w:rsidR="006D67F1" w:rsidRPr="002C224A">
        <w:t>,</w:t>
      </w:r>
      <w:r w:rsidR="000B505C">
        <w:t xml:space="preserve"> úpravě pozemků a infrastruktury a vybudování nového objektu. </w:t>
      </w:r>
      <w:r w:rsidR="006D67F1" w:rsidRPr="002C224A">
        <w:t xml:space="preserve">Celková výše investice je </w:t>
      </w:r>
      <w:smartTag w:uri="urn:schemas-microsoft-com:office:smarttags" w:element="metricconverter">
        <w:smartTagPr>
          <w:attr w:name="ProductID" w:val="177 mil"/>
        </w:smartTagPr>
        <w:r w:rsidR="006D67F1" w:rsidRPr="002C224A">
          <w:t>177 mil</w:t>
        </w:r>
      </w:smartTag>
      <w:r w:rsidR="006D67F1" w:rsidRPr="002C224A">
        <w:t xml:space="preserve">. Kč. Rozloha činí </w:t>
      </w:r>
      <w:smartTag w:uri="urn:schemas-microsoft-com:office:smarttags" w:element="metricconverter">
        <w:smartTagPr>
          <w:attr w:name="ProductID" w:val="13 000 m2"/>
        </w:smartTagPr>
        <w:r w:rsidR="006D67F1" w:rsidRPr="002C224A">
          <w:t>13 000 m2</w:t>
        </w:r>
      </w:smartTag>
      <w:r w:rsidR="006D67F1" w:rsidRPr="002C224A">
        <w:t xml:space="preserve">. Celkové způsobile výdaje se rovnají výši investice a z nich je </w:t>
      </w:r>
      <w:smartTag w:uri="urn:schemas-microsoft-com:office:smarttags" w:element="metricconverter">
        <w:smartTagPr>
          <w:attr w:name="ProductID" w:val="18 mil"/>
        </w:smartTagPr>
        <w:r w:rsidR="006D67F1" w:rsidRPr="002C224A">
          <w:t>18 mil</w:t>
        </w:r>
      </w:smartTag>
      <w:r w:rsidR="006D67F1" w:rsidRPr="002C224A">
        <w:t xml:space="preserve">. Kč určených na rekonstrukci a výstavbu inženýrských sítí a přípravu pozemků pro výstavbu. Projekt tak zahrnuje kompletní revitalizaci BF a vytvoření nového výrobního areálu na místě staré zanedbané vojenské lokality. Z pohledu cíle se jedná o typický projekt, který by </w:t>
      </w:r>
      <w:r w:rsidR="00A706C8" w:rsidRPr="002C224A">
        <w:t xml:space="preserve">mohl </w:t>
      </w:r>
      <w:r w:rsidR="006D67F1" w:rsidRPr="002C224A">
        <w:t xml:space="preserve">být </w:t>
      </w:r>
      <w:r w:rsidR="00A706C8" w:rsidRPr="002C224A">
        <w:t xml:space="preserve">nadále </w:t>
      </w:r>
      <w:r w:rsidR="006D67F1" w:rsidRPr="002C224A">
        <w:t>primárně podporován v rámci SC 2.3</w:t>
      </w:r>
      <w:r w:rsidR="00A706C8" w:rsidRPr="002C224A">
        <w:t>, a to s využitím dotace na revitalizaci (odstranění budov, příprava pozemků na výstavbu, zasíťování)</w:t>
      </w:r>
      <w:r w:rsidR="006D67F1" w:rsidRPr="002C224A">
        <w:t xml:space="preserve"> </w:t>
      </w:r>
      <w:r w:rsidR="00A706C8" w:rsidRPr="002C224A">
        <w:t>a</w:t>
      </w:r>
      <w:r>
        <w:t xml:space="preserve"> případného</w:t>
      </w:r>
      <w:r w:rsidR="00A706C8" w:rsidRPr="002C224A">
        <w:t xml:space="preserve"> zvýhodněného úvěru na stavbu.</w:t>
      </w:r>
    </w:p>
    <w:p w:rsidR="008D25F3" w:rsidRDefault="008D25F3" w:rsidP="00C72C85"/>
    <w:p w:rsidR="008D25F3" w:rsidRPr="008366D3" w:rsidRDefault="008D25F3" w:rsidP="00C72C85">
      <w:pPr>
        <w:rPr>
          <w:b/>
        </w:rPr>
      </w:pPr>
      <w:r w:rsidRPr="008366D3">
        <w:rPr>
          <w:b/>
        </w:rPr>
        <w:t>Typový projekt 2:</w:t>
      </w:r>
    </w:p>
    <w:p w:rsidR="008D25F3" w:rsidRDefault="008D25F3" w:rsidP="00C72C85">
      <w:r w:rsidRPr="008D25F3">
        <w:t>Rekonstrukce nemovitosti</w:t>
      </w:r>
      <w:r>
        <w:t xml:space="preserve"> MSP</w:t>
      </w:r>
      <w:r w:rsidRPr="008D25F3">
        <w:t xml:space="preserve"> (dvojpodlažní budova) na vhodné výrobní prostory za účelem zvětšení výrobních prostor a rozšíření skladové plochy. Náklad na pozemky je </w:t>
      </w:r>
      <w:smartTag w:uri="urn:schemas-microsoft-com:office:smarttags" w:element="metricconverter">
        <w:smartTagPr>
          <w:attr w:name="ProductID" w:val="2 mil"/>
        </w:smartTagPr>
        <w:r w:rsidRPr="008D25F3">
          <w:t>2 mil</w:t>
        </w:r>
      </w:smartTag>
      <w:r w:rsidRPr="008D25F3">
        <w:t xml:space="preserve">. Kč, na nákup budovy </w:t>
      </w:r>
      <w:smartTag w:uri="urn:schemas-microsoft-com:office:smarttags" w:element="metricconverter">
        <w:smartTagPr>
          <w:attr w:name="ProductID" w:val="4,3 mil"/>
        </w:smartTagPr>
        <w:r w:rsidRPr="008D25F3">
          <w:t>4,3 mil</w:t>
        </w:r>
      </w:smartTag>
      <w:r w:rsidRPr="008D25F3">
        <w:t xml:space="preserve">. Kč a na rekonstrukci </w:t>
      </w:r>
      <w:smartTag w:uri="urn:schemas-microsoft-com:office:smarttags" w:element="metricconverter">
        <w:smartTagPr>
          <w:attr w:name="ProductID" w:val="2,2 mil"/>
        </w:smartTagPr>
        <w:r w:rsidRPr="008D25F3">
          <w:t>2,2 mil</w:t>
        </w:r>
      </w:smartTag>
      <w:r w:rsidRPr="008D25F3">
        <w:t>. Kč.</w:t>
      </w:r>
      <w:r>
        <w:t xml:space="preserve"> Projekt byl v minulosti podpořen zvýhodněným úvěrem ČMZRB</w:t>
      </w:r>
      <w:r w:rsidR="00B14ABA">
        <w:t xml:space="preserve"> a představuje tedy možnou variantu pro podporu nemovitostí zvýhodněnými úvěry.</w:t>
      </w:r>
      <w:r>
        <w:t xml:space="preserve"> </w:t>
      </w:r>
      <w:r w:rsidR="00B14ABA">
        <w:t>V</w:t>
      </w:r>
      <w:r>
        <w:t> rámci regenerace BF v SC 2.3 je</w:t>
      </w:r>
      <w:r w:rsidR="00B14ABA">
        <w:t xml:space="preserve"> však</w:t>
      </w:r>
      <w:r>
        <w:t xml:space="preserve"> svým rozsahem a náklady minimalistický.</w:t>
      </w:r>
    </w:p>
    <w:p w:rsidR="008D25F3" w:rsidRDefault="008D25F3" w:rsidP="00C72C85"/>
    <w:tbl>
      <w:tblPr>
        <w:tblW w:w="8794" w:type="dxa"/>
        <w:tblInd w:w="55" w:type="dxa"/>
        <w:tblCellMar>
          <w:left w:w="0" w:type="dxa"/>
          <w:right w:w="0" w:type="dxa"/>
        </w:tblCellMar>
        <w:tblLook w:val="04A0" w:firstRow="1" w:lastRow="0" w:firstColumn="1" w:lastColumn="0" w:noHBand="0" w:noVBand="1"/>
      </w:tblPr>
      <w:tblGrid>
        <w:gridCol w:w="2372"/>
        <w:gridCol w:w="1546"/>
        <w:gridCol w:w="1538"/>
        <w:gridCol w:w="1708"/>
        <w:gridCol w:w="1686"/>
      </w:tblGrid>
      <w:tr w:rsidR="008D25F3" w:rsidRPr="00376532" w:rsidTr="005916EA">
        <w:trPr>
          <w:trHeight w:val="20"/>
        </w:trPr>
        <w:tc>
          <w:tcPr>
            <w:tcW w:w="2356" w:type="dxa"/>
            <w:tcBorders>
              <w:top w:val="single" w:sz="4" w:space="0" w:color="002776"/>
              <w:left w:val="single" w:sz="4" w:space="0" w:color="002776"/>
              <w:bottom w:val="nil"/>
              <w:right w:val="nil"/>
            </w:tcBorders>
            <w:shd w:val="clear" w:color="000000" w:fill="002776"/>
            <w:noWrap/>
            <w:vAlign w:val="center"/>
          </w:tcPr>
          <w:p w:rsidR="008D25F3" w:rsidRPr="003210A2" w:rsidRDefault="008D25F3" w:rsidP="005916EA">
            <w:pPr>
              <w:jc w:val="center"/>
              <w:rPr>
                <w:b/>
                <w:bCs/>
                <w:color w:val="FFFFFF"/>
                <w:sz w:val="18"/>
                <w:szCs w:val="18"/>
              </w:rPr>
            </w:pPr>
          </w:p>
        </w:tc>
        <w:tc>
          <w:tcPr>
            <w:tcW w:w="1530" w:type="dxa"/>
            <w:tcBorders>
              <w:top w:val="single" w:sz="4" w:space="0" w:color="002776"/>
              <w:left w:val="nil"/>
              <w:bottom w:val="nil"/>
              <w:right w:val="nil"/>
            </w:tcBorders>
            <w:shd w:val="clear" w:color="000000" w:fill="002776"/>
            <w:noWrap/>
            <w:vAlign w:val="bottom"/>
          </w:tcPr>
          <w:p w:rsidR="008D25F3" w:rsidRPr="003210A2" w:rsidRDefault="008D25F3" w:rsidP="005916EA">
            <w:pPr>
              <w:jc w:val="left"/>
              <w:rPr>
                <w:b/>
                <w:bCs/>
                <w:color w:val="FFFFFF"/>
                <w:sz w:val="18"/>
                <w:szCs w:val="18"/>
              </w:rPr>
            </w:pPr>
            <w:r w:rsidRPr="003210A2">
              <w:rPr>
                <w:b/>
                <w:bCs/>
                <w:color w:val="FFFFFF"/>
                <w:sz w:val="18"/>
                <w:szCs w:val="18"/>
              </w:rPr>
              <w:t> </w:t>
            </w:r>
          </w:p>
        </w:tc>
        <w:tc>
          <w:tcPr>
            <w:tcW w:w="4908" w:type="dxa"/>
            <w:gridSpan w:val="3"/>
            <w:tcBorders>
              <w:top w:val="single" w:sz="4" w:space="0" w:color="002776"/>
              <w:left w:val="nil"/>
              <w:bottom w:val="nil"/>
              <w:right w:val="single" w:sz="4" w:space="0" w:color="002776"/>
            </w:tcBorders>
            <w:shd w:val="clear" w:color="000000" w:fill="002776"/>
            <w:noWrap/>
            <w:vAlign w:val="bottom"/>
          </w:tcPr>
          <w:p w:rsidR="008D25F3" w:rsidRPr="003210A2" w:rsidRDefault="008D25F3" w:rsidP="005916EA">
            <w:pPr>
              <w:jc w:val="left"/>
              <w:rPr>
                <w:b/>
                <w:bCs/>
                <w:color w:val="FFFFFF"/>
                <w:sz w:val="18"/>
                <w:szCs w:val="18"/>
              </w:rPr>
            </w:pPr>
            <w:r w:rsidRPr="003210A2">
              <w:rPr>
                <w:b/>
                <w:bCs/>
                <w:color w:val="FFFFFF"/>
                <w:sz w:val="18"/>
                <w:szCs w:val="18"/>
              </w:rPr>
              <w:t> </w:t>
            </w:r>
          </w:p>
          <w:p w:rsidR="008D25F3" w:rsidRDefault="008D25F3" w:rsidP="005916EA">
            <w:pPr>
              <w:jc w:val="right"/>
              <w:rPr>
                <w:b/>
                <w:bCs/>
                <w:i/>
                <w:iCs/>
                <w:color w:val="FFFFFF"/>
                <w:sz w:val="18"/>
                <w:szCs w:val="18"/>
              </w:rPr>
            </w:pPr>
            <w:r w:rsidRPr="003210A2">
              <w:rPr>
                <w:b/>
                <w:bCs/>
                <w:i/>
                <w:iCs/>
                <w:color w:val="FFFFFF"/>
                <w:sz w:val="18"/>
                <w:szCs w:val="18"/>
              </w:rPr>
              <w:t>Investice</w:t>
            </w:r>
            <w:r>
              <w:rPr>
                <w:b/>
                <w:bCs/>
                <w:i/>
                <w:iCs/>
                <w:color w:val="FFFFFF"/>
                <w:sz w:val="18"/>
                <w:szCs w:val="18"/>
              </w:rPr>
              <w:t xml:space="preserve">: 8 500 000 Kč </w:t>
            </w:r>
            <w:r w:rsidRPr="003210A2">
              <w:rPr>
                <w:b/>
                <w:bCs/>
                <w:i/>
                <w:iCs/>
                <w:color w:val="FFFFFF"/>
                <w:sz w:val="18"/>
                <w:szCs w:val="18"/>
              </w:rPr>
              <w:br/>
              <w:t>Roční provozní výnos/úspora</w:t>
            </w:r>
            <w:r>
              <w:rPr>
                <w:b/>
                <w:bCs/>
                <w:i/>
                <w:iCs/>
                <w:color w:val="FFFFFF"/>
                <w:sz w:val="18"/>
                <w:szCs w:val="18"/>
              </w:rPr>
              <w:t>: 850 000 Kč</w:t>
            </w:r>
            <w:r w:rsidRPr="003210A2">
              <w:rPr>
                <w:b/>
                <w:bCs/>
                <w:i/>
                <w:iCs/>
                <w:color w:val="FFFFFF"/>
                <w:sz w:val="18"/>
                <w:szCs w:val="18"/>
              </w:rPr>
              <w:br/>
              <w:t>Komerční úvěr</w:t>
            </w:r>
            <w:r>
              <w:rPr>
                <w:b/>
                <w:bCs/>
                <w:i/>
                <w:iCs/>
                <w:color w:val="FFFFFF"/>
                <w:sz w:val="18"/>
                <w:szCs w:val="18"/>
              </w:rPr>
              <w:t>:</w:t>
            </w:r>
            <w:r w:rsidRPr="003210A2">
              <w:rPr>
                <w:b/>
                <w:bCs/>
                <w:i/>
                <w:iCs/>
                <w:color w:val="FFFFFF"/>
                <w:sz w:val="18"/>
                <w:szCs w:val="18"/>
              </w:rPr>
              <w:t xml:space="preserve"> úrok</w:t>
            </w:r>
            <w:r>
              <w:rPr>
                <w:b/>
                <w:bCs/>
                <w:i/>
                <w:iCs/>
                <w:color w:val="FFFFFF"/>
                <w:sz w:val="18"/>
                <w:szCs w:val="18"/>
              </w:rPr>
              <w:t>ová</w:t>
            </w:r>
            <w:r w:rsidRPr="003210A2">
              <w:rPr>
                <w:b/>
                <w:bCs/>
                <w:i/>
                <w:iCs/>
                <w:color w:val="FFFFFF"/>
                <w:sz w:val="18"/>
                <w:szCs w:val="18"/>
              </w:rPr>
              <w:t xml:space="preserve"> sazba:</w:t>
            </w:r>
            <w:r>
              <w:rPr>
                <w:b/>
                <w:bCs/>
                <w:i/>
                <w:iCs/>
                <w:color w:val="FFFFFF"/>
                <w:sz w:val="18"/>
                <w:szCs w:val="18"/>
              </w:rPr>
              <w:t xml:space="preserve"> 4,0 % </w:t>
            </w:r>
          </w:p>
          <w:p w:rsidR="008D25F3" w:rsidRPr="003210A2" w:rsidRDefault="008D25F3" w:rsidP="005916EA">
            <w:pPr>
              <w:jc w:val="right"/>
              <w:rPr>
                <w:b/>
                <w:bCs/>
                <w:i/>
                <w:iCs/>
                <w:color w:val="FFFFFF"/>
                <w:sz w:val="18"/>
                <w:szCs w:val="18"/>
              </w:rPr>
            </w:pPr>
            <w:r w:rsidRPr="003210A2">
              <w:rPr>
                <w:b/>
                <w:bCs/>
                <w:i/>
                <w:iCs/>
                <w:color w:val="FFFFFF"/>
                <w:sz w:val="18"/>
                <w:szCs w:val="18"/>
              </w:rPr>
              <w:t>Zvýhodněný úvěr: úrok</w:t>
            </w:r>
            <w:r>
              <w:rPr>
                <w:b/>
                <w:bCs/>
                <w:i/>
                <w:iCs/>
                <w:color w:val="FFFFFF"/>
                <w:sz w:val="18"/>
                <w:szCs w:val="18"/>
              </w:rPr>
              <w:t>ová</w:t>
            </w:r>
            <w:r w:rsidRPr="003210A2">
              <w:rPr>
                <w:b/>
                <w:bCs/>
                <w:i/>
                <w:iCs/>
                <w:color w:val="FFFFFF"/>
                <w:sz w:val="18"/>
                <w:szCs w:val="18"/>
              </w:rPr>
              <w:t xml:space="preserve"> s</w:t>
            </w:r>
            <w:r>
              <w:rPr>
                <w:b/>
                <w:bCs/>
                <w:i/>
                <w:iCs/>
                <w:color w:val="FFFFFF"/>
                <w:sz w:val="18"/>
                <w:szCs w:val="18"/>
              </w:rPr>
              <w:t>azba</w:t>
            </w:r>
            <w:r>
              <w:rPr>
                <w:rStyle w:val="Znakapoznpodarou"/>
                <w:b/>
                <w:bCs/>
                <w:i/>
                <w:iCs/>
                <w:color w:val="FFFFFF"/>
                <w:szCs w:val="18"/>
              </w:rPr>
              <w:footnoteReference w:id="31"/>
            </w:r>
            <w:r>
              <w:rPr>
                <w:b/>
                <w:bCs/>
                <w:i/>
                <w:iCs/>
                <w:color w:val="FFFFFF"/>
                <w:sz w:val="18"/>
                <w:szCs w:val="18"/>
              </w:rPr>
              <w:t xml:space="preserve">: 2,0 % </w:t>
            </w:r>
            <w:r w:rsidRPr="003210A2">
              <w:rPr>
                <w:b/>
                <w:bCs/>
                <w:i/>
                <w:iCs/>
                <w:color w:val="FFFFFF"/>
                <w:sz w:val="18"/>
                <w:szCs w:val="18"/>
              </w:rPr>
              <w:t xml:space="preserve"> </w:t>
            </w:r>
          </w:p>
        </w:tc>
      </w:tr>
      <w:tr w:rsidR="008D25F3" w:rsidRPr="00376532" w:rsidTr="008D25F3">
        <w:trPr>
          <w:trHeight w:val="20"/>
        </w:trPr>
        <w:tc>
          <w:tcPr>
            <w:tcW w:w="2356" w:type="dxa"/>
            <w:tcBorders>
              <w:top w:val="nil"/>
              <w:left w:val="single" w:sz="4" w:space="0" w:color="002776"/>
              <w:bottom w:val="single" w:sz="4" w:space="0" w:color="002776"/>
              <w:right w:val="nil"/>
            </w:tcBorders>
            <w:shd w:val="clear" w:color="000000" w:fill="002776"/>
            <w:noWrap/>
            <w:vAlign w:val="center"/>
          </w:tcPr>
          <w:p w:rsidR="008D25F3" w:rsidRPr="003210A2" w:rsidRDefault="008D25F3" w:rsidP="005916EA">
            <w:pPr>
              <w:jc w:val="left"/>
              <w:rPr>
                <w:b/>
                <w:bCs/>
                <w:color w:val="FFFFFF"/>
                <w:sz w:val="18"/>
                <w:szCs w:val="18"/>
              </w:rPr>
            </w:pPr>
            <w:r w:rsidRPr="003210A2">
              <w:rPr>
                <w:b/>
                <w:bCs/>
                <w:color w:val="FFFFFF"/>
                <w:sz w:val="18"/>
                <w:szCs w:val="18"/>
              </w:rPr>
              <w:t> </w:t>
            </w:r>
          </w:p>
        </w:tc>
        <w:tc>
          <w:tcPr>
            <w:tcW w:w="1530" w:type="dxa"/>
            <w:tcBorders>
              <w:top w:val="single" w:sz="4" w:space="0" w:color="FFFFFF"/>
              <w:left w:val="nil"/>
              <w:bottom w:val="single" w:sz="4" w:space="0" w:color="002776"/>
              <w:right w:val="nil"/>
            </w:tcBorders>
            <w:shd w:val="clear" w:color="000000" w:fill="002776"/>
            <w:noWrap/>
            <w:vAlign w:val="center"/>
          </w:tcPr>
          <w:p w:rsidR="008D25F3" w:rsidRPr="003210A2" w:rsidRDefault="008D25F3" w:rsidP="005916EA">
            <w:pPr>
              <w:jc w:val="center"/>
              <w:rPr>
                <w:b/>
                <w:bCs/>
                <w:color w:val="FFFFFF"/>
                <w:sz w:val="18"/>
                <w:szCs w:val="18"/>
              </w:rPr>
            </w:pPr>
            <w:r w:rsidRPr="003210A2">
              <w:rPr>
                <w:b/>
                <w:bCs/>
                <w:color w:val="FFFFFF"/>
                <w:sz w:val="18"/>
                <w:szCs w:val="18"/>
              </w:rPr>
              <w:t>100 % tržní úvěr</w:t>
            </w:r>
          </w:p>
        </w:tc>
        <w:tc>
          <w:tcPr>
            <w:tcW w:w="1530" w:type="dxa"/>
            <w:tcBorders>
              <w:top w:val="single" w:sz="4" w:space="0" w:color="FFFFFF"/>
              <w:left w:val="nil"/>
              <w:bottom w:val="single" w:sz="4" w:space="0" w:color="002776"/>
              <w:right w:val="nil"/>
            </w:tcBorders>
            <w:shd w:val="clear" w:color="000000" w:fill="002776"/>
            <w:vAlign w:val="center"/>
          </w:tcPr>
          <w:p w:rsidR="008D25F3" w:rsidRPr="003210A2" w:rsidRDefault="008D25F3" w:rsidP="005916EA">
            <w:pPr>
              <w:jc w:val="center"/>
              <w:rPr>
                <w:b/>
                <w:bCs/>
                <w:color w:val="FFFFFF"/>
                <w:sz w:val="18"/>
                <w:szCs w:val="18"/>
              </w:rPr>
            </w:pPr>
            <w:r w:rsidRPr="003210A2">
              <w:rPr>
                <w:b/>
                <w:bCs/>
                <w:color w:val="FFFFFF"/>
                <w:sz w:val="18"/>
                <w:szCs w:val="18"/>
              </w:rPr>
              <w:t>50 % tržní úvěr, 50 % dotace</w:t>
            </w:r>
          </w:p>
        </w:tc>
        <w:tc>
          <w:tcPr>
            <w:tcW w:w="1700" w:type="dxa"/>
            <w:tcBorders>
              <w:top w:val="single" w:sz="4" w:space="0" w:color="FFFFFF"/>
              <w:left w:val="nil"/>
              <w:bottom w:val="single" w:sz="4" w:space="0" w:color="002776"/>
              <w:right w:val="nil"/>
            </w:tcBorders>
            <w:shd w:val="clear" w:color="000000" w:fill="002776"/>
            <w:vAlign w:val="center"/>
          </w:tcPr>
          <w:p w:rsidR="008D25F3" w:rsidRPr="003210A2" w:rsidRDefault="008D25F3" w:rsidP="005916EA">
            <w:pPr>
              <w:jc w:val="center"/>
              <w:rPr>
                <w:b/>
                <w:bCs/>
                <w:color w:val="FFFFFF"/>
                <w:sz w:val="18"/>
                <w:szCs w:val="18"/>
              </w:rPr>
            </w:pPr>
            <w:r>
              <w:rPr>
                <w:b/>
                <w:bCs/>
                <w:color w:val="FFFFFF"/>
                <w:sz w:val="18"/>
                <w:szCs w:val="18"/>
              </w:rPr>
              <w:t xml:space="preserve">20 % dotace, 80 </w:t>
            </w:r>
            <w:r w:rsidRPr="003210A2">
              <w:rPr>
                <w:b/>
                <w:bCs/>
                <w:color w:val="FFFFFF"/>
                <w:sz w:val="18"/>
                <w:szCs w:val="18"/>
              </w:rPr>
              <w:t>% zvýhodněný úvěr</w:t>
            </w:r>
          </w:p>
        </w:tc>
        <w:tc>
          <w:tcPr>
            <w:tcW w:w="1678" w:type="dxa"/>
            <w:tcBorders>
              <w:top w:val="single" w:sz="4" w:space="0" w:color="FFFFFF"/>
              <w:left w:val="nil"/>
              <w:bottom w:val="single" w:sz="4" w:space="0" w:color="002776"/>
              <w:right w:val="single" w:sz="4" w:space="0" w:color="002776"/>
            </w:tcBorders>
            <w:shd w:val="clear" w:color="000000" w:fill="002776"/>
            <w:vAlign w:val="center"/>
          </w:tcPr>
          <w:p w:rsidR="008D25F3" w:rsidRPr="003210A2" w:rsidRDefault="008D25F3" w:rsidP="005916EA">
            <w:pPr>
              <w:jc w:val="center"/>
              <w:rPr>
                <w:b/>
                <w:bCs/>
                <w:color w:val="FFFFFF"/>
                <w:sz w:val="18"/>
                <w:szCs w:val="18"/>
              </w:rPr>
            </w:pPr>
            <w:r w:rsidRPr="003210A2">
              <w:rPr>
                <w:b/>
                <w:bCs/>
                <w:color w:val="FFFFFF"/>
                <w:sz w:val="18"/>
                <w:szCs w:val="18"/>
              </w:rPr>
              <w:t>100 % zvýhodněný úvěr</w:t>
            </w:r>
          </w:p>
        </w:tc>
      </w:tr>
      <w:tr w:rsidR="008D25F3" w:rsidRPr="00376532" w:rsidTr="005916EA">
        <w:trPr>
          <w:trHeight w:val="20"/>
        </w:trPr>
        <w:tc>
          <w:tcPr>
            <w:tcW w:w="2356" w:type="dxa"/>
            <w:tcBorders>
              <w:top w:val="nil"/>
              <w:left w:val="single" w:sz="4" w:space="0" w:color="002776"/>
              <w:bottom w:val="single" w:sz="4" w:space="0" w:color="002776"/>
              <w:right w:val="nil"/>
            </w:tcBorders>
            <w:shd w:val="clear" w:color="auto" w:fill="auto"/>
            <w:noWrap/>
            <w:vAlign w:val="center"/>
          </w:tcPr>
          <w:p w:rsidR="008D25F3" w:rsidRPr="003210A2" w:rsidRDefault="008D25F3" w:rsidP="005916EA">
            <w:pPr>
              <w:jc w:val="left"/>
              <w:rPr>
                <w:color w:val="000000"/>
                <w:sz w:val="18"/>
                <w:szCs w:val="18"/>
              </w:rPr>
            </w:pPr>
            <w:r w:rsidRPr="003210A2">
              <w:rPr>
                <w:color w:val="000000"/>
                <w:sz w:val="18"/>
                <w:szCs w:val="18"/>
              </w:rPr>
              <w:t>Vnitřní výnosové procento (IRR)</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7,75%</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19,43%</w:t>
            </w:r>
          </w:p>
        </w:tc>
        <w:tc>
          <w:tcPr>
            <w:tcW w:w="170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10,93%</w:t>
            </w:r>
          </w:p>
        </w:tc>
        <w:tc>
          <w:tcPr>
            <w:tcW w:w="1678" w:type="dxa"/>
            <w:tcBorders>
              <w:top w:val="nil"/>
              <w:left w:val="nil"/>
              <w:bottom w:val="single" w:sz="4" w:space="0" w:color="002776"/>
              <w:right w:val="single" w:sz="4" w:space="0" w:color="002776"/>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7,75%</w:t>
            </w:r>
          </w:p>
        </w:tc>
      </w:tr>
      <w:tr w:rsidR="008D25F3" w:rsidRPr="00376532" w:rsidTr="005916EA">
        <w:trPr>
          <w:trHeight w:val="20"/>
        </w:trPr>
        <w:tc>
          <w:tcPr>
            <w:tcW w:w="2356" w:type="dxa"/>
            <w:tcBorders>
              <w:top w:val="nil"/>
              <w:left w:val="single" w:sz="4" w:space="0" w:color="002776"/>
              <w:bottom w:val="single" w:sz="4" w:space="0" w:color="002776"/>
              <w:right w:val="nil"/>
            </w:tcBorders>
            <w:shd w:val="clear" w:color="auto" w:fill="auto"/>
            <w:noWrap/>
            <w:vAlign w:val="center"/>
          </w:tcPr>
          <w:p w:rsidR="008D25F3" w:rsidRPr="003210A2" w:rsidRDefault="008D25F3" w:rsidP="005916EA">
            <w:pPr>
              <w:jc w:val="left"/>
              <w:rPr>
                <w:color w:val="000000"/>
                <w:sz w:val="18"/>
                <w:szCs w:val="18"/>
              </w:rPr>
            </w:pPr>
            <w:r w:rsidRPr="003210A2">
              <w:rPr>
                <w:color w:val="000000"/>
                <w:sz w:val="18"/>
                <w:szCs w:val="18"/>
              </w:rPr>
              <w:t>Čistá současná hodnota (NPV v Kč)</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2 934 401</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7 020 940</w:t>
            </w:r>
          </w:p>
        </w:tc>
        <w:tc>
          <w:tcPr>
            <w:tcW w:w="170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6 959 528</w:t>
            </w:r>
          </w:p>
        </w:tc>
        <w:tc>
          <w:tcPr>
            <w:tcW w:w="1678" w:type="dxa"/>
            <w:tcBorders>
              <w:top w:val="nil"/>
              <w:left w:val="nil"/>
              <w:bottom w:val="single" w:sz="4" w:space="0" w:color="002776"/>
              <w:right w:val="single" w:sz="4" w:space="0" w:color="002776"/>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5 292 861</w:t>
            </w:r>
          </w:p>
        </w:tc>
      </w:tr>
      <w:tr w:rsidR="008D25F3" w:rsidRPr="00376532" w:rsidTr="005916EA">
        <w:trPr>
          <w:trHeight w:val="20"/>
        </w:trPr>
        <w:tc>
          <w:tcPr>
            <w:tcW w:w="2356" w:type="dxa"/>
            <w:tcBorders>
              <w:top w:val="nil"/>
              <w:left w:val="single" w:sz="4" w:space="0" w:color="002776"/>
              <w:bottom w:val="single" w:sz="4" w:space="0" w:color="002776"/>
              <w:right w:val="nil"/>
            </w:tcBorders>
            <w:shd w:val="clear" w:color="auto" w:fill="auto"/>
            <w:noWrap/>
            <w:vAlign w:val="center"/>
          </w:tcPr>
          <w:p w:rsidR="008D25F3" w:rsidRPr="003210A2" w:rsidRDefault="008D25F3" w:rsidP="005916EA">
            <w:pPr>
              <w:jc w:val="left"/>
              <w:rPr>
                <w:color w:val="000000"/>
                <w:sz w:val="18"/>
                <w:szCs w:val="18"/>
              </w:rPr>
            </w:pPr>
            <w:r w:rsidRPr="003210A2">
              <w:rPr>
                <w:color w:val="000000"/>
                <w:sz w:val="18"/>
                <w:szCs w:val="18"/>
              </w:rPr>
              <w:t>Prostá doba návratnosti (roky)</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10,00</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5,00</w:t>
            </w:r>
          </w:p>
        </w:tc>
        <w:tc>
          <w:tcPr>
            <w:tcW w:w="170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8,00</w:t>
            </w:r>
          </w:p>
        </w:tc>
        <w:tc>
          <w:tcPr>
            <w:tcW w:w="1678" w:type="dxa"/>
            <w:tcBorders>
              <w:top w:val="nil"/>
              <w:left w:val="nil"/>
              <w:bottom w:val="single" w:sz="4" w:space="0" w:color="002776"/>
              <w:right w:val="single" w:sz="4" w:space="0" w:color="002776"/>
            </w:tcBorders>
            <w:shd w:val="clear" w:color="auto" w:fill="auto"/>
            <w:noWrap/>
            <w:vAlign w:val="center"/>
          </w:tcPr>
          <w:p w:rsidR="008D25F3" w:rsidRPr="003210A2" w:rsidRDefault="008D25F3" w:rsidP="005916EA">
            <w:pPr>
              <w:jc w:val="right"/>
              <w:rPr>
                <w:color w:val="000000"/>
                <w:sz w:val="18"/>
                <w:szCs w:val="18"/>
              </w:rPr>
            </w:pPr>
            <w:r w:rsidRPr="003210A2">
              <w:rPr>
                <w:sz w:val="18"/>
                <w:szCs w:val="18"/>
              </w:rPr>
              <w:t>10,00</w:t>
            </w:r>
          </w:p>
        </w:tc>
      </w:tr>
      <w:tr w:rsidR="008D25F3" w:rsidRPr="00376532" w:rsidTr="005916EA">
        <w:trPr>
          <w:trHeight w:val="20"/>
        </w:trPr>
        <w:tc>
          <w:tcPr>
            <w:tcW w:w="2356" w:type="dxa"/>
            <w:tcBorders>
              <w:top w:val="nil"/>
              <w:left w:val="single" w:sz="4" w:space="0" w:color="002776"/>
              <w:bottom w:val="single" w:sz="4" w:space="0" w:color="002776"/>
              <w:right w:val="nil"/>
            </w:tcBorders>
            <w:shd w:val="clear" w:color="auto" w:fill="auto"/>
            <w:noWrap/>
            <w:vAlign w:val="center"/>
          </w:tcPr>
          <w:p w:rsidR="008D25F3" w:rsidRPr="003210A2" w:rsidRDefault="008D25F3" w:rsidP="005916EA">
            <w:pPr>
              <w:jc w:val="left"/>
              <w:rPr>
                <w:color w:val="000000"/>
                <w:sz w:val="18"/>
                <w:szCs w:val="18"/>
              </w:rPr>
            </w:pPr>
            <w:r w:rsidRPr="003210A2">
              <w:rPr>
                <w:color w:val="000000"/>
                <w:sz w:val="18"/>
                <w:szCs w:val="18"/>
              </w:rPr>
              <w:t>Diskontovaná doba návratnosti (roky)</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Pr>
                <w:sz w:val="18"/>
                <w:szCs w:val="18"/>
              </w:rPr>
              <w:t>14,0</w:t>
            </w:r>
          </w:p>
        </w:tc>
        <w:tc>
          <w:tcPr>
            <w:tcW w:w="153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Pr>
                <w:sz w:val="18"/>
                <w:szCs w:val="18"/>
              </w:rPr>
              <w:t>6,7</w:t>
            </w:r>
          </w:p>
        </w:tc>
        <w:tc>
          <w:tcPr>
            <w:tcW w:w="1700" w:type="dxa"/>
            <w:tcBorders>
              <w:top w:val="nil"/>
              <w:left w:val="nil"/>
              <w:bottom w:val="single" w:sz="4" w:space="0" w:color="002776"/>
              <w:right w:val="nil"/>
            </w:tcBorders>
            <w:shd w:val="clear" w:color="auto" w:fill="auto"/>
            <w:noWrap/>
            <w:vAlign w:val="center"/>
          </w:tcPr>
          <w:p w:rsidR="008D25F3" w:rsidRPr="003210A2" w:rsidRDefault="008D25F3" w:rsidP="005916EA">
            <w:pPr>
              <w:jc w:val="right"/>
              <w:rPr>
                <w:color w:val="000000"/>
                <w:sz w:val="18"/>
                <w:szCs w:val="18"/>
              </w:rPr>
            </w:pPr>
            <w:r>
              <w:rPr>
                <w:sz w:val="18"/>
                <w:szCs w:val="18"/>
              </w:rPr>
              <w:t>9,8</w:t>
            </w:r>
          </w:p>
        </w:tc>
        <w:tc>
          <w:tcPr>
            <w:tcW w:w="1678" w:type="dxa"/>
            <w:tcBorders>
              <w:top w:val="nil"/>
              <w:left w:val="nil"/>
              <w:bottom w:val="single" w:sz="4" w:space="0" w:color="002776"/>
              <w:right w:val="single" w:sz="4" w:space="0" w:color="002776"/>
            </w:tcBorders>
            <w:shd w:val="clear" w:color="auto" w:fill="auto"/>
            <w:noWrap/>
            <w:vAlign w:val="center"/>
          </w:tcPr>
          <w:p w:rsidR="008D25F3" w:rsidRPr="003210A2" w:rsidRDefault="008D25F3" w:rsidP="005916EA">
            <w:pPr>
              <w:keepNext/>
              <w:jc w:val="right"/>
              <w:rPr>
                <w:color w:val="000000"/>
                <w:sz w:val="18"/>
                <w:szCs w:val="18"/>
              </w:rPr>
            </w:pPr>
            <w:r>
              <w:rPr>
                <w:sz w:val="18"/>
                <w:szCs w:val="18"/>
              </w:rPr>
              <w:t>12,2</w:t>
            </w:r>
            <w:r w:rsidRPr="003210A2">
              <w:rPr>
                <w:sz w:val="18"/>
                <w:szCs w:val="18"/>
              </w:rPr>
              <w:t>7</w:t>
            </w:r>
          </w:p>
        </w:tc>
      </w:tr>
    </w:tbl>
    <w:p w:rsidR="008D25F3" w:rsidRDefault="008D25F3" w:rsidP="008366D3">
      <w:pPr>
        <w:pStyle w:val="Titulek"/>
        <w:jc w:val="left"/>
        <w:rPr>
          <w:highlight w:val="yellow"/>
        </w:rPr>
      </w:pPr>
      <w:r>
        <w:t xml:space="preserve">Tabulka </w:t>
      </w:r>
      <w:r w:rsidR="00F13FC5">
        <w:t>5</w:t>
      </w:r>
      <w:r w:rsidR="00F6076B">
        <w:t>4</w:t>
      </w:r>
      <w:r>
        <w:t>: Vliv podpory na ekonomiku projektu</w:t>
      </w:r>
    </w:p>
    <w:p w:rsidR="006D67F1" w:rsidRDefault="006D67F1" w:rsidP="00C72C85"/>
    <w:p w:rsidR="00180EF8" w:rsidRDefault="00180EF8" w:rsidP="00C72C85"/>
    <w:p w:rsidR="00180EF8" w:rsidRPr="008366D3" w:rsidRDefault="00B634DD" w:rsidP="002C224A">
      <w:pPr>
        <w:ind w:left="1416" w:hanging="1416"/>
        <w:rPr>
          <w:b/>
        </w:rPr>
      </w:pPr>
      <w:r w:rsidRPr="008366D3">
        <w:rPr>
          <w:b/>
        </w:rPr>
        <w:t>Typový projekt 3</w:t>
      </w:r>
    </w:p>
    <w:p w:rsidR="006D67F1" w:rsidRPr="002C224A" w:rsidRDefault="00B634DD" w:rsidP="001531B4">
      <w:r>
        <w:t xml:space="preserve">Typový </w:t>
      </w:r>
      <w:r w:rsidR="006D67F1" w:rsidRPr="002C224A">
        <w:t xml:space="preserve">projekt pro </w:t>
      </w:r>
      <w:r>
        <w:t>FN podřízených úvěrů</w:t>
      </w:r>
      <w:r w:rsidR="006D67F1" w:rsidRPr="002C224A">
        <w:t>. Jedná se o 10 hektarový pozemek zanedbané plochy BF, jehož revitalizace FN OP PIK by měla následující parametry:</w:t>
      </w:r>
    </w:p>
    <w:p w:rsidR="006D67F1" w:rsidRPr="002C224A" w:rsidRDefault="006D67F1" w:rsidP="001531B4">
      <w:pPr>
        <w:rPr>
          <w:b/>
        </w:rPr>
      </w:pPr>
      <w:r w:rsidRPr="002C224A">
        <w:rPr>
          <w:b/>
        </w:rPr>
        <w:t>Cena nákupu pozemků (</w:t>
      </w:r>
      <w:smartTag w:uri="urn:schemas-microsoft-com:office:smarttags" w:element="metricconverter">
        <w:smartTagPr>
          <w:attr w:name="ProductID" w:val="10 ha"/>
        </w:smartTagPr>
        <w:r w:rsidRPr="002C224A">
          <w:rPr>
            <w:b/>
          </w:rPr>
          <w:t>10 ha</w:t>
        </w:r>
      </w:smartTag>
      <w:r w:rsidRPr="002C224A">
        <w:rPr>
          <w:b/>
        </w:rPr>
        <w:t>):</w:t>
      </w:r>
      <w:r w:rsidRPr="002C224A">
        <w:rPr>
          <w:b/>
        </w:rPr>
        <w:tab/>
      </w:r>
      <w:r w:rsidRPr="002C224A">
        <w:rPr>
          <w:b/>
        </w:rPr>
        <w:tab/>
      </w:r>
      <w:smartTag w:uri="urn:schemas-microsoft-com:office:smarttags" w:element="metricconverter">
        <w:smartTagPr>
          <w:attr w:name="ProductID" w:val="60 mil"/>
        </w:smartTagPr>
        <w:r w:rsidRPr="002C224A">
          <w:rPr>
            <w:b/>
          </w:rPr>
          <w:t>60 mil</w:t>
        </w:r>
      </w:smartTag>
      <w:r w:rsidRPr="002C224A">
        <w:rPr>
          <w:b/>
        </w:rPr>
        <w:t>. Kč (600 Kč/m2)</w:t>
      </w:r>
    </w:p>
    <w:p w:rsidR="006D67F1" w:rsidRPr="002C224A" w:rsidRDefault="006D67F1" w:rsidP="001531B4">
      <w:pPr>
        <w:rPr>
          <w:b/>
        </w:rPr>
      </w:pPr>
      <w:r w:rsidRPr="002C224A">
        <w:rPr>
          <w:b/>
        </w:rPr>
        <w:t>Cena regenerace pozemků (</w:t>
      </w:r>
      <w:smartTag w:uri="urn:schemas-microsoft-com:office:smarttags" w:element="metricconverter">
        <w:smartTagPr>
          <w:attr w:name="ProductID" w:val="10 ha"/>
        </w:smartTagPr>
        <w:r w:rsidRPr="002C224A">
          <w:rPr>
            <w:b/>
          </w:rPr>
          <w:t>10 ha</w:t>
        </w:r>
      </w:smartTag>
      <w:r w:rsidRPr="002C224A">
        <w:rPr>
          <w:b/>
        </w:rPr>
        <w:t>):</w:t>
      </w:r>
      <w:r w:rsidRPr="002C224A">
        <w:rPr>
          <w:b/>
        </w:rPr>
        <w:tab/>
      </w:r>
      <w:smartTag w:uri="urn:schemas-microsoft-com:office:smarttags" w:element="metricconverter">
        <w:smartTagPr>
          <w:attr w:name="ProductID" w:val="50 mil"/>
        </w:smartTagPr>
        <w:r w:rsidRPr="002C224A">
          <w:rPr>
            <w:b/>
          </w:rPr>
          <w:t>50 mil</w:t>
        </w:r>
      </w:smartTag>
      <w:r w:rsidRPr="002C224A">
        <w:rPr>
          <w:b/>
        </w:rPr>
        <w:t>. Kč (500 Kč/m2)</w:t>
      </w:r>
    </w:p>
    <w:p w:rsidR="006D67F1" w:rsidRPr="002C224A" w:rsidRDefault="006D67F1" w:rsidP="001531B4">
      <w:pPr>
        <w:rPr>
          <w:b/>
        </w:rPr>
      </w:pPr>
      <w:r w:rsidRPr="002C224A">
        <w:rPr>
          <w:b/>
        </w:rPr>
        <w:t>Cena pozemků při prodeji (</w:t>
      </w:r>
      <w:smartTag w:uri="urn:schemas-microsoft-com:office:smarttags" w:element="metricconverter">
        <w:smartTagPr>
          <w:attr w:name="ProductID" w:val="10 ha"/>
        </w:smartTagPr>
        <w:r w:rsidRPr="002C224A">
          <w:rPr>
            <w:b/>
          </w:rPr>
          <w:t>10 ha</w:t>
        </w:r>
      </w:smartTag>
      <w:r w:rsidRPr="002C224A">
        <w:rPr>
          <w:b/>
        </w:rPr>
        <w:t>):</w:t>
      </w:r>
      <w:r w:rsidRPr="002C224A">
        <w:rPr>
          <w:b/>
        </w:rPr>
        <w:tab/>
      </w:r>
      <w:smartTag w:uri="urn:schemas-microsoft-com:office:smarttags" w:element="metricconverter">
        <w:smartTagPr>
          <w:attr w:name="ProductID" w:val="100 mil"/>
        </w:smartTagPr>
        <w:r w:rsidRPr="002C224A">
          <w:rPr>
            <w:b/>
          </w:rPr>
          <w:t>100 mil</w:t>
        </w:r>
      </w:smartTag>
      <w:r w:rsidRPr="002C224A">
        <w:rPr>
          <w:b/>
        </w:rPr>
        <w:t>. Kč – 110 (1000 - 1100 Kč/m2)</w:t>
      </w:r>
    </w:p>
    <w:p w:rsidR="006D67F1" w:rsidRPr="002C224A" w:rsidRDefault="006D67F1" w:rsidP="001531B4">
      <w:pPr>
        <w:rPr>
          <w:b/>
        </w:rPr>
      </w:pPr>
    </w:p>
    <w:p w:rsidR="006D67F1" w:rsidRPr="002C224A" w:rsidRDefault="006D67F1" w:rsidP="00C72C85">
      <w:r w:rsidRPr="002C224A">
        <w:t>Obchodní případy v investiční hodnotě dle typového případu lze (vzhledem k jejich velikosti) považovat za technicky relativně snadno proveditelné, přičemž manažer rozvojové společnosti může paralelně pracovat na cca. 5 projektech bez významného rizika ohrožení stanovených nákladů.</w:t>
      </w:r>
    </w:p>
    <w:p w:rsidR="006D67F1" w:rsidRPr="002C224A" w:rsidRDefault="006D67F1" w:rsidP="00C72C85"/>
    <w:p w:rsidR="006D67F1" w:rsidRPr="002C224A" w:rsidRDefault="006D67F1" w:rsidP="00283266">
      <w:pPr>
        <w:pStyle w:val="Nadpis4"/>
        <w:rPr>
          <w:rFonts w:ascii="Calibri" w:hAnsi="Calibri"/>
        </w:rPr>
      </w:pPr>
      <w:r w:rsidRPr="002C224A">
        <w:rPr>
          <w:rFonts w:ascii="Calibri" w:hAnsi="Calibri"/>
        </w:rPr>
        <w:lastRenderedPageBreak/>
        <w:t>Přidaná hodnota finančního nástroje, problémy, rizika a srovnání s jinými formami podpory</w:t>
      </w:r>
    </w:p>
    <w:p w:rsidR="006D67F1" w:rsidRPr="00A50943" w:rsidRDefault="006D67F1" w:rsidP="00DC19EB">
      <w:pPr>
        <w:rPr>
          <w:lang w:eastAsia="en-US"/>
        </w:rPr>
      </w:pPr>
    </w:p>
    <w:p w:rsidR="006D67F1" w:rsidRPr="002C224A" w:rsidRDefault="006D67F1" w:rsidP="002433DA">
      <w:r w:rsidRPr="002C224A">
        <w:t xml:space="preserve">V rámci tabulek níže je uveden přehled přidané hodnoty, problémů a rizik z pohledu konečného příjemce a ŘO a z pohledu celkového dopadu na absorpční kapacitu a dosažení cílů SC 2.3, se zohledněním dopadů na tržní prostředí. </w:t>
      </w:r>
    </w:p>
    <w:p w:rsidR="006D67F1" w:rsidRPr="002C224A" w:rsidRDefault="006D67F1">
      <w:pPr>
        <w:rPr>
          <w:b/>
          <w:lang w:eastAsia="en-US"/>
        </w:rPr>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67F1" w:rsidRPr="002C224A" w:rsidTr="00E45795">
        <w:trPr>
          <w:trHeight w:val="315"/>
        </w:trPr>
        <w:tc>
          <w:tcPr>
            <w:tcW w:w="960" w:type="dxa"/>
            <w:shd w:val="clear" w:color="auto" w:fill="365F91"/>
            <w:noWrap/>
            <w:vAlign w:val="bottom"/>
          </w:tcPr>
          <w:p w:rsidR="006D67F1" w:rsidRPr="002C224A" w:rsidRDefault="006D67F1" w:rsidP="00E45795">
            <w:pPr>
              <w:jc w:val="left"/>
              <w:rPr>
                <w:sz w:val="24"/>
                <w:szCs w:val="24"/>
              </w:rPr>
            </w:pPr>
          </w:p>
        </w:tc>
        <w:tc>
          <w:tcPr>
            <w:tcW w:w="960" w:type="dxa"/>
            <w:shd w:val="clear" w:color="auto" w:fill="365F91"/>
            <w:noWrap/>
            <w:vAlign w:val="bottom"/>
          </w:tcPr>
          <w:p w:rsidR="006D67F1" w:rsidRPr="002C224A" w:rsidRDefault="006D67F1" w:rsidP="00E45795">
            <w:pPr>
              <w:jc w:val="left"/>
              <w:rPr>
                <w:color w:val="000000"/>
                <w:sz w:val="24"/>
                <w:szCs w:val="24"/>
              </w:rPr>
            </w:pPr>
            <w:r w:rsidRPr="002C224A">
              <w:rPr>
                <w:color w:val="000000"/>
                <w:sz w:val="24"/>
                <w:szCs w:val="24"/>
              </w:rPr>
              <w:t> </w:t>
            </w:r>
          </w:p>
        </w:tc>
        <w:tc>
          <w:tcPr>
            <w:tcW w:w="4744" w:type="dxa"/>
            <w:gridSpan w:val="2"/>
            <w:shd w:val="clear" w:color="auto" w:fill="365F91"/>
            <w:noWrap/>
            <w:vAlign w:val="center"/>
          </w:tcPr>
          <w:p w:rsidR="006D67F1" w:rsidRPr="00A50943" w:rsidRDefault="006D67F1" w:rsidP="00E45795">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E45795">
            <w:pPr>
              <w:jc w:val="center"/>
              <w:rPr>
                <w:b/>
                <w:bCs/>
                <w:color w:val="FFFFFF"/>
                <w:sz w:val="24"/>
                <w:szCs w:val="24"/>
              </w:rPr>
            </w:pPr>
            <w:r w:rsidRPr="002C224A">
              <w:rPr>
                <w:b/>
                <w:bCs/>
                <w:color w:val="FFFFFF"/>
                <w:sz w:val="24"/>
                <w:szCs w:val="24"/>
              </w:rPr>
              <w:t>Dotace</w:t>
            </w:r>
          </w:p>
        </w:tc>
      </w:tr>
      <w:tr w:rsidR="006D67F1" w:rsidRPr="002C224A" w:rsidTr="00E45795">
        <w:trPr>
          <w:trHeight w:val="315"/>
        </w:trPr>
        <w:tc>
          <w:tcPr>
            <w:tcW w:w="960" w:type="dxa"/>
            <w:shd w:val="clear" w:color="auto" w:fill="365F91"/>
            <w:noWrap/>
            <w:vAlign w:val="center"/>
          </w:tcPr>
          <w:p w:rsidR="006D67F1" w:rsidRPr="002C224A" w:rsidRDefault="006D67F1" w:rsidP="00E45795">
            <w:pPr>
              <w:jc w:val="center"/>
              <w:rPr>
                <w:b/>
                <w:bCs/>
                <w:color w:val="000000"/>
                <w:sz w:val="24"/>
                <w:szCs w:val="24"/>
              </w:rPr>
            </w:pPr>
          </w:p>
        </w:tc>
        <w:tc>
          <w:tcPr>
            <w:tcW w:w="960" w:type="dxa"/>
            <w:shd w:val="clear" w:color="auto" w:fill="365F91"/>
            <w:noWrap/>
            <w:vAlign w:val="center"/>
          </w:tcPr>
          <w:p w:rsidR="006D67F1" w:rsidRPr="002C224A" w:rsidRDefault="006D67F1" w:rsidP="00E45795">
            <w:pPr>
              <w:jc w:val="left"/>
              <w:rPr>
                <w:color w:val="000000"/>
                <w:sz w:val="24"/>
                <w:szCs w:val="24"/>
              </w:rPr>
            </w:pPr>
            <w:r w:rsidRPr="002C224A">
              <w:rPr>
                <w:color w:val="000000"/>
                <w:sz w:val="24"/>
                <w:szCs w:val="24"/>
              </w:rPr>
              <w:t> </w:t>
            </w:r>
          </w:p>
        </w:tc>
        <w:tc>
          <w:tcPr>
            <w:tcW w:w="2414" w:type="dxa"/>
            <w:shd w:val="clear" w:color="auto" w:fill="365F91"/>
            <w:vAlign w:val="center"/>
          </w:tcPr>
          <w:p w:rsidR="006D67F1" w:rsidRPr="002C224A" w:rsidRDefault="006D67F1" w:rsidP="00E45795">
            <w:pPr>
              <w:jc w:val="center"/>
              <w:rPr>
                <w:b/>
                <w:bCs/>
                <w:color w:val="FFFFFF"/>
                <w:sz w:val="24"/>
                <w:szCs w:val="24"/>
              </w:rPr>
            </w:pPr>
            <w:r w:rsidRPr="002C224A">
              <w:rPr>
                <w:b/>
                <w:bCs/>
                <w:color w:val="FFFFFF"/>
                <w:sz w:val="24"/>
                <w:szCs w:val="24"/>
              </w:rPr>
              <w:t>Záruky</w:t>
            </w:r>
          </w:p>
        </w:tc>
        <w:tc>
          <w:tcPr>
            <w:tcW w:w="2330" w:type="dxa"/>
            <w:shd w:val="clear" w:color="auto" w:fill="365F91"/>
            <w:vAlign w:val="center"/>
          </w:tcPr>
          <w:p w:rsidR="006D67F1" w:rsidRPr="002C224A" w:rsidRDefault="006D67F1" w:rsidP="00E45795">
            <w:pPr>
              <w:jc w:val="center"/>
              <w:rPr>
                <w:b/>
                <w:bCs/>
                <w:color w:val="FFFFFF"/>
                <w:sz w:val="24"/>
                <w:szCs w:val="24"/>
              </w:rPr>
            </w:pPr>
            <w:r w:rsidRPr="002C224A">
              <w:rPr>
                <w:b/>
                <w:bCs/>
                <w:color w:val="FFFFFF"/>
                <w:sz w:val="24"/>
                <w:szCs w:val="24"/>
              </w:rPr>
              <w:t>Zvýhodněný úvěr</w:t>
            </w:r>
          </w:p>
        </w:tc>
        <w:tc>
          <w:tcPr>
            <w:tcW w:w="2330" w:type="dxa"/>
            <w:shd w:val="clear" w:color="auto" w:fill="365F91"/>
          </w:tcPr>
          <w:p w:rsidR="006D67F1" w:rsidRPr="002C224A" w:rsidRDefault="006D67F1" w:rsidP="00E45795">
            <w:pPr>
              <w:jc w:val="center"/>
              <w:rPr>
                <w:b/>
                <w:bCs/>
                <w:color w:val="FFFFFF"/>
                <w:sz w:val="24"/>
                <w:szCs w:val="24"/>
              </w:rPr>
            </w:pPr>
          </w:p>
        </w:tc>
      </w:tr>
      <w:tr w:rsidR="006D67F1" w:rsidRPr="002C224A" w:rsidTr="00E45795">
        <w:trPr>
          <w:trHeight w:val="720"/>
        </w:trPr>
        <w:tc>
          <w:tcPr>
            <w:tcW w:w="960" w:type="dxa"/>
            <w:vMerge w:val="restart"/>
            <w:shd w:val="clear" w:color="auto" w:fill="8DB3E2"/>
            <w:noWrap/>
            <w:textDirection w:val="btLr"/>
            <w:vAlign w:val="center"/>
          </w:tcPr>
          <w:p w:rsidR="006D67F1" w:rsidRPr="002C224A" w:rsidRDefault="003D7EB1" w:rsidP="00E45795">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vAlign w:val="center"/>
          </w:tcPr>
          <w:p w:rsidR="006D67F1" w:rsidRPr="002C224A" w:rsidRDefault="006D67F1" w:rsidP="00E45795">
            <w:pPr>
              <w:jc w:val="center"/>
              <w:rPr>
                <w:b/>
                <w:bCs/>
                <w:color w:val="FFFFFF"/>
                <w:sz w:val="24"/>
                <w:szCs w:val="24"/>
              </w:rPr>
            </w:pPr>
            <w:r w:rsidRPr="002C224A">
              <w:rPr>
                <w:b/>
                <w:bCs/>
                <w:color w:val="FFFFFF"/>
                <w:sz w:val="24"/>
                <w:szCs w:val="24"/>
              </w:rPr>
              <w:t>Konečný příjemce</w:t>
            </w: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Zpřístupnění nedosažitelného financování</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Zpřístupnění vyšší míry externího financování</w:t>
            </w:r>
          </w:p>
        </w:tc>
        <w:tc>
          <w:tcPr>
            <w:tcW w:w="2330" w:type="dxa"/>
            <w:shd w:val="clear" w:color="auto" w:fill="8DB3E2"/>
          </w:tcPr>
          <w:p w:rsidR="006D67F1" w:rsidRPr="002C224A" w:rsidRDefault="006D67F1" w:rsidP="00E45795">
            <w:pPr>
              <w:jc w:val="center"/>
              <w:rPr>
                <w:b/>
                <w:color w:val="FFFFFF"/>
                <w:sz w:val="20"/>
              </w:rPr>
            </w:pPr>
            <w:r w:rsidRPr="002C224A">
              <w:rPr>
                <w:b/>
                <w:color w:val="FFFFFF"/>
                <w:sz w:val="20"/>
              </w:rPr>
              <w:t>Nevratný příspěvek na projekt až do třetiny způsobilých nákladů</w:t>
            </w:r>
          </w:p>
        </w:tc>
      </w:tr>
      <w:tr w:rsidR="006D67F1" w:rsidRPr="002C224A" w:rsidTr="00E45795">
        <w:trPr>
          <w:trHeight w:val="480"/>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Částečné snížení úrokové sazby snížením rizikové přirážky</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Snížení úrokové sazby</w:t>
            </w:r>
          </w:p>
        </w:tc>
        <w:tc>
          <w:tcPr>
            <w:tcW w:w="2330" w:type="dxa"/>
            <w:shd w:val="clear" w:color="auto" w:fill="8DB3E2"/>
          </w:tcPr>
          <w:p w:rsidR="006D67F1" w:rsidRPr="002C224A" w:rsidRDefault="006D67F1" w:rsidP="00183F1E">
            <w:pPr>
              <w:jc w:val="center"/>
              <w:rPr>
                <w:b/>
                <w:color w:val="FFFFFF"/>
                <w:sz w:val="20"/>
              </w:rPr>
            </w:pPr>
            <w:r w:rsidRPr="002C224A">
              <w:rPr>
                <w:b/>
                <w:color w:val="FFFFFF"/>
                <w:sz w:val="20"/>
              </w:rPr>
              <w:t xml:space="preserve">Vysoce snížená doba návratnosti </w:t>
            </w:r>
          </w:p>
        </w:tc>
      </w:tr>
      <w:tr w:rsidR="006D67F1" w:rsidRPr="002C224A" w:rsidTr="00E45795">
        <w:trPr>
          <w:trHeight w:val="720"/>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Snížení nároků na zástavu podniku</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E45795">
            <w:pPr>
              <w:jc w:val="center"/>
              <w:rPr>
                <w:b/>
                <w:color w:val="FFFFFF"/>
                <w:sz w:val="20"/>
              </w:rPr>
            </w:pPr>
            <w:r w:rsidRPr="002C224A">
              <w:rPr>
                <w:b/>
                <w:color w:val="FFFFFF"/>
                <w:sz w:val="20"/>
              </w:rPr>
              <w:t>Snazší opatření úvěru na zbytek nákladů projektu</w:t>
            </w:r>
          </w:p>
        </w:tc>
      </w:tr>
      <w:tr w:rsidR="006D67F1" w:rsidRPr="002C224A" w:rsidTr="00E45795">
        <w:trPr>
          <w:trHeight w:val="478"/>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2414" w:type="dxa"/>
            <w:shd w:val="clear" w:color="auto" w:fill="8DB3E2"/>
            <w:noWrap/>
            <w:vAlign w:val="center"/>
          </w:tcPr>
          <w:p w:rsidR="006D67F1" w:rsidRPr="002C224A" w:rsidRDefault="006D67F1" w:rsidP="00E45795">
            <w:pPr>
              <w:jc w:val="center"/>
              <w:rPr>
                <w:b/>
                <w:color w:val="FFFFFF"/>
                <w:sz w:val="20"/>
              </w:rPr>
            </w:pP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Snížená doba návratnosti</w:t>
            </w:r>
          </w:p>
        </w:tc>
        <w:tc>
          <w:tcPr>
            <w:tcW w:w="2330" w:type="dxa"/>
            <w:shd w:val="clear" w:color="auto" w:fill="8DB3E2"/>
          </w:tcPr>
          <w:p w:rsidR="006D67F1" w:rsidRPr="002C224A" w:rsidRDefault="006D67F1" w:rsidP="00E45795">
            <w:pPr>
              <w:jc w:val="center"/>
              <w:rPr>
                <w:b/>
                <w:color w:val="FFFFFF"/>
                <w:sz w:val="20"/>
              </w:rPr>
            </w:pPr>
          </w:p>
        </w:tc>
      </w:tr>
      <w:tr w:rsidR="006D67F1" w:rsidRPr="002C224A" w:rsidTr="00E45795">
        <w:trPr>
          <w:trHeight w:val="680"/>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Platba v předstihu v podobě úvěru</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E45795">
            <w:pPr>
              <w:jc w:val="center"/>
              <w:rPr>
                <w:b/>
                <w:color w:val="FFFFFF"/>
                <w:sz w:val="20"/>
              </w:rPr>
            </w:pPr>
          </w:p>
        </w:tc>
      </w:tr>
      <w:tr w:rsidR="006D67F1" w:rsidRPr="002C224A" w:rsidTr="00E45795">
        <w:trPr>
          <w:trHeight w:val="690"/>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2414" w:type="dxa"/>
            <w:shd w:val="clear" w:color="auto" w:fill="8DB3E2"/>
            <w:vAlign w:val="center"/>
          </w:tcPr>
          <w:p w:rsidR="006D67F1" w:rsidRPr="002C224A" w:rsidRDefault="006D67F1" w:rsidP="00E45795">
            <w:pPr>
              <w:jc w:val="center"/>
              <w:rPr>
                <w:b/>
                <w:color w:val="FFFFFF"/>
                <w:sz w:val="20"/>
              </w:rPr>
            </w:pP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Příspěvek na přípravu projektu</w:t>
            </w:r>
          </w:p>
        </w:tc>
        <w:tc>
          <w:tcPr>
            <w:tcW w:w="2330" w:type="dxa"/>
            <w:shd w:val="clear" w:color="auto" w:fill="8DB3E2"/>
          </w:tcPr>
          <w:p w:rsidR="006D67F1" w:rsidRPr="002C224A" w:rsidRDefault="006D67F1" w:rsidP="00E45795">
            <w:pPr>
              <w:jc w:val="left"/>
              <w:rPr>
                <w:b/>
                <w:color w:val="FFFFFF"/>
                <w:sz w:val="20"/>
              </w:rPr>
            </w:pPr>
          </w:p>
        </w:tc>
      </w:tr>
      <w:tr w:rsidR="006D67F1" w:rsidRPr="002C224A" w:rsidTr="00E45795">
        <w:trPr>
          <w:trHeight w:val="690"/>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Nižší administrativní náročnost</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E45795">
            <w:pPr>
              <w:jc w:val="left"/>
              <w:rPr>
                <w:b/>
                <w:color w:val="FFFFFF"/>
                <w:sz w:val="20"/>
              </w:rPr>
            </w:pPr>
          </w:p>
        </w:tc>
      </w:tr>
      <w:tr w:rsidR="006D67F1" w:rsidRPr="002C224A" w:rsidTr="00E45795">
        <w:trPr>
          <w:trHeight w:val="735"/>
        </w:trPr>
        <w:tc>
          <w:tcPr>
            <w:tcW w:w="960" w:type="dxa"/>
            <w:vMerge/>
            <w:shd w:val="clear" w:color="auto" w:fill="8DB3E2"/>
            <w:vAlign w:val="center"/>
          </w:tcPr>
          <w:p w:rsidR="006D67F1" w:rsidRPr="002C224A" w:rsidRDefault="006D67F1" w:rsidP="00E45795">
            <w:pPr>
              <w:jc w:val="left"/>
              <w:rPr>
                <w:b/>
                <w:bCs/>
                <w:color w:val="FFFFFF"/>
                <w:sz w:val="24"/>
                <w:szCs w:val="24"/>
              </w:rPr>
            </w:pPr>
          </w:p>
        </w:tc>
        <w:tc>
          <w:tcPr>
            <w:tcW w:w="960" w:type="dxa"/>
            <w:vMerge w:val="restart"/>
            <w:shd w:val="clear" w:color="auto" w:fill="8DB3E2"/>
            <w:noWrap/>
            <w:textDirection w:val="btLr"/>
            <w:vAlign w:val="center"/>
          </w:tcPr>
          <w:p w:rsidR="006D67F1" w:rsidRPr="002C224A" w:rsidRDefault="006D67F1" w:rsidP="00E45795">
            <w:pPr>
              <w:jc w:val="center"/>
              <w:rPr>
                <w:b/>
                <w:bCs/>
                <w:color w:val="FFFFFF"/>
                <w:sz w:val="24"/>
                <w:szCs w:val="24"/>
              </w:rPr>
            </w:pPr>
            <w:r w:rsidRPr="002C224A">
              <w:rPr>
                <w:b/>
                <w:bCs/>
                <w:color w:val="FFFFFF"/>
                <w:sz w:val="24"/>
                <w:szCs w:val="24"/>
              </w:rPr>
              <w:t>ŘO</w:t>
            </w: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Vysoký pákový efekt a širší objem podpořených projektů a investic</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Vysoký revolvingový efekt a podpoření projektů v dalších cyklech</w:t>
            </w:r>
          </w:p>
        </w:tc>
        <w:tc>
          <w:tcPr>
            <w:tcW w:w="2330" w:type="dxa"/>
            <w:shd w:val="clear" w:color="auto" w:fill="8DB3E2"/>
          </w:tcPr>
          <w:p w:rsidR="006D67F1" w:rsidRPr="002C224A" w:rsidRDefault="006D67F1" w:rsidP="00E45795">
            <w:pPr>
              <w:jc w:val="center"/>
              <w:rPr>
                <w:b/>
                <w:color w:val="FFFFFF"/>
                <w:sz w:val="20"/>
              </w:rPr>
            </w:pPr>
            <w:r w:rsidRPr="002C224A">
              <w:rPr>
                <w:b/>
                <w:color w:val="FFFFFF"/>
                <w:sz w:val="20"/>
              </w:rPr>
              <w:t>Vysoká absorpční kapacita</w:t>
            </w:r>
          </w:p>
        </w:tc>
      </w:tr>
      <w:tr w:rsidR="006D67F1" w:rsidRPr="002C224A" w:rsidTr="00E45795">
        <w:trPr>
          <w:trHeight w:val="735"/>
        </w:trPr>
        <w:tc>
          <w:tcPr>
            <w:tcW w:w="960" w:type="dxa"/>
            <w:vMerge/>
            <w:shd w:val="clear" w:color="auto" w:fill="8DB3E2"/>
            <w:vAlign w:val="center"/>
          </w:tcPr>
          <w:p w:rsidR="006D67F1" w:rsidRPr="002C224A" w:rsidRDefault="006D67F1" w:rsidP="00E45795">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E45795">
            <w:pPr>
              <w:jc w:val="center"/>
              <w:rPr>
                <w:b/>
                <w:bCs/>
                <w:color w:val="FFFFFF"/>
                <w:sz w:val="18"/>
                <w:szCs w:val="18"/>
              </w:rPr>
            </w:pP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Možnost revolvingu v závislosti na rizikové strategii</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E45795">
            <w:pPr>
              <w:jc w:val="center"/>
              <w:rPr>
                <w:b/>
                <w:color w:val="FFFFFF"/>
                <w:sz w:val="20"/>
              </w:rPr>
            </w:pPr>
            <w:r w:rsidRPr="002C224A">
              <w:rPr>
                <w:b/>
                <w:color w:val="FFFFFF"/>
                <w:sz w:val="20"/>
              </w:rPr>
              <w:t>Možnost podpoření tržně nerealizovatelných BF</w:t>
            </w:r>
          </w:p>
        </w:tc>
      </w:tr>
      <w:tr w:rsidR="006D67F1" w:rsidRPr="002C224A" w:rsidTr="00E45795">
        <w:trPr>
          <w:trHeight w:val="311"/>
        </w:trPr>
        <w:tc>
          <w:tcPr>
            <w:tcW w:w="960" w:type="dxa"/>
            <w:vMerge/>
            <w:shd w:val="clear" w:color="auto" w:fill="8DB3E2"/>
            <w:vAlign w:val="center"/>
          </w:tcPr>
          <w:p w:rsidR="006D67F1" w:rsidRPr="002C224A" w:rsidRDefault="006D67F1" w:rsidP="00E45795">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E45795">
            <w:pPr>
              <w:jc w:val="center"/>
              <w:rPr>
                <w:b/>
                <w:bCs/>
                <w:color w:val="FFFFFF"/>
                <w:sz w:val="18"/>
                <w:szCs w:val="18"/>
              </w:rPr>
            </w:pPr>
          </w:p>
        </w:tc>
        <w:tc>
          <w:tcPr>
            <w:tcW w:w="2414" w:type="dxa"/>
            <w:shd w:val="clear" w:color="auto" w:fill="8DB3E2"/>
            <w:vAlign w:val="center"/>
          </w:tcPr>
          <w:p w:rsidR="006D67F1" w:rsidRPr="002C224A" w:rsidRDefault="006D67F1" w:rsidP="00E45795">
            <w:pPr>
              <w:jc w:val="center"/>
              <w:rPr>
                <w:b/>
                <w:color w:val="FFFFFF"/>
                <w:sz w:val="20"/>
              </w:rPr>
            </w:pPr>
            <w:r w:rsidRPr="002C224A">
              <w:rPr>
                <w:b/>
                <w:color w:val="FFFFFF"/>
                <w:sz w:val="20"/>
              </w:rPr>
              <w:t>Rychlé čerpání</w:t>
            </w:r>
          </w:p>
        </w:tc>
        <w:tc>
          <w:tcPr>
            <w:tcW w:w="2330" w:type="dxa"/>
            <w:shd w:val="clear" w:color="auto" w:fill="8DB3E2"/>
            <w:vAlign w:val="center"/>
          </w:tcPr>
          <w:p w:rsidR="006D67F1" w:rsidRPr="002C224A" w:rsidRDefault="006D67F1" w:rsidP="00E45795">
            <w:pPr>
              <w:jc w:val="center"/>
              <w:rPr>
                <w:b/>
                <w:color w:val="FFFFFF"/>
                <w:sz w:val="20"/>
              </w:rPr>
            </w:pPr>
            <w:r w:rsidRPr="002C224A">
              <w:rPr>
                <w:b/>
                <w:color w:val="FFFFFF"/>
                <w:sz w:val="20"/>
              </w:rPr>
              <w:t>Rychlé čerpání</w:t>
            </w:r>
          </w:p>
        </w:tc>
        <w:tc>
          <w:tcPr>
            <w:tcW w:w="2330" w:type="dxa"/>
            <w:shd w:val="clear" w:color="auto" w:fill="8DB3E2"/>
          </w:tcPr>
          <w:p w:rsidR="006D67F1" w:rsidRPr="002C224A" w:rsidRDefault="006D67F1" w:rsidP="00E45795">
            <w:pPr>
              <w:jc w:val="center"/>
              <w:rPr>
                <w:b/>
                <w:color w:val="FFFFFF"/>
                <w:sz w:val="20"/>
              </w:rPr>
            </w:pPr>
          </w:p>
        </w:tc>
      </w:tr>
      <w:tr w:rsidR="006D67F1" w:rsidRPr="002C224A" w:rsidTr="00E45795">
        <w:trPr>
          <w:trHeight w:val="735"/>
        </w:trPr>
        <w:tc>
          <w:tcPr>
            <w:tcW w:w="960" w:type="dxa"/>
            <w:vMerge w:val="restart"/>
            <w:shd w:val="clear" w:color="auto" w:fill="FF0000"/>
            <w:textDirection w:val="btLr"/>
            <w:vAlign w:val="center"/>
          </w:tcPr>
          <w:p w:rsidR="006D67F1" w:rsidRPr="002C224A" w:rsidRDefault="006D67F1" w:rsidP="00FB3D68">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vAlign w:val="center"/>
          </w:tcPr>
          <w:p w:rsidR="006D67F1" w:rsidRPr="002C224A" w:rsidRDefault="006D67F1" w:rsidP="00FB3D68">
            <w:pPr>
              <w:jc w:val="center"/>
              <w:rPr>
                <w:b/>
                <w:bCs/>
                <w:color w:val="FFFFFF"/>
                <w:sz w:val="24"/>
                <w:szCs w:val="24"/>
              </w:rPr>
            </w:pPr>
            <w:r w:rsidRPr="002C224A">
              <w:rPr>
                <w:b/>
                <w:bCs/>
                <w:color w:val="FFFFFF"/>
                <w:sz w:val="24"/>
                <w:szCs w:val="24"/>
              </w:rPr>
              <w:t>Konečný příjemce</w:t>
            </w:r>
          </w:p>
        </w:tc>
        <w:tc>
          <w:tcPr>
            <w:tcW w:w="2414" w:type="dxa"/>
            <w:shd w:val="clear" w:color="auto" w:fill="FF0000"/>
            <w:vAlign w:val="center"/>
          </w:tcPr>
          <w:p w:rsidR="006D67F1" w:rsidRPr="002C224A" w:rsidRDefault="006D67F1" w:rsidP="00FB3D68">
            <w:pPr>
              <w:jc w:val="center"/>
              <w:rPr>
                <w:b/>
                <w:color w:val="FFFFFF"/>
                <w:sz w:val="20"/>
              </w:rPr>
            </w:pPr>
            <w:r w:rsidRPr="002C224A">
              <w:rPr>
                <w:b/>
                <w:color w:val="FFFFFF"/>
                <w:sz w:val="20"/>
              </w:rPr>
              <w:t>Minimální vliv na návratnost projektu</w:t>
            </w:r>
          </w:p>
        </w:tc>
        <w:tc>
          <w:tcPr>
            <w:tcW w:w="2330" w:type="dxa"/>
            <w:shd w:val="clear" w:color="auto" w:fill="FF0000"/>
            <w:vAlign w:val="center"/>
          </w:tcPr>
          <w:p w:rsidR="006D67F1" w:rsidRPr="002C224A" w:rsidRDefault="006D67F1" w:rsidP="00C767FC">
            <w:pPr>
              <w:jc w:val="center"/>
              <w:rPr>
                <w:b/>
                <w:color w:val="FFFFFF"/>
                <w:sz w:val="20"/>
              </w:rPr>
            </w:pPr>
            <w:r w:rsidRPr="002C224A">
              <w:rPr>
                <w:b/>
                <w:color w:val="FFFFFF"/>
                <w:sz w:val="20"/>
              </w:rPr>
              <w:t>Výrazně nižší vliv na návratnost projektu v porovnání s dotací</w:t>
            </w: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Vysoká administrativní náročnost</w:t>
            </w:r>
          </w:p>
        </w:tc>
      </w:tr>
      <w:tr w:rsidR="006D67F1" w:rsidRPr="002C224A" w:rsidTr="00E45795">
        <w:trPr>
          <w:trHeight w:val="735"/>
        </w:trPr>
        <w:tc>
          <w:tcPr>
            <w:tcW w:w="960" w:type="dxa"/>
            <w:vMerge/>
            <w:shd w:val="clear" w:color="auto" w:fill="FF0000"/>
            <w:vAlign w:val="center"/>
          </w:tcPr>
          <w:p w:rsidR="006D67F1" w:rsidRPr="002C224A"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FB3D68">
            <w:pPr>
              <w:jc w:val="center"/>
              <w:rPr>
                <w:b/>
                <w:bCs/>
                <w:color w:val="000000"/>
                <w:sz w:val="24"/>
                <w:szCs w:val="24"/>
              </w:rPr>
            </w:pPr>
          </w:p>
        </w:tc>
        <w:tc>
          <w:tcPr>
            <w:tcW w:w="2414"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Regulovaná výběrová řízení na dodavatele – vyšší náklady</w:t>
            </w:r>
          </w:p>
        </w:tc>
      </w:tr>
      <w:tr w:rsidR="006D67F1" w:rsidRPr="002C224A" w:rsidTr="00E45795">
        <w:trPr>
          <w:trHeight w:val="456"/>
        </w:trPr>
        <w:tc>
          <w:tcPr>
            <w:tcW w:w="960" w:type="dxa"/>
            <w:vMerge/>
            <w:shd w:val="clear" w:color="auto" w:fill="FF0000"/>
            <w:vAlign w:val="center"/>
          </w:tcPr>
          <w:p w:rsidR="006D67F1" w:rsidRPr="002C224A"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FB3D68">
            <w:pPr>
              <w:jc w:val="center"/>
              <w:rPr>
                <w:b/>
                <w:bCs/>
                <w:color w:val="000000"/>
                <w:sz w:val="24"/>
                <w:szCs w:val="24"/>
              </w:rPr>
            </w:pPr>
          </w:p>
        </w:tc>
        <w:tc>
          <w:tcPr>
            <w:tcW w:w="2414"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Nutnost předfinancování –  platba ex post  po dokončení realizace projektu nebo etapy</w:t>
            </w:r>
          </w:p>
        </w:tc>
      </w:tr>
      <w:tr w:rsidR="006D67F1" w:rsidRPr="002C224A" w:rsidTr="00E45795">
        <w:trPr>
          <w:trHeight w:val="735"/>
        </w:trPr>
        <w:tc>
          <w:tcPr>
            <w:tcW w:w="960" w:type="dxa"/>
            <w:vMerge/>
            <w:shd w:val="clear" w:color="auto" w:fill="FF0000"/>
            <w:vAlign w:val="center"/>
          </w:tcPr>
          <w:p w:rsidR="006D67F1" w:rsidRPr="002C224A"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FB3D68">
            <w:pPr>
              <w:jc w:val="center"/>
              <w:rPr>
                <w:b/>
                <w:bCs/>
                <w:color w:val="000000"/>
                <w:sz w:val="24"/>
                <w:szCs w:val="24"/>
              </w:rPr>
            </w:pPr>
          </w:p>
        </w:tc>
        <w:tc>
          <w:tcPr>
            <w:tcW w:w="2414"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Riziko dodatečného odebrání dotace z důvodu chyb v projektu a nesplnění podmínek</w:t>
            </w:r>
          </w:p>
        </w:tc>
      </w:tr>
      <w:tr w:rsidR="006D67F1" w:rsidRPr="002C224A" w:rsidTr="00E45795">
        <w:trPr>
          <w:trHeight w:val="735"/>
        </w:trPr>
        <w:tc>
          <w:tcPr>
            <w:tcW w:w="960" w:type="dxa"/>
            <w:vMerge/>
            <w:shd w:val="clear" w:color="auto" w:fill="FF0000"/>
            <w:vAlign w:val="center"/>
          </w:tcPr>
          <w:p w:rsidR="006D67F1" w:rsidRPr="002C224A" w:rsidRDefault="006D67F1" w:rsidP="00FB3D68">
            <w:pPr>
              <w:jc w:val="left"/>
              <w:rPr>
                <w:b/>
                <w:bCs/>
                <w:color w:val="000000"/>
                <w:sz w:val="24"/>
                <w:szCs w:val="24"/>
              </w:rPr>
            </w:pPr>
          </w:p>
        </w:tc>
        <w:tc>
          <w:tcPr>
            <w:tcW w:w="960" w:type="dxa"/>
            <w:vMerge w:val="restart"/>
            <w:shd w:val="clear" w:color="auto" w:fill="FF0000"/>
            <w:noWrap/>
            <w:textDirection w:val="btLr"/>
            <w:vAlign w:val="center"/>
          </w:tcPr>
          <w:p w:rsidR="006D67F1" w:rsidRPr="002C224A" w:rsidRDefault="006D67F1" w:rsidP="00FB3D68">
            <w:pPr>
              <w:jc w:val="center"/>
              <w:rPr>
                <w:b/>
                <w:bCs/>
                <w:color w:val="FFFFFF"/>
                <w:sz w:val="24"/>
                <w:szCs w:val="24"/>
              </w:rPr>
            </w:pPr>
            <w:r w:rsidRPr="002C224A">
              <w:rPr>
                <w:b/>
                <w:bCs/>
                <w:color w:val="FFFFFF"/>
                <w:sz w:val="24"/>
                <w:szCs w:val="24"/>
              </w:rPr>
              <w:t>ŘO</w:t>
            </w:r>
          </w:p>
        </w:tc>
        <w:tc>
          <w:tcPr>
            <w:tcW w:w="2414" w:type="dxa"/>
            <w:shd w:val="clear" w:color="auto" w:fill="FF0000"/>
            <w:vAlign w:val="center"/>
          </w:tcPr>
          <w:p w:rsidR="006D67F1" w:rsidRPr="002C224A" w:rsidRDefault="006D67F1" w:rsidP="00FB3D68">
            <w:pPr>
              <w:jc w:val="center"/>
              <w:rPr>
                <w:b/>
                <w:color w:val="FFFFFF"/>
                <w:sz w:val="20"/>
              </w:rPr>
            </w:pPr>
            <w:r w:rsidRPr="002C224A">
              <w:rPr>
                <w:b/>
                <w:color w:val="FFFFFF"/>
                <w:sz w:val="20"/>
              </w:rPr>
              <w:t>Podporuje jen tržně proveditelné subjekty</w:t>
            </w:r>
          </w:p>
        </w:tc>
        <w:tc>
          <w:tcPr>
            <w:tcW w:w="2330" w:type="dxa"/>
            <w:shd w:val="clear" w:color="auto" w:fill="FF0000"/>
            <w:vAlign w:val="center"/>
          </w:tcPr>
          <w:p w:rsidR="006D67F1" w:rsidRPr="002C224A" w:rsidRDefault="006D67F1" w:rsidP="00FB3D68">
            <w:pPr>
              <w:jc w:val="center"/>
              <w:rPr>
                <w:b/>
                <w:color w:val="FFFFFF"/>
                <w:sz w:val="20"/>
              </w:rPr>
            </w:pPr>
            <w:r w:rsidRPr="002C224A">
              <w:rPr>
                <w:b/>
                <w:color w:val="FFFFFF"/>
                <w:sz w:val="20"/>
              </w:rPr>
              <w:t>Omezená absorpční kapacita pro tržně problematické projekty</w:t>
            </w: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Nenávratné výdaje</w:t>
            </w:r>
          </w:p>
        </w:tc>
      </w:tr>
      <w:tr w:rsidR="006D67F1" w:rsidRPr="002C224A" w:rsidTr="00E45795">
        <w:trPr>
          <w:trHeight w:val="735"/>
        </w:trPr>
        <w:tc>
          <w:tcPr>
            <w:tcW w:w="960" w:type="dxa"/>
            <w:vMerge/>
            <w:shd w:val="clear" w:color="auto" w:fill="FF0000"/>
            <w:vAlign w:val="center"/>
          </w:tcPr>
          <w:p w:rsidR="006D67F1" w:rsidRPr="002C224A"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FB3D68">
            <w:pPr>
              <w:jc w:val="center"/>
              <w:rPr>
                <w:b/>
                <w:bCs/>
                <w:color w:val="FFFFFF"/>
                <w:sz w:val="24"/>
                <w:szCs w:val="24"/>
              </w:rPr>
            </w:pPr>
          </w:p>
        </w:tc>
        <w:tc>
          <w:tcPr>
            <w:tcW w:w="2414" w:type="dxa"/>
            <w:shd w:val="clear" w:color="auto" w:fill="FF0000"/>
            <w:vAlign w:val="center"/>
          </w:tcPr>
          <w:p w:rsidR="006D67F1" w:rsidRPr="002C224A" w:rsidRDefault="006D67F1" w:rsidP="00FB3D68">
            <w:pPr>
              <w:jc w:val="center"/>
              <w:rPr>
                <w:b/>
                <w:color w:val="FFFFFF"/>
                <w:sz w:val="20"/>
              </w:rPr>
            </w:pPr>
            <w:r w:rsidRPr="002C224A">
              <w:rPr>
                <w:b/>
                <w:color w:val="FFFFFF"/>
                <w:sz w:val="20"/>
              </w:rPr>
              <w:t>Velmi nízký revolvingový efekt</w:t>
            </w:r>
          </w:p>
        </w:tc>
        <w:tc>
          <w:tcPr>
            <w:tcW w:w="2330" w:type="dxa"/>
            <w:shd w:val="clear" w:color="auto" w:fill="FF0000"/>
            <w:vAlign w:val="center"/>
          </w:tcPr>
          <w:p w:rsidR="006D67F1" w:rsidRPr="002C224A" w:rsidRDefault="006D67F1" w:rsidP="00FB3D68">
            <w:pPr>
              <w:jc w:val="center"/>
              <w:rPr>
                <w:b/>
                <w:color w:val="FFFFFF"/>
                <w:sz w:val="20"/>
              </w:rPr>
            </w:pPr>
            <w:r w:rsidRPr="002C224A">
              <w:rPr>
                <w:b/>
                <w:color w:val="FFFFFF"/>
                <w:sz w:val="20"/>
              </w:rPr>
              <w:t>Nižší pákový efekt než záruky</w:t>
            </w: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Nižší počet podpořených projektů</w:t>
            </w:r>
          </w:p>
        </w:tc>
      </w:tr>
      <w:tr w:rsidR="006D67F1" w:rsidRPr="002C224A" w:rsidTr="00E45795">
        <w:trPr>
          <w:trHeight w:val="566"/>
        </w:trPr>
        <w:tc>
          <w:tcPr>
            <w:tcW w:w="960" w:type="dxa"/>
            <w:vMerge/>
            <w:shd w:val="clear" w:color="auto" w:fill="FF0000"/>
            <w:vAlign w:val="center"/>
          </w:tcPr>
          <w:p w:rsidR="006D67F1" w:rsidRPr="002C224A" w:rsidRDefault="006D67F1" w:rsidP="00FB3D68">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FB3D68">
            <w:pPr>
              <w:jc w:val="center"/>
              <w:rPr>
                <w:b/>
                <w:bCs/>
                <w:color w:val="000000"/>
                <w:sz w:val="18"/>
                <w:szCs w:val="18"/>
              </w:rPr>
            </w:pPr>
          </w:p>
        </w:tc>
        <w:tc>
          <w:tcPr>
            <w:tcW w:w="2414" w:type="dxa"/>
            <w:shd w:val="clear" w:color="auto" w:fill="FF0000"/>
            <w:vAlign w:val="center"/>
          </w:tcPr>
          <w:p w:rsidR="006D67F1" w:rsidRPr="002C224A" w:rsidRDefault="006D67F1" w:rsidP="00FB3D68">
            <w:pPr>
              <w:jc w:val="center"/>
              <w:rPr>
                <w:b/>
                <w:color w:val="FFFFFF"/>
                <w:sz w:val="20"/>
              </w:rPr>
            </w:pPr>
            <w:r w:rsidRPr="002C224A">
              <w:rPr>
                <w:b/>
                <w:color w:val="FFFFFF"/>
                <w:sz w:val="20"/>
              </w:rPr>
              <w:t>Hrazení poplatků příjemci</w:t>
            </w:r>
          </w:p>
        </w:tc>
        <w:tc>
          <w:tcPr>
            <w:tcW w:w="2330" w:type="dxa"/>
            <w:shd w:val="clear" w:color="auto" w:fill="FF0000"/>
            <w:vAlign w:val="center"/>
          </w:tcPr>
          <w:p w:rsidR="006D67F1" w:rsidRPr="002C224A" w:rsidRDefault="006D67F1" w:rsidP="00FB3D68">
            <w:pPr>
              <w:jc w:val="center"/>
              <w:rPr>
                <w:b/>
                <w:color w:val="FFFFFF"/>
                <w:sz w:val="20"/>
              </w:rPr>
            </w:pPr>
            <w:r w:rsidRPr="002C224A">
              <w:rPr>
                <w:b/>
                <w:color w:val="FFFFFF"/>
                <w:sz w:val="20"/>
              </w:rPr>
              <w:t>Revolving omezují poplatky zprostředkovatelskému subjektu</w:t>
            </w:r>
          </w:p>
        </w:tc>
        <w:tc>
          <w:tcPr>
            <w:tcW w:w="2330" w:type="dxa"/>
            <w:shd w:val="clear" w:color="auto" w:fill="FF0000"/>
          </w:tcPr>
          <w:p w:rsidR="006D67F1" w:rsidRPr="002C224A" w:rsidRDefault="006D67F1" w:rsidP="00FB3D68">
            <w:pPr>
              <w:jc w:val="center"/>
              <w:rPr>
                <w:b/>
                <w:color w:val="FFFFFF"/>
                <w:sz w:val="20"/>
              </w:rPr>
            </w:pPr>
            <w:r w:rsidRPr="002C224A">
              <w:rPr>
                <w:b/>
                <w:color w:val="FFFFFF"/>
                <w:sz w:val="20"/>
              </w:rPr>
              <w:t>Pomalejší čerpání</w:t>
            </w:r>
          </w:p>
        </w:tc>
      </w:tr>
      <w:tr w:rsidR="006D67F1" w:rsidRPr="002C224A" w:rsidTr="00E45795">
        <w:trPr>
          <w:trHeight w:val="264"/>
        </w:trPr>
        <w:tc>
          <w:tcPr>
            <w:tcW w:w="960" w:type="dxa"/>
            <w:vMerge/>
            <w:shd w:val="clear" w:color="auto" w:fill="FF0000"/>
            <w:vAlign w:val="center"/>
          </w:tcPr>
          <w:p w:rsidR="006D67F1" w:rsidRPr="002C224A" w:rsidRDefault="006D67F1" w:rsidP="00FB3D68">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FB3D68">
            <w:pPr>
              <w:jc w:val="center"/>
              <w:rPr>
                <w:b/>
                <w:bCs/>
                <w:color w:val="000000"/>
                <w:sz w:val="18"/>
                <w:szCs w:val="18"/>
              </w:rPr>
            </w:pPr>
          </w:p>
        </w:tc>
        <w:tc>
          <w:tcPr>
            <w:tcW w:w="2414" w:type="dxa"/>
            <w:shd w:val="clear" w:color="auto" w:fill="FF0000"/>
            <w:vAlign w:val="center"/>
          </w:tcPr>
          <w:p w:rsidR="006D67F1" w:rsidRPr="002C224A" w:rsidRDefault="006D67F1" w:rsidP="00FB3D68">
            <w:pPr>
              <w:jc w:val="center"/>
              <w:rPr>
                <w:b/>
                <w:color w:val="FFFFFF"/>
                <w:sz w:val="20"/>
              </w:rPr>
            </w:pPr>
          </w:p>
        </w:tc>
        <w:tc>
          <w:tcPr>
            <w:tcW w:w="2330" w:type="dxa"/>
            <w:shd w:val="clear" w:color="auto" w:fill="FF0000"/>
            <w:vAlign w:val="center"/>
          </w:tcPr>
          <w:p w:rsidR="006D67F1" w:rsidRPr="002C224A" w:rsidRDefault="006D67F1" w:rsidP="00FB3D68">
            <w:pPr>
              <w:jc w:val="center"/>
              <w:rPr>
                <w:b/>
                <w:color w:val="FFFFFF"/>
                <w:sz w:val="20"/>
              </w:rPr>
            </w:pPr>
            <w:r w:rsidRPr="002C224A">
              <w:rPr>
                <w:b/>
                <w:color w:val="FFFFFF"/>
                <w:sz w:val="20"/>
              </w:rPr>
              <w:t>Hrazení poplatků příjemci</w:t>
            </w:r>
          </w:p>
        </w:tc>
        <w:tc>
          <w:tcPr>
            <w:tcW w:w="2330" w:type="dxa"/>
            <w:shd w:val="clear" w:color="auto" w:fill="FF0000"/>
          </w:tcPr>
          <w:p w:rsidR="006D67F1" w:rsidRPr="002C224A" w:rsidRDefault="006D67F1" w:rsidP="00FB3D68">
            <w:pPr>
              <w:keepNext/>
              <w:jc w:val="center"/>
              <w:rPr>
                <w:b/>
                <w:color w:val="FFFFFF"/>
                <w:sz w:val="20"/>
              </w:rPr>
            </w:pPr>
          </w:p>
        </w:tc>
      </w:tr>
    </w:tbl>
    <w:p w:rsidR="006D67F1" w:rsidRPr="002C224A" w:rsidRDefault="006D67F1" w:rsidP="00BE1884">
      <w:pPr>
        <w:pStyle w:val="Titulek"/>
      </w:pPr>
      <w:r w:rsidRPr="002C224A">
        <w:t>Tabulka</w:t>
      </w:r>
      <w:r w:rsidR="00295248" w:rsidRPr="002C224A">
        <w:t xml:space="preserve"> </w:t>
      </w:r>
      <w:r w:rsidR="00582262" w:rsidRPr="002C224A">
        <w:t>5</w:t>
      </w:r>
      <w:r w:rsidR="00F6076B">
        <w:t>5</w:t>
      </w:r>
      <w:r w:rsidRPr="002C224A">
        <w:t>: Přidaná hodnota, Nevýhody, problémy a rizika veřejné podpory pro příjemce a ŘO</w:t>
      </w:r>
    </w:p>
    <w:p w:rsidR="006D67F1" w:rsidRPr="00A50943" w:rsidRDefault="006D67F1" w:rsidP="00BE1884"/>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67F1" w:rsidRPr="002C224A" w:rsidTr="002433DA">
        <w:tc>
          <w:tcPr>
            <w:tcW w:w="1729" w:type="dxa"/>
            <w:shd w:val="clear" w:color="auto" w:fill="4F81BD"/>
          </w:tcPr>
          <w:p w:rsidR="006D67F1" w:rsidRPr="002C224A" w:rsidRDefault="006D67F1" w:rsidP="00B03681">
            <w:pPr>
              <w:pStyle w:val="Highlight2"/>
              <w:jc w:val="center"/>
              <w:rPr>
                <w:rFonts w:ascii="Calibri" w:hAnsi="Calibri" w:cs="Calibri"/>
                <w:color w:val="FFFFFF"/>
                <w:sz w:val="22"/>
                <w:szCs w:val="22"/>
              </w:rPr>
            </w:pPr>
            <w:r w:rsidRPr="002C224A">
              <w:rPr>
                <w:rFonts w:ascii="Calibri" w:hAnsi="Calibri" w:cs="Calibri"/>
                <w:color w:val="FFFFFF"/>
                <w:sz w:val="22"/>
                <w:szCs w:val="22"/>
                <w:lang w:eastAsia="cs-CZ"/>
              </w:rPr>
              <w:lastRenderedPageBreak/>
              <w:t>Tržní selhání</w:t>
            </w:r>
          </w:p>
        </w:tc>
        <w:tc>
          <w:tcPr>
            <w:tcW w:w="2694" w:type="dxa"/>
            <w:shd w:val="clear" w:color="auto" w:fill="4F81BD"/>
          </w:tcPr>
          <w:p w:rsidR="006D67F1" w:rsidRPr="002C224A" w:rsidRDefault="006D67F1" w:rsidP="00B03681">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Záruční nástroj</w:t>
            </w:r>
          </w:p>
        </w:tc>
        <w:tc>
          <w:tcPr>
            <w:tcW w:w="2268" w:type="dxa"/>
            <w:shd w:val="clear" w:color="auto" w:fill="4F81BD"/>
          </w:tcPr>
          <w:p w:rsidR="006D67F1" w:rsidRPr="002C224A" w:rsidRDefault="006D67F1" w:rsidP="00B03681">
            <w:pPr>
              <w:pStyle w:val="Highlight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268" w:type="dxa"/>
            <w:shd w:val="clear" w:color="auto" w:fill="4F81BD"/>
          </w:tcPr>
          <w:p w:rsidR="006D67F1" w:rsidRPr="002C224A" w:rsidRDefault="006D67F1" w:rsidP="00B03681">
            <w:pPr>
              <w:pStyle w:val="Highlight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2433DA">
        <w:trPr>
          <w:trHeight w:val="793"/>
        </w:trPr>
        <w:tc>
          <w:tcPr>
            <w:tcW w:w="1729" w:type="dxa"/>
          </w:tcPr>
          <w:p w:rsidR="006D67F1" w:rsidRPr="002C224A" w:rsidRDefault="006D67F1" w:rsidP="00B03681">
            <w:pPr>
              <w:pStyle w:val="Highlight2"/>
              <w:jc w:val="left"/>
              <w:rPr>
                <w:rFonts w:ascii="Calibri" w:hAnsi="Calibri" w:cs="Calibri"/>
              </w:rPr>
            </w:pPr>
            <w:r w:rsidRPr="002C224A">
              <w:rPr>
                <w:rFonts w:ascii="Calibri" w:hAnsi="Calibri" w:cs="Calibri"/>
                <w:color w:val="auto"/>
                <w:szCs w:val="20"/>
              </w:rPr>
              <w:t>Náklady projektu a návratnost</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auto"/>
                <w:szCs w:val="20"/>
              </w:rPr>
              <w:t>Nemá velký vliv na snížení nákladů projektu a jeho návratnost</w:t>
            </w:r>
          </w:p>
        </w:tc>
        <w:tc>
          <w:tcPr>
            <w:tcW w:w="2268" w:type="dxa"/>
          </w:tcPr>
          <w:p w:rsidR="006D67F1" w:rsidRPr="002C224A" w:rsidRDefault="006D67F1" w:rsidP="002F7B85">
            <w:pPr>
              <w:pStyle w:val="Highlight2"/>
              <w:jc w:val="center"/>
              <w:rPr>
                <w:rFonts w:ascii="Calibri" w:hAnsi="Calibri" w:cs="Calibri"/>
                <w:b w:val="0"/>
              </w:rPr>
            </w:pPr>
            <w:r w:rsidRPr="002C224A">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6D67F1" w:rsidRPr="002C224A" w:rsidRDefault="006D67F1" w:rsidP="002433DA">
            <w:pPr>
              <w:pStyle w:val="Highlight2"/>
              <w:jc w:val="center"/>
              <w:rPr>
                <w:rFonts w:ascii="Calibri" w:hAnsi="Calibri" w:cs="Calibri"/>
                <w:b w:val="0"/>
                <w:color w:val="000000"/>
                <w:lang w:eastAsia="cs-CZ"/>
              </w:rPr>
            </w:pPr>
            <w:r w:rsidRPr="002C224A">
              <w:rPr>
                <w:rFonts w:ascii="Calibri" w:hAnsi="Calibri" w:cs="Calibri"/>
                <w:b w:val="0"/>
                <w:color w:val="auto"/>
                <w:szCs w:val="20"/>
              </w:rPr>
              <w:t>Výrazně snižuje náklady pro žadatele a tedy i návratnost projektu.</w:t>
            </w:r>
          </w:p>
        </w:tc>
      </w:tr>
      <w:tr w:rsidR="006D67F1" w:rsidRPr="002C224A" w:rsidTr="002433DA">
        <w:trPr>
          <w:trHeight w:val="1521"/>
        </w:trPr>
        <w:tc>
          <w:tcPr>
            <w:tcW w:w="1729" w:type="dxa"/>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t>Riziko projektu</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Z pohledu úvěrování </w:t>
            </w:r>
            <w:r w:rsidR="003D7EB1">
              <w:rPr>
                <w:rFonts w:ascii="Calibri" w:hAnsi="Calibri" w:cs="Calibri"/>
                <w:b w:val="0"/>
                <w:color w:val="000000"/>
                <w:lang w:eastAsia="cs-CZ"/>
              </w:rPr>
              <w:t>Rozděluje riziko mezi konečného příjemce, banku a FN.</w:t>
            </w:r>
            <w:r w:rsidRPr="002C224A">
              <w:rPr>
                <w:rFonts w:ascii="Calibri" w:hAnsi="Calibri" w:cs="Calibri"/>
                <w:b w:val="0"/>
                <w:color w:val="000000"/>
                <w:lang w:eastAsia="cs-CZ"/>
              </w:rPr>
              <w:t xml:space="preserve"> Likvidnější zástava, výrazné snížení rizika pro úvěrující instituci</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Riziko zvýšených nákladů pro </w:t>
            </w:r>
            <w:r w:rsidR="007947E3">
              <w:rPr>
                <w:rFonts w:ascii="Calibri" w:hAnsi="Calibri" w:cs="Calibri"/>
                <w:b w:val="0"/>
                <w:color w:val="000000"/>
                <w:lang w:eastAsia="cs-CZ"/>
              </w:rPr>
              <w:t xml:space="preserve">konečného </w:t>
            </w:r>
            <w:r w:rsidRPr="002C224A">
              <w:rPr>
                <w:rFonts w:ascii="Calibri" w:hAnsi="Calibri" w:cs="Calibri"/>
                <w:b w:val="0"/>
                <w:color w:val="000000"/>
                <w:lang w:eastAsia="cs-CZ"/>
              </w:rPr>
              <w:t>příjemce zůstává</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p>
        </w:tc>
        <w:tc>
          <w:tcPr>
            <w:tcW w:w="2268" w:type="dxa"/>
          </w:tcPr>
          <w:p w:rsidR="006D67F1" w:rsidRPr="002C224A" w:rsidRDefault="003D7EB1" w:rsidP="00B03681">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w:t>
            </w:r>
            <w:r w:rsidR="007947E3">
              <w:rPr>
                <w:rFonts w:ascii="Calibri" w:hAnsi="Calibri" w:cs="Calibri"/>
                <w:b w:val="0"/>
                <w:color w:val="000000"/>
                <w:lang w:eastAsia="cs-CZ"/>
              </w:rPr>
              <w:t xml:space="preserve"> konečného</w:t>
            </w:r>
            <w:r w:rsidRPr="002C224A">
              <w:rPr>
                <w:rFonts w:ascii="Calibri" w:hAnsi="Calibri" w:cs="Calibri"/>
                <w:b w:val="0"/>
                <w:color w:val="000000"/>
                <w:lang w:eastAsia="cs-CZ"/>
              </w:rPr>
              <w:t xml:space="preserve"> příjemce zůstává</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Dotace části nákladů snižuje rizika </w:t>
            </w:r>
            <w:r w:rsidR="00031A1C">
              <w:rPr>
                <w:rFonts w:ascii="Calibri" w:hAnsi="Calibri" w:cs="Calibri"/>
                <w:b w:val="0"/>
                <w:color w:val="000000"/>
                <w:lang w:eastAsia="cs-CZ"/>
              </w:rPr>
              <w:t xml:space="preserve">konečného </w:t>
            </w:r>
            <w:r w:rsidRPr="002C224A">
              <w:rPr>
                <w:rFonts w:ascii="Calibri" w:hAnsi="Calibri" w:cs="Calibri"/>
                <w:b w:val="0"/>
                <w:color w:val="000000"/>
                <w:lang w:eastAsia="cs-CZ"/>
              </w:rPr>
              <w:t xml:space="preserve">příjemce z negativního vývoje revitalizace. </w:t>
            </w:r>
            <w:r w:rsidR="00E05E2D">
              <w:rPr>
                <w:rFonts w:ascii="Calibri" w:hAnsi="Calibri" w:cs="Calibri"/>
                <w:b w:val="0"/>
                <w:color w:val="000000"/>
                <w:lang w:eastAsia="cs-CZ"/>
              </w:rPr>
              <w:t>Konečný příjemce přebírá riziko jen</w:t>
            </w:r>
            <w:r w:rsidRPr="002C224A">
              <w:rPr>
                <w:rFonts w:ascii="Calibri" w:hAnsi="Calibri" w:cs="Calibri"/>
                <w:b w:val="0"/>
                <w:color w:val="000000"/>
                <w:lang w:eastAsia="cs-CZ"/>
              </w:rPr>
              <w:t xml:space="preserve"> do výše spoluúčasti způsobilých a nezpůsobilých nákladů</w:t>
            </w:r>
            <w:r w:rsidR="008E1897" w:rsidRPr="002C224A">
              <w:rPr>
                <w:rFonts w:ascii="Calibri" w:hAnsi="Calibri" w:cs="Calibri"/>
                <w:b w:val="0"/>
                <w:color w:val="000000"/>
                <w:lang w:eastAsia="cs-CZ"/>
              </w:rPr>
              <w:t xml:space="preserve"> </w:t>
            </w:r>
            <w:r w:rsidR="00194A15" w:rsidRPr="002C224A">
              <w:rPr>
                <w:rFonts w:ascii="Calibri" w:hAnsi="Calibri" w:cs="Calibri"/>
                <w:b w:val="0"/>
                <w:color w:val="000000"/>
                <w:lang w:eastAsia="cs-CZ"/>
              </w:rPr>
              <w:t>(též ve výši dotace, pokud nebude dosažena udržitelnost projektu).</w:t>
            </w:r>
          </w:p>
          <w:p w:rsidR="00194A15" w:rsidRPr="002C224A" w:rsidRDefault="00194A15"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Zlepšená úvěrovatelnost dotovaných projektů</w:t>
            </w:r>
            <w:r w:rsidR="00194A15" w:rsidRPr="002C224A">
              <w:rPr>
                <w:rFonts w:ascii="Calibri" w:hAnsi="Calibri" w:cs="Calibri"/>
                <w:b w:val="0"/>
                <w:color w:val="000000"/>
                <w:lang w:eastAsia="cs-CZ"/>
              </w:rPr>
              <w:t>.</w:t>
            </w:r>
          </w:p>
          <w:p w:rsidR="006D67F1" w:rsidRPr="002C224A" w:rsidRDefault="006D67F1" w:rsidP="00B03681">
            <w:pPr>
              <w:pStyle w:val="Highlight2"/>
              <w:jc w:val="center"/>
              <w:rPr>
                <w:rFonts w:ascii="Calibri" w:hAnsi="Calibri" w:cs="Calibri"/>
                <w:b w:val="0"/>
                <w:color w:val="000000"/>
                <w:lang w:eastAsia="cs-CZ"/>
              </w:rPr>
            </w:pP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rPr>
              <w:t xml:space="preserve"> ŘO má předem dané ztráty do absolutní výše dotace.</w:t>
            </w:r>
          </w:p>
        </w:tc>
      </w:tr>
      <w:tr w:rsidR="006D67F1" w:rsidRPr="002C224A" w:rsidTr="002433DA">
        <w:tc>
          <w:tcPr>
            <w:tcW w:w="1729" w:type="dxa"/>
          </w:tcPr>
          <w:p w:rsidR="006D67F1" w:rsidRPr="002C224A" w:rsidRDefault="006D67F1" w:rsidP="00B03681">
            <w:pPr>
              <w:pStyle w:val="Highlight2"/>
              <w:jc w:val="left"/>
              <w:rPr>
                <w:rFonts w:ascii="Calibri" w:hAnsi="Calibri" w:cs="Calibri"/>
                <w:color w:val="auto"/>
                <w:szCs w:val="20"/>
              </w:rPr>
            </w:pPr>
          </w:p>
        </w:tc>
        <w:tc>
          <w:tcPr>
            <w:tcW w:w="2694" w:type="dxa"/>
          </w:tcPr>
          <w:p w:rsidR="006D67F1" w:rsidRPr="002C224A" w:rsidRDefault="006D67F1" w:rsidP="00B03681">
            <w:pPr>
              <w:pStyle w:val="Highlight2"/>
              <w:jc w:val="center"/>
              <w:rPr>
                <w:rFonts w:ascii="Calibri" w:hAnsi="Calibri" w:cs="Calibri"/>
                <w:b w:val="0"/>
                <w:color w:val="auto"/>
                <w:szCs w:val="20"/>
              </w:rPr>
            </w:pPr>
          </w:p>
        </w:tc>
        <w:tc>
          <w:tcPr>
            <w:tcW w:w="2268" w:type="dxa"/>
          </w:tcPr>
          <w:p w:rsidR="006D67F1" w:rsidRPr="002C224A" w:rsidRDefault="006D67F1" w:rsidP="00B03681">
            <w:pPr>
              <w:pStyle w:val="Highlight2"/>
              <w:jc w:val="center"/>
              <w:rPr>
                <w:rFonts w:ascii="Calibri" w:hAnsi="Calibri" w:cs="Calibri"/>
                <w:b w:val="0"/>
                <w:color w:val="auto"/>
                <w:szCs w:val="20"/>
              </w:rPr>
            </w:pPr>
          </w:p>
        </w:tc>
        <w:tc>
          <w:tcPr>
            <w:tcW w:w="2268" w:type="dxa"/>
          </w:tcPr>
          <w:p w:rsidR="006D67F1" w:rsidRPr="002C224A" w:rsidRDefault="006D67F1" w:rsidP="00B03681">
            <w:pPr>
              <w:pStyle w:val="Highlight2"/>
              <w:jc w:val="center"/>
              <w:rPr>
                <w:rFonts w:ascii="Calibri" w:hAnsi="Calibri" w:cs="Calibri"/>
                <w:b w:val="0"/>
                <w:color w:val="auto"/>
                <w:szCs w:val="20"/>
              </w:rPr>
            </w:pPr>
          </w:p>
        </w:tc>
      </w:tr>
      <w:tr w:rsidR="006D67F1" w:rsidRPr="002C224A" w:rsidTr="002433DA">
        <w:tc>
          <w:tcPr>
            <w:tcW w:w="1729" w:type="dxa"/>
          </w:tcPr>
          <w:p w:rsidR="006D67F1" w:rsidRPr="002C224A" w:rsidRDefault="006D67F1" w:rsidP="00B03681">
            <w:pPr>
              <w:pStyle w:val="Highlight2"/>
              <w:jc w:val="left"/>
              <w:rPr>
                <w:rFonts w:ascii="Calibri" w:hAnsi="Calibri" w:cs="Calibri"/>
              </w:rPr>
            </w:pPr>
            <w:r w:rsidRPr="002C224A">
              <w:rPr>
                <w:rFonts w:ascii="Calibri" w:hAnsi="Calibri" w:cs="Calibri"/>
                <w:bCs/>
                <w:color w:val="000000"/>
                <w:lang w:eastAsia="cs-CZ"/>
              </w:rPr>
              <w:t>Administrativní zátěž</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Jednoduchá administrace, bez rizika odebrání podpory z důvodu technických chyb</w:t>
            </w:r>
          </w:p>
          <w:p w:rsidR="006D67F1" w:rsidRPr="002C224A" w:rsidRDefault="006D67F1" w:rsidP="00B03681">
            <w:pPr>
              <w:pStyle w:val="Highlight2"/>
              <w:jc w:val="center"/>
              <w:rPr>
                <w:rFonts w:ascii="Calibri" w:hAnsi="Calibri" w:cs="Calibri"/>
                <w:b w:val="0"/>
                <w:color w:val="000000"/>
                <w:lang w:eastAsia="cs-CZ"/>
              </w:rPr>
            </w:pPr>
          </w:p>
        </w:tc>
        <w:tc>
          <w:tcPr>
            <w:tcW w:w="2268" w:type="dxa"/>
          </w:tcPr>
          <w:p w:rsidR="006D67F1" w:rsidRPr="002C224A" w:rsidRDefault="006D67F1" w:rsidP="00B03681">
            <w:pPr>
              <w:pStyle w:val="Highlight2"/>
              <w:jc w:val="center"/>
              <w:rPr>
                <w:rFonts w:ascii="Calibri" w:hAnsi="Calibri" w:cs="Calibri"/>
                <w:b w:val="0"/>
              </w:rPr>
            </w:pPr>
            <w:r w:rsidRPr="002C224A">
              <w:rPr>
                <w:rFonts w:ascii="Calibri" w:hAnsi="Calibri" w:cs="Calibri"/>
                <w:b w:val="0"/>
                <w:color w:val="000000"/>
                <w:lang w:eastAsia="cs-CZ"/>
              </w:rPr>
              <w:t>Jednoduchá administrace, bez rizika odebrání podpory z důvodu technických chyb</w:t>
            </w: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Vysoká administrativní a regulační zátěž omezuje příjemce, zvyšuje náklady a přináší riziko odebrání dotace.</w:t>
            </w:r>
          </w:p>
        </w:tc>
      </w:tr>
      <w:tr w:rsidR="006D67F1" w:rsidRPr="002C224A" w:rsidTr="002433DA">
        <w:trPr>
          <w:trHeight w:val="1474"/>
        </w:trPr>
        <w:tc>
          <w:tcPr>
            <w:tcW w:w="1729" w:type="dxa"/>
          </w:tcPr>
          <w:p w:rsidR="006D67F1" w:rsidRPr="002C224A" w:rsidRDefault="006D67F1" w:rsidP="00E45795">
            <w:pPr>
              <w:rPr>
                <w:sz w:val="19"/>
              </w:rPr>
            </w:pPr>
            <w:r w:rsidRPr="002C224A">
              <w:rPr>
                <w:b/>
                <w:sz w:val="20"/>
              </w:rPr>
              <w:t>Celkový efekt na Investiční aktivitu a absorpci v SC</w:t>
            </w:r>
          </w:p>
        </w:tc>
        <w:tc>
          <w:tcPr>
            <w:tcW w:w="2694" w:type="dxa"/>
          </w:tcPr>
          <w:p w:rsidR="006D67F1" w:rsidRPr="002C224A" w:rsidRDefault="006D67F1" w:rsidP="00183F1E">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Na rozšíření investiční aktivity v oblasti BF mají záruky vliv pouze z hlediska zpřístupnění financování pro rizikovější MSP.</w:t>
            </w:r>
          </w:p>
        </w:tc>
        <w:tc>
          <w:tcPr>
            <w:tcW w:w="2268" w:type="dxa"/>
          </w:tcPr>
          <w:p w:rsidR="006D67F1" w:rsidRPr="002C224A" w:rsidRDefault="006D67F1" w:rsidP="00E45795">
            <w:pPr>
              <w:rPr>
                <w:sz w:val="20"/>
              </w:rPr>
            </w:pPr>
            <w:r w:rsidRPr="002C224A">
              <w:rPr>
                <w:sz w:val="20"/>
              </w:rPr>
              <w:t>Mírné zkrácení doby návratnosti, přístup k vyššímu externímu financování a příspěvek na projektovou přípravu</w:t>
            </w:r>
          </w:p>
          <w:p w:rsidR="006D67F1" w:rsidRPr="002C224A" w:rsidRDefault="006D67F1" w:rsidP="00E45795">
            <w:pPr>
              <w:rPr>
                <w:sz w:val="20"/>
              </w:rPr>
            </w:pPr>
            <w:r w:rsidRPr="002C224A">
              <w:rPr>
                <w:sz w:val="20"/>
              </w:rPr>
              <w:t>umožní částečně vyšší investiční aktivitu v segmentu rekonstrukcí s rentabilním výhledem.</w:t>
            </w:r>
          </w:p>
          <w:p w:rsidR="006D67F1" w:rsidRPr="002C224A" w:rsidRDefault="006D67F1" w:rsidP="00E45795">
            <w:pPr>
              <w:rPr>
                <w:sz w:val="20"/>
              </w:rPr>
            </w:pPr>
            <w:r w:rsidRPr="002C224A">
              <w:rPr>
                <w:sz w:val="20"/>
              </w:rPr>
              <w:t>Motivační efekt na investice do BF je malý.</w:t>
            </w:r>
          </w:p>
          <w:p w:rsidR="006D67F1" w:rsidRPr="002C224A" w:rsidRDefault="006D67F1" w:rsidP="007B2DEF">
            <w:pPr>
              <w:rPr>
                <w:b/>
                <w:sz w:val="19"/>
              </w:rPr>
            </w:pPr>
            <w:r w:rsidRPr="002C224A">
              <w:rPr>
                <w:sz w:val="20"/>
              </w:rPr>
              <w:t>Neefektivita pro vysoce nákladné BF s primárním tržním selhání – malá přidaná hodnota z hlediska SC 2.3</w:t>
            </w:r>
          </w:p>
        </w:tc>
        <w:tc>
          <w:tcPr>
            <w:tcW w:w="2268" w:type="dxa"/>
          </w:tcPr>
          <w:p w:rsidR="006D67F1" w:rsidRPr="002C224A" w:rsidRDefault="006D67F1" w:rsidP="00E45795">
            <w:pPr>
              <w:rPr>
                <w:color w:val="000000"/>
                <w:sz w:val="20"/>
              </w:rPr>
            </w:pPr>
            <w:r w:rsidRPr="002C224A">
              <w:rPr>
                <w:color w:val="000000"/>
                <w:sz w:val="20"/>
              </w:rPr>
              <w:t>Výrazný efekt na nákladovost a návratnost projektu výrazně zvyšuje absorpci i pro tržně nerevitalizovatelné BF – avšak kvůli omezení na 1/3 způsobilých nákladů ne pro všechny.</w:t>
            </w:r>
          </w:p>
          <w:p w:rsidR="006D67F1" w:rsidRPr="002C224A" w:rsidRDefault="006D67F1" w:rsidP="00E45795">
            <w:pPr>
              <w:rPr>
                <w:color w:val="000000"/>
                <w:sz w:val="19"/>
              </w:rPr>
            </w:pPr>
            <w:r w:rsidRPr="002C224A">
              <w:rPr>
                <w:color w:val="000000"/>
                <w:sz w:val="20"/>
              </w:rPr>
              <w:t>Částečné omezení kvůli administrativní složitosti.</w:t>
            </w:r>
          </w:p>
          <w:p w:rsidR="006D67F1" w:rsidRPr="002C224A" w:rsidRDefault="006D67F1" w:rsidP="007B2DEF">
            <w:pPr>
              <w:rPr>
                <w:b/>
                <w:color w:val="000000"/>
                <w:sz w:val="19"/>
              </w:rPr>
            </w:pPr>
            <w:r w:rsidRPr="002C224A">
              <w:rPr>
                <w:color w:val="000000"/>
                <w:sz w:val="20"/>
              </w:rPr>
              <w:t xml:space="preserve">Omezení dané nedostatkem disponibilních zdrojů </w:t>
            </w:r>
          </w:p>
          <w:p w:rsidR="006D67F1" w:rsidRPr="002C224A" w:rsidRDefault="006D67F1" w:rsidP="002F7B85">
            <w:pPr>
              <w:rPr>
                <w:color w:val="000000"/>
                <w:sz w:val="19"/>
              </w:rPr>
            </w:pPr>
            <w:r w:rsidRPr="002C224A">
              <w:rPr>
                <w:color w:val="000000"/>
                <w:sz w:val="19"/>
              </w:rPr>
              <w:t>Mělo by výrazně podpořit investiční aktivitu v cílových BF.</w:t>
            </w:r>
          </w:p>
          <w:p w:rsidR="006D67F1" w:rsidRPr="002C224A" w:rsidRDefault="006D67F1" w:rsidP="002433DA">
            <w:pPr>
              <w:rPr>
                <w:b/>
                <w:color w:val="000000"/>
                <w:sz w:val="19"/>
              </w:rPr>
            </w:pPr>
          </w:p>
        </w:tc>
      </w:tr>
      <w:tr w:rsidR="006D67F1" w:rsidRPr="002C224A" w:rsidTr="002433DA">
        <w:tc>
          <w:tcPr>
            <w:tcW w:w="1729" w:type="dxa"/>
          </w:tcPr>
          <w:p w:rsidR="006D67F1" w:rsidRPr="002C224A" w:rsidRDefault="006D67F1" w:rsidP="00B03681">
            <w:pPr>
              <w:pStyle w:val="Highlight2"/>
              <w:jc w:val="left"/>
              <w:rPr>
                <w:rFonts w:ascii="Calibri" w:hAnsi="Calibri" w:cs="Calibri"/>
                <w:bCs/>
                <w:color w:val="000000"/>
                <w:lang w:eastAsia="cs-CZ"/>
              </w:rPr>
            </w:pPr>
            <w:r w:rsidRPr="002C224A">
              <w:rPr>
                <w:rFonts w:ascii="Calibri" w:hAnsi="Calibri" w:cs="Calibri"/>
                <w:bCs/>
                <w:color w:val="000000"/>
                <w:lang w:eastAsia="cs-CZ"/>
              </w:rPr>
              <w:t>Efekt na narušení tržního prostředí</w:t>
            </w:r>
          </w:p>
        </w:tc>
        <w:tc>
          <w:tcPr>
            <w:tcW w:w="2694"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Minimální vliv na tržní prostředí, zvyšují konkurenci odstraněním finanční bariéry pro menší subjekty</w:t>
            </w: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Malý vliv na tržní prostředí, návratná podpora motivuje ekonomicky efektivní počínání subjektů</w:t>
            </w: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Doplnění soukromého finančního trhu</w:t>
            </w:r>
          </w:p>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color w:val="000000"/>
                <w:lang w:eastAsia="cs-CZ"/>
              </w:rPr>
              <w:t>Malé zvýhodnění BF vůči GF</w:t>
            </w:r>
          </w:p>
        </w:tc>
        <w:tc>
          <w:tcPr>
            <w:tcW w:w="2268" w:type="dxa"/>
          </w:tcPr>
          <w:p w:rsidR="006D67F1" w:rsidRPr="002C224A" w:rsidRDefault="006D67F1" w:rsidP="00B03681">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Výrazné dotování nákladů projektu ingeruje do trhu nemovitostí a zvýhodňuje některé starší nemovitosti vůči GF, resp. narovnává tržní selhání v souladu s cílem SC 2.3.</w:t>
            </w:r>
            <w:r w:rsidR="00FC2DC1" w:rsidRPr="002C224A">
              <w:rPr>
                <w:rFonts w:ascii="Calibri" w:hAnsi="Calibri" w:cs="Calibri"/>
                <w:b w:val="0"/>
                <w:bCs/>
                <w:color w:val="000000"/>
                <w:lang w:eastAsia="cs-CZ"/>
              </w:rPr>
              <w:t xml:space="preserve"> </w:t>
            </w:r>
            <w:r w:rsidRPr="002C224A">
              <w:rPr>
                <w:rFonts w:ascii="Calibri" w:hAnsi="Calibri" w:cs="Calibri"/>
                <w:b w:val="0"/>
                <w:bCs/>
                <w:color w:val="000000"/>
                <w:lang w:eastAsia="cs-CZ"/>
              </w:rPr>
              <w:t xml:space="preserve">Při plošném užití </w:t>
            </w:r>
            <w:r w:rsidRPr="002C224A">
              <w:rPr>
                <w:rFonts w:ascii="Calibri" w:hAnsi="Calibri" w:cs="Calibri"/>
                <w:b w:val="0"/>
                <w:bCs/>
                <w:color w:val="000000"/>
                <w:lang w:eastAsia="cs-CZ"/>
              </w:rPr>
              <w:lastRenderedPageBreak/>
              <w:t>problém neadekvátního podpoření i tržně realizovatelných projektů</w:t>
            </w:r>
          </w:p>
        </w:tc>
      </w:tr>
    </w:tbl>
    <w:p w:rsidR="006D67F1" w:rsidRPr="002C224A" w:rsidRDefault="006D67F1" w:rsidP="00BE1884"/>
    <w:p w:rsidR="006D67F1" w:rsidRPr="002C224A" w:rsidRDefault="006D67F1" w:rsidP="00BE1884">
      <w:pPr>
        <w:pStyle w:val="Titulek"/>
      </w:pPr>
      <w:r w:rsidRPr="002C224A">
        <w:t xml:space="preserve">Tabulka </w:t>
      </w:r>
      <w:r w:rsidR="00582262" w:rsidRPr="002C224A">
        <w:t>5</w:t>
      </w:r>
      <w:r w:rsidR="00F6076B">
        <w:t>6:</w:t>
      </w:r>
      <w:r w:rsidRPr="002C224A">
        <w:t xml:space="preserve"> Přidaná hodnota podpory pro cíle SC 2.3 (etablované MSP) OP PIK a vliv na tržní prostředí</w:t>
      </w:r>
    </w:p>
    <w:p w:rsidR="006D67F1" w:rsidRPr="00A50943" w:rsidRDefault="006D67F1" w:rsidP="001B56F4">
      <w:pPr>
        <w:rPr>
          <w:lang w:eastAsia="en-US"/>
        </w:rPr>
      </w:pPr>
    </w:p>
    <w:p w:rsidR="006D67F1" w:rsidRPr="002C224A" w:rsidRDefault="006D67F1" w:rsidP="001B56F4">
      <w:pPr>
        <w:rPr>
          <w:lang w:eastAsia="en-US"/>
        </w:rPr>
      </w:pPr>
      <w:r w:rsidRPr="002C224A">
        <w:rPr>
          <w:lang w:eastAsia="en-US"/>
        </w:rPr>
        <w:t>Z porovnání přidané hodnoty FN s dotační podporou vyplývá, že zásadní efekt na investiční aktivitu v oblasti s typickým tržním selháním pro BF má dotační podpora. Úvěrový nástroj řeší zejména přístup k financování MSP a částečné zvýhodnění u projektů s tržně realizovatelným výhledem.</w:t>
      </w:r>
    </w:p>
    <w:p w:rsidR="006D67F1" w:rsidRPr="002C224A" w:rsidRDefault="006D67F1" w:rsidP="00B458B1"/>
    <w:p w:rsidR="006D67F1" w:rsidRPr="002C224A" w:rsidRDefault="006D67F1" w:rsidP="00283266">
      <w:pPr>
        <w:pStyle w:val="Nadpis4"/>
        <w:rPr>
          <w:rFonts w:ascii="Calibri" w:hAnsi="Calibri"/>
        </w:rPr>
      </w:pPr>
      <w:r w:rsidRPr="002C224A">
        <w:rPr>
          <w:rFonts w:ascii="Calibri" w:hAnsi="Calibri"/>
        </w:rPr>
        <w:t>Soulad s jinými formami veřejných intervencí</w:t>
      </w:r>
    </w:p>
    <w:p w:rsidR="006D67F1" w:rsidRPr="00A50943" w:rsidRDefault="006D67F1" w:rsidP="001B56F4">
      <w:pPr>
        <w:rPr>
          <w:lang w:eastAsia="en-US"/>
        </w:rPr>
      </w:pPr>
    </w:p>
    <w:p w:rsidR="00CD70E5" w:rsidRPr="002C224A" w:rsidRDefault="006D67F1" w:rsidP="001B56F4">
      <w:pPr>
        <w:rPr>
          <w:lang w:eastAsia="en-US"/>
        </w:rPr>
      </w:pPr>
      <w:r w:rsidRPr="002C224A">
        <w:rPr>
          <w:lang w:eastAsia="en-US"/>
        </w:rPr>
        <w:t xml:space="preserve">Finanční nástroje v SC 2.3 jsou komplementární k dotační podpoře OP PIK za předpokladu navrhovaného vymezení podporovaných skupin. </w:t>
      </w:r>
      <w:r w:rsidR="00CD70E5" w:rsidRPr="002C224A">
        <w:rPr>
          <w:lang w:eastAsia="en-US"/>
        </w:rPr>
        <w:t>Vymezení podporovaných projektů je zapotřebí i vůči SC 2.1.</w:t>
      </w:r>
    </w:p>
    <w:p w:rsidR="00CD70E5" w:rsidRPr="002C224A" w:rsidRDefault="00CD70E5" w:rsidP="001B56F4">
      <w:pPr>
        <w:rPr>
          <w:lang w:eastAsia="en-US"/>
        </w:rPr>
      </w:pPr>
    </w:p>
    <w:p w:rsidR="00C77A57" w:rsidRPr="002C224A" w:rsidRDefault="00B736E7" w:rsidP="001B56F4">
      <w:pPr>
        <w:rPr>
          <w:lang w:eastAsia="en-US"/>
        </w:rPr>
      </w:pPr>
      <w:r w:rsidRPr="002C224A">
        <w:rPr>
          <w:lang w:eastAsia="en-US"/>
        </w:rPr>
        <w:t xml:space="preserve">Vedle OP PIK řeší otázku BF rovněž OP ŽP a nepřímo také Program rozvoje venkova (PRV). Předmětem podpory v OP ŽP je sanace vážně kontaminovaných lokalit, u nichž jsou prokázána rizika pro lidské zdraví a ekosystémy. V rámci OP PIK nebude podporována sanace ekologických zátěží, ale bude podporována demolice a likvidace stavebních materiálů, z nichž některé mohou spadat do vyšší rizikovosti. V případě PRV jde rovněž o komplementaritu, kdy výběr projektů PRV bude v některých opatřeních posuzován také z hlediska možné revitalizace BF. </w:t>
      </w:r>
      <w:r w:rsidR="00CE5CB4" w:rsidRPr="002C224A">
        <w:rPr>
          <w:lang w:eastAsia="en-US"/>
        </w:rPr>
        <w:t>Absorpční kapacita pro OP PIK vzhledem k odlišnému zaměření podpory nebude omezena.</w:t>
      </w:r>
    </w:p>
    <w:p w:rsidR="00C77A57" w:rsidRPr="002C224A" w:rsidRDefault="00C77A57" w:rsidP="001B56F4">
      <w:pPr>
        <w:rPr>
          <w:lang w:eastAsia="en-US"/>
        </w:rPr>
      </w:pPr>
    </w:p>
    <w:p w:rsidR="006D67F1" w:rsidRPr="002C224A" w:rsidRDefault="006D67F1" w:rsidP="001B56F4">
      <w:pPr>
        <w:rPr>
          <w:lang w:eastAsia="en-US"/>
        </w:rPr>
      </w:pPr>
      <w:r w:rsidRPr="002C224A">
        <w:rPr>
          <w:lang w:eastAsia="en-US"/>
        </w:rPr>
        <w:t>Důležitou komplementaritu představuje také možnost zapojení Investičního plánu pro Evropu a Evropského fondu pro strategické investice.</w:t>
      </w:r>
    </w:p>
    <w:p w:rsidR="006D67F1" w:rsidRPr="002C224A" w:rsidRDefault="006D67F1" w:rsidP="00283266">
      <w:pPr>
        <w:pStyle w:val="Nadpis4"/>
        <w:rPr>
          <w:rFonts w:ascii="Calibri" w:hAnsi="Calibri"/>
        </w:rPr>
      </w:pPr>
      <w:r w:rsidRPr="002C224A">
        <w:rPr>
          <w:rFonts w:ascii="Calibri" w:hAnsi="Calibri"/>
        </w:rPr>
        <w:t>Možné řešení veřejné podpory</w:t>
      </w:r>
    </w:p>
    <w:p w:rsidR="006D67F1" w:rsidRPr="00A50943" w:rsidRDefault="006D67F1" w:rsidP="00283266"/>
    <w:p w:rsidR="006701AB" w:rsidRPr="002C224A" w:rsidRDefault="006701AB" w:rsidP="00283266"/>
    <w:p w:rsidR="006D67F1" w:rsidRPr="002C224A" w:rsidRDefault="006D67F1" w:rsidP="00283266">
      <w:r w:rsidRPr="002C224A">
        <w:t>Pro úvěrový finanční nástroj lze řešit veřejnou podporu poskytnutím podpory de minimis nebo podpory podle Obecného nařízení o blokových výjimkách č. 651/2014.</w:t>
      </w:r>
      <w:r w:rsidR="006701AB" w:rsidRPr="002C224A">
        <w:t xml:space="preserve"> Veřejná podpora je předpokládána pouze na úrovni konečných příjemců.</w:t>
      </w:r>
    </w:p>
    <w:p w:rsidR="006D67F1" w:rsidRPr="002C224A" w:rsidRDefault="006D67F1" w:rsidP="00283266"/>
    <w:p w:rsidR="006D67F1" w:rsidRPr="002C224A" w:rsidRDefault="006D67F1" w:rsidP="00283266">
      <w:r w:rsidRPr="002C224A">
        <w:t>V případě návrhu rozvojové společnosti navrhujeme aplikovat model, ve kterém veřejná podpora nebude přítomna, viz níže.</w:t>
      </w:r>
    </w:p>
    <w:p w:rsidR="006D67F1" w:rsidRPr="002C224A" w:rsidRDefault="006D67F1" w:rsidP="00283266"/>
    <w:tbl>
      <w:tblPr>
        <w:tblW w:w="0" w:type="auto"/>
        <w:tblBorders>
          <w:bottom w:val="single" w:sz="4" w:space="0" w:color="72C7E7"/>
          <w:insideH w:val="single" w:sz="4" w:space="0" w:color="72C7E7"/>
        </w:tblBorders>
        <w:tblCellMar>
          <w:top w:w="28" w:type="dxa"/>
          <w:left w:w="28" w:type="dxa"/>
          <w:bottom w:w="28" w:type="dxa"/>
          <w:right w:w="28" w:type="dxa"/>
        </w:tblCellMar>
        <w:tblLook w:val="00A0" w:firstRow="1" w:lastRow="0" w:firstColumn="1" w:lastColumn="0" w:noHBand="0" w:noVBand="0"/>
      </w:tblPr>
      <w:tblGrid>
        <w:gridCol w:w="3459"/>
        <w:gridCol w:w="5613"/>
      </w:tblGrid>
      <w:tr w:rsidR="006D67F1" w:rsidRPr="002C224A" w:rsidTr="00841304">
        <w:tc>
          <w:tcPr>
            <w:tcW w:w="3510" w:type="dxa"/>
            <w:shd w:val="clear" w:color="auto" w:fill="4F81BD"/>
          </w:tcPr>
          <w:p w:rsidR="006D67F1" w:rsidRPr="002C224A" w:rsidRDefault="006D67F1" w:rsidP="00841304">
            <w:pPr>
              <w:jc w:val="center"/>
              <w:rPr>
                <w:b/>
                <w:color w:val="FFFFFF"/>
                <w:sz w:val="19"/>
              </w:rPr>
            </w:pPr>
            <w:r w:rsidRPr="002C224A">
              <w:rPr>
                <w:b/>
                <w:color w:val="FFFFFF"/>
                <w:sz w:val="19"/>
              </w:rPr>
              <w:t>Aktivita</w:t>
            </w:r>
          </w:p>
        </w:tc>
        <w:tc>
          <w:tcPr>
            <w:tcW w:w="5702" w:type="dxa"/>
            <w:shd w:val="clear" w:color="auto" w:fill="4F81BD"/>
          </w:tcPr>
          <w:p w:rsidR="006D67F1" w:rsidRPr="002C224A" w:rsidRDefault="006D67F1" w:rsidP="00841304">
            <w:pPr>
              <w:jc w:val="center"/>
              <w:rPr>
                <w:b/>
                <w:color w:val="FFFFFF"/>
                <w:sz w:val="19"/>
              </w:rPr>
            </w:pPr>
            <w:r w:rsidRPr="002C224A">
              <w:rPr>
                <w:b/>
                <w:color w:val="FFFFFF"/>
                <w:sz w:val="19"/>
              </w:rPr>
              <w:t>Opatření pro eliminaci veřejné podpory</w:t>
            </w:r>
          </w:p>
        </w:tc>
      </w:tr>
      <w:tr w:rsidR="006D67F1" w:rsidRPr="002C224A" w:rsidTr="00841304">
        <w:tc>
          <w:tcPr>
            <w:tcW w:w="3510" w:type="dxa"/>
            <w:shd w:val="clear" w:color="auto" w:fill="FFFFFF"/>
          </w:tcPr>
          <w:p w:rsidR="006D67F1" w:rsidRPr="002C224A" w:rsidRDefault="006D67F1" w:rsidP="00E67ABD">
            <w:pPr>
              <w:rPr>
                <w:sz w:val="19"/>
              </w:rPr>
            </w:pPr>
            <w:r w:rsidRPr="002C224A">
              <w:rPr>
                <w:sz w:val="19"/>
              </w:rPr>
              <w:t>Výběr správce finančního nástroje</w:t>
            </w:r>
          </w:p>
        </w:tc>
        <w:tc>
          <w:tcPr>
            <w:tcW w:w="5702" w:type="dxa"/>
            <w:shd w:val="clear" w:color="auto" w:fill="FFFFFF"/>
          </w:tcPr>
          <w:p w:rsidR="006D67F1" w:rsidRPr="002C224A" w:rsidRDefault="006D67F1" w:rsidP="00E67ABD">
            <w:pPr>
              <w:rPr>
                <w:sz w:val="19"/>
              </w:rPr>
            </w:pPr>
            <w:r w:rsidRPr="002C224A">
              <w:rPr>
                <w:sz w:val="19"/>
              </w:rPr>
              <w:t>Veřejná zakázka, prováděná v souladu s platnou právní úpravou, odměnu ve formě poplatku za správu finančního nástroje nelze považovat za veřejnou podporu.</w:t>
            </w:r>
          </w:p>
        </w:tc>
      </w:tr>
      <w:tr w:rsidR="006D67F1" w:rsidRPr="002C224A" w:rsidTr="00841304">
        <w:tc>
          <w:tcPr>
            <w:tcW w:w="3510" w:type="dxa"/>
            <w:shd w:val="clear" w:color="auto" w:fill="FFFFFF"/>
          </w:tcPr>
          <w:p w:rsidR="006D67F1" w:rsidRPr="002C224A" w:rsidRDefault="006D67F1" w:rsidP="00E67ABD">
            <w:pPr>
              <w:rPr>
                <w:sz w:val="19"/>
              </w:rPr>
            </w:pPr>
            <w:r w:rsidRPr="002C224A">
              <w:rPr>
                <w:sz w:val="19"/>
              </w:rPr>
              <w:t>Nákup pozemků, investiční činnost</w:t>
            </w:r>
          </w:p>
        </w:tc>
        <w:tc>
          <w:tcPr>
            <w:tcW w:w="5702" w:type="dxa"/>
            <w:shd w:val="clear" w:color="auto" w:fill="FFFFFF"/>
          </w:tcPr>
          <w:p w:rsidR="006D67F1" w:rsidRPr="002C224A" w:rsidRDefault="006D67F1" w:rsidP="00E67ABD">
            <w:pPr>
              <w:rPr>
                <w:sz w:val="19"/>
              </w:rPr>
            </w:pPr>
            <w:r w:rsidRPr="002C224A">
              <w:rPr>
                <w:sz w:val="19"/>
              </w:rPr>
              <w:t>Podle dosavadní praxe není správce finančního nástroje považován za veřejného zadavatele, jelikož se jedná o subjekt, kterému byla veřejným zadavatelem zadána zakázka. Tento výklad však vyžaduje další zkoumání, zdali se má investiční činnost zákonem o VZ řídit či nikoli (nejedná o veřejného či dotovaného zadavatele).</w:t>
            </w:r>
          </w:p>
        </w:tc>
      </w:tr>
      <w:tr w:rsidR="006D67F1" w:rsidRPr="002C224A" w:rsidTr="00841304">
        <w:tc>
          <w:tcPr>
            <w:tcW w:w="3510" w:type="dxa"/>
            <w:shd w:val="clear" w:color="auto" w:fill="FFFFFF"/>
          </w:tcPr>
          <w:p w:rsidR="006D67F1" w:rsidRPr="002C224A" w:rsidRDefault="006D67F1" w:rsidP="00E67ABD">
            <w:pPr>
              <w:rPr>
                <w:sz w:val="19"/>
              </w:rPr>
            </w:pPr>
            <w:r w:rsidRPr="002C224A">
              <w:rPr>
                <w:sz w:val="19"/>
              </w:rPr>
              <w:t>Prodej pozemků</w:t>
            </w:r>
          </w:p>
        </w:tc>
        <w:tc>
          <w:tcPr>
            <w:tcW w:w="5702" w:type="dxa"/>
            <w:shd w:val="clear" w:color="auto" w:fill="FFFFFF"/>
          </w:tcPr>
          <w:p w:rsidR="006D67F1" w:rsidRPr="002C224A" w:rsidRDefault="006D67F1" w:rsidP="00841304">
            <w:pPr>
              <w:keepNext/>
            </w:pPr>
            <w:r w:rsidRPr="002C224A">
              <w:rPr>
                <w:sz w:val="19"/>
              </w:rPr>
              <w:t>Při prodeji pozemků bude uplatněna tržní cena nabízených pozemků. K tomuto účelu budou využity tržní odhady nemovitosti a další formy, jako např. veřejná aukce.</w:t>
            </w:r>
          </w:p>
        </w:tc>
      </w:tr>
    </w:tbl>
    <w:p w:rsidR="006D67F1" w:rsidRPr="002C224A" w:rsidRDefault="006D67F1">
      <w:pPr>
        <w:pStyle w:val="Titulek"/>
      </w:pPr>
      <w:r w:rsidRPr="002C224A">
        <w:t>Tabulka</w:t>
      </w:r>
      <w:r w:rsidR="00541B4A">
        <w:t xml:space="preserve"> </w:t>
      </w:r>
      <w:r w:rsidR="00737C66" w:rsidRPr="002C224A">
        <w:t>5</w:t>
      </w:r>
      <w:r w:rsidR="00F6076B">
        <w:t>7</w:t>
      </w:r>
      <w:r w:rsidRPr="002C224A">
        <w:t>: Soulad s veřejnou podporou jednotlivých fází FN formou rozvojové společnosti</w:t>
      </w:r>
    </w:p>
    <w:p w:rsidR="006D67F1" w:rsidRPr="00A50943" w:rsidRDefault="006D67F1" w:rsidP="001B56F4">
      <w:pPr>
        <w:rPr>
          <w:lang w:eastAsia="en-US"/>
        </w:rPr>
      </w:pPr>
    </w:p>
    <w:p w:rsidR="006D67F1" w:rsidRPr="002C224A" w:rsidRDefault="006D67F1" w:rsidP="00875E68">
      <w:pPr>
        <w:pStyle w:val="Nadpis3"/>
        <w:rPr>
          <w:rFonts w:ascii="Calibri" w:hAnsi="Calibri"/>
        </w:rPr>
      </w:pPr>
      <w:bookmarkStart w:id="841" w:name="_Toc421534294"/>
      <w:r w:rsidRPr="002C224A">
        <w:rPr>
          <w:rFonts w:ascii="Calibri" w:hAnsi="Calibri"/>
        </w:rPr>
        <w:lastRenderedPageBreak/>
        <w:t>Odhad dodatečných veřejných a soukromých zdrojů</w:t>
      </w:r>
      <w:bookmarkEnd w:id="841"/>
    </w:p>
    <w:p w:rsidR="006D67F1" w:rsidRPr="002C224A" w:rsidRDefault="006D67F1" w:rsidP="00875E68">
      <w:pPr>
        <w:pStyle w:val="Nadpis4"/>
        <w:rPr>
          <w:rFonts w:ascii="Calibri" w:hAnsi="Calibri"/>
        </w:rPr>
      </w:pPr>
      <w:r w:rsidRPr="002C224A">
        <w:rPr>
          <w:rFonts w:ascii="Calibri" w:hAnsi="Calibri"/>
        </w:rPr>
        <w:t>Spolufinancování ze soukromých zdrojů až na úroveň konečného příjemce</w:t>
      </w:r>
    </w:p>
    <w:p w:rsidR="003B6DE3" w:rsidRPr="002C224A" w:rsidRDefault="003B6DE3" w:rsidP="003B6DE3">
      <w:r w:rsidRPr="00A50943">
        <w:rPr>
          <w:b/>
        </w:rPr>
        <w:t>Nástroj ve formě zvýhodněných úvěrů</w:t>
      </w:r>
      <w:r w:rsidRPr="002C224A">
        <w:t xml:space="preserve">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3B6DE3" w:rsidRPr="002C224A" w:rsidRDefault="003B6DE3" w:rsidP="003B6DE3"/>
    <w:p w:rsidR="003B6DE3" w:rsidRPr="002C224A" w:rsidRDefault="003B6DE3" w:rsidP="003B6DE3">
      <w:r w:rsidRPr="002C224A">
        <w:t>Předpokladem využití zvýhodněných úvěrů je zachování podílu vlastních zdrojů</w:t>
      </w:r>
      <w:r w:rsidR="00031A1C">
        <w:t xml:space="preserve"> konečného</w:t>
      </w:r>
      <w:r w:rsidRPr="002C224A">
        <w:t xml:space="preserve"> příjemce, který může v závislosti na finanční strategii a potřebách podniku výrazně oscilovat. Vlastní zdroje budou využity jak na dofinancování způsobilých výdajů, tak především na podpoře nezpůsobilé výdaje projektů.</w:t>
      </w:r>
    </w:p>
    <w:p w:rsidR="003B6DE3" w:rsidRPr="002C224A" w:rsidRDefault="003B6DE3" w:rsidP="003B6DE3"/>
    <w:p w:rsidR="003B6DE3" w:rsidRPr="002C224A" w:rsidRDefault="003B6DE3" w:rsidP="003B6DE3">
      <w:r w:rsidRPr="002C224A">
        <w:t xml:space="preserve">V případě úvěrů odhadujeme na základě zkušeností ČMZRB vlastní zdroje žadatele na úrovni 10-30 % nákladů projektu. </w:t>
      </w:r>
    </w:p>
    <w:p w:rsidR="003B6DE3" w:rsidRPr="002C224A" w:rsidRDefault="003B6DE3" w:rsidP="003B6DE3"/>
    <w:p w:rsidR="003B6DE3" w:rsidRPr="002C224A" w:rsidRDefault="003B6DE3" w:rsidP="003B6DE3">
      <w:r w:rsidRPr="002C224A">
        <w:rPr>
          <w:b/>
        </w:rPr>
        <w:t xml:space="preserve">Nástroj ve formě podřízeného úvěru účelové rozvojové entitě </w:t>
      </w:r>
      <w:r w:rsidRPr="002C224A">
        <w:t>by měl umožňovat zapojení soukromých zdrojů formou komerčních úvěrů, které by entita čerpala typicky na krytí nezpůsobilých výdajů, zejména část nákladů nákupu pozemku. Alternativou by mohlo být též zapojení vlastních zdrojů správce nástroje. Zapojení soukromých zdrojů v těchto formách je navrhováno zhruba v rozmezí 30-50 % investičních výdajů.</w:t>
      </w:r>
    </w:p>
    <w:p w:rsidR="003B6DE3" w:rsidRPr="002C224A" w:rsidRDefault="003B6DE3" w:rsidP="003B6DE3">
      <w:pPr>
        <w:rPr>
          <w:b/>
        </w:rPr>
      </w:pPr>
    </w:p>
    <w:p w:rsidR="003B6DE3" w:rsidRPr="002C224A" w:rsidRDefault="003B6DE3" w:rsidP="003B6DE3">
      <w:pPr>
        <w:rPr>
          <w:b/>
        </w:rPr>
      </w:pPr>
      <w:r w:rsidRPr="002C224A">
        <w:rPr>
          <w:b/>
        </w:rPr>
        <w:t xml:space="preserve">Vlastní zdroje konečných příjemců budou zapojeny ve výši prodejní ceny připravených pozemků. Klasicky tedy až v úrovni 100 % investičních výdajů v případě optimálně provedeného projektu. </w:t>
      </w:r>
      <w:r w:rsidRPr="002C224A">
        <w:t xml:space="preserve">Nástroj nepřímo stimuluje též následné investice konečných příjemců na stavbu podnikatelských objektů. Pokud na takto vzniklých </w:t>
      </w:r>
      <w:smartTag w:uri="urn:schemas-microsoft-com:office:smarttags" w:element="metricconverter">
        <w:smartTagPr>
          <w:attr w:name="ProductID" w:val="100 ha"/>
        </w:smartTagPr>
        <w:r w:rsidRPr="002C224A">
          <w:t>100 ha</w:t>
        </w:r>
      </w:smartTag>
      <w:r w:rsidRPr="002C224A">
        <w:t xml:space="preserve"> rozvojových ploch vzniknou podnikatelské objekty, můžeme uvažovat o vzniku hal a objektů o celkové ploše cca. </w:t>
      </w:r>
      <w:smartTag w:uri="urn:schemas-microsoft-com:office:smarttags" w:element="metricconverter">
        <w:smartTagPr>
          <w:attr w:name="ProductID" w:val="300 000 m2"/>
        </w:smartTagPr>
        <w:r w:rsidRPr="002C224A">
          <w:t>300 000 m2</w:t>
        </w:r>
      </w:smartTag>
      <w:r w:rsidRPr="002C224A">
        <w:t xml:space="preserve">. </w:t>
      </w:r>
      <w:r w:rsidRPr="002C224A">
        <w:rPr>
          <w:b/>
        </w:rPr>
        <w:t>Celková částka navazujících investic (vyvolaný efekt investice) tak může být cca. 5 mld. Kč, což představuje cca 100 násobek původní investice.</w:t>
      </w:r>
    </w:p>
    <w:p w:rsidR="003B6DE3" w:rsidRPr="002C224A" w:rsidRDefault="003B6DE3" w:rsidP="003B6DE3"/>
    <w:p w:rsidR="003B6DE3" w:rsidRPr="002C224A" w:rsidRDefault="003B6DE3" w:rsidP="003B6DE3">
      <w:pPr>
        <w:pStyle w:val="Nadpis4"/>
        <w:rPr>
          <w:rFonts w:ascii="Calibri" w:hAnsi="Calibri"/>
        </w:rPr>
      </w:pPr>
      <w:r w:rsidRPr="002C224A">
        <w:rPr>
          <w:rFonts w:ascii="Calibri" w:hAnsi="Calibri"/>
        </w:rPr>
        <w:t>Identifikace klíčových subjektů</w:t>
      </w:r>
    </w:p>
    <w:p w:rsidR="003B6DE3" w:rsidRPr="00A50943" w:rsidRDefault="003B6DE3" w:rsidP="003B6DE3"/>
    <w:p w:rsidR="003B6DE3" w:rsidRPr="002C224A" w:rsidRDefault="003B6DE3" w:rsidP="003B6DE3">
      <w:r w:rsidRPr="002C224A">
        <w:t>Klíčovým soukromým subjektem pro nástroj zvýhodněných úvěrů jsou soukromé úvěrující instituce – komerční banky, které zajišťují soukromé spolufinancování. FN bude implementován skrze úvěrový fond s vybraných správcem. Konečným příjemcem jsou MSP, případně municipality.</w:t>
      </w:r>
    </w:p>
    <w:p w:rsidR="003B6DE3" w:rsidRPr="002C224A" w:rsidRDefault="003B6DE3" w:rsidP="003B6DE3"/>
    <w:p w:rsidR="003B6DE3" w:rsidRPr="002C224A" w:rsidRDefault="003B6DE3" w:rsidP="003B6DE3">
      <w:r w:rsidRPr="002C224A">
        <w:t>Klíčovým soukromým subjektem pro nástroj podřízených úvěrů jsou soukromé úvěrující instituce, které zajišťují soukromé spolufinancování projektů. Soukromým subjektem může být i správce finančního nástroje, který se může účastnit též spolufinancováním. Konečným příjemcem jsou MSP.</w:t>
      </w:r>
    </w:p>
    <w:p w:rsidR="003B6DE3" w:rsidRPr="002C224A" w:rsidRDefault="003B6DE3" w:rsidP="003B6DE3"/>
    <w:p w:rsidR="003B6DE3" w:rsidRPr="002C224A" w:rsidRDefault="003B6DE3" w:rsidP="003B6DE3">
      <w:pPr>
        <w:pStyle w:val="Nadpis4"/>
        <w:rPr>
          <w:rFonts w:ascii="Calibri" w:hAnsi="Calibri"/>
        </w:rPr>
      </w:pPr>
      <w:r w:rsidRPr="002C224A">
        <w:rPr>
          <w:rFonts w:ascii="Calibri" w:hAnsi="Calibri"/>
        </w:rPr>
        <w:t>Odhad dodatečných zdrojů, který potenciálně finanční nástroj přiláká– očekávaný pákový efekt</w:t>
      </w:r>
    </w:p>
    <w:p w:rsidR="003B6DE3" w:rsidRPr="002C224A" w:rsidRDefault="003B6DE3" w:rsidP="003B6DE3">
      <w:r w:rsidRPr="00A50943">
        <w:t xml:space="preserve">Dodatečné zdroje aktivované finančním nástrojem a tedy i výsledný pákový efekt jsou vždy závislé na konkrétním nastavení investiční strategie z hlediska požadovaného </w:t>
      </w:r>
      <w:r w:rsidRPr="002C224A">
        <w:t>soukromého spolufinancování.</w:t>
      </w:r>
    </w:p>
    <w:p w:rsidR="003B6DE3" w:rsidRPr="002C224A" w:rsidRDefault="003B6DE3" w:rsidP="003B6DE3"/>
    <w:p w:rsidR="003B6DE3" w:rsidRPr="002C224A" w:rsidRDefault="003B6DE3" w:rsidP="003B6DE3">
      <w:r w:rsidRPr="002C224A">
        <w:lastRenderedPageBreak/>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3B6DE3" w:rsidRPr="002C224A" w:rsidRDefault="003B6DE3" w:rsidP="003B6DE3">
      <w:pPr>
        <w:rPr>
          <w:b/>
        </w:rPr>
      </w:pPr>
      <w:r w:rsidRPr="002C224A">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2C224A">
        <w:rPr>
          <w:b/>
        </w:rPr>
        <w:t>nelze očekávat pákový efekt přesahující hodnotu 2 (tedy podíl FN a soukromého úvěru 1:1).</w:t>
      </w:r>
    </w:p>
    <w:p w:rsidR="003B6DE3" w:rsidRPr="002C224A" w:rsidRDefault="003B6DE3" w:rsidP="003B6DE3">
      <w:pPr>
        <w:rPr>
          <w:b/>
        </w:rPr>
      </w:pPr>
    </w:p>
    <w:p w:rsidR="003B6DE3" w:rsidRPr="002C224A" w:rsidRDefault="003B6DE3" w:rsidP="003B6DE3">
      <w:pPr>
        <w:rPr>
          <w:b/>
        </w:rPr>
      </w:pPr>
      <w:r w:rsidRPr="002C224A">
        <w:rPr>
          <w:b/>
        </w:rPr>
        <w:t>Pákový efekt nástroje podřízeného úvěru závisí na míře zapojení komerčního úvěru, případně vlastních zdrojů správce. Optimálně předpokládáme dosažení pákového efektu v úrovni 1,4-2.</w:t>
      </w:r>
    </w:p>
    <w:p w:rsidR="003B6DE3" w:rsidRPr="002C224A" w:rsidDel="002A6665" w:rsidRDefault="003B6DE3" w:rsidP="003B6DE3"/>
    <w:p w:rsidR="003B6DE3" w:rsidRPr="002C224A" w:rsidRDefault="003B6DE3" w:rsidP="003B6DE3">
      <w:pPr>
        <w:pStyle w:val="Nadpis4"/>
        <w:rPr>
          <w:rFonts w:ascii="Calibri" w:hAnsi="Calibri"/>
        </w:rPr>
      </w:pPr>
      <w:r w:rsidRPr="002C224A">
        <w:rPr>
          <w:rFonts w:ascii="Calibri" w:hAnsi="Calibri"/>
        </w:rPr>
        <w:t>Posouzení potřeby a úroveň preferenčního odměňování</w:t>
      </w:r>
    </w:p>
    <w:p w:rsidR="003B6DE3" w:rsidRPr="002C224A" w:rsidRDefault="003B6DE3" w:rsidP="003B6DE3">
      <w:r w:rsidRPr="00A50943">
        <w:t>K motivování dostatečného pákového efektu a zapojení soukromých bankovních zdrojů na</w:t>
      </w:r>
      <w:r w:rsidRPr="002C224A">
        <w:t xml:space="preserve"> podporovaných projektech navrhujeme uplatňovat v rámci zvýhodněných úvěrů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 </w:t>
      </w:r>
      <w:r w:rsidR="00323350" w:rsidRPr="002C224A">
        <w:t>Nejedná se o preferenční odměňování úvěrujících institucí, efekty nástroje by měly být plně přeneseny na konečného příjemce. Preferenční odměňování není navrhováno.</w:t>
      </w:r>
    </w:p>
    <w:p w:rsidR="003B6DE3" w:rsidRPr="002C224A" w:rsidRDefault="003B6DE3" w:rsidP="003B6DE3">
      <w:pPr>
        <w:rPr>
          <w:lang w:eastAsia="en-US"/>
        </w:rPr>
      </w:pPr>
    </w:p>
    <w:p w:rsidR="003B6DE3" w:rsidRPr="002C224A" w:rsidRDefault="00C76073" w:rsidP="003B6DE3">
      <w:pPr>
        <w:rPr>
          <w:lang w:eastAsia="en-US"/>
        </w:rPr>
      </w:pPr>
      <w:r w:rsidRPr="002C224A">
        <w:rPr>
          <w:lang w:eastAsia="en-US"/>
        </w:rPr>
        <w:t xml:space="preserve">Nástroj podřízeného úvěru počítá se zapojením seniorních komerčních úvěrů za tržních podmínek. </w:t>
      </w:r>
    </w:p>
    <w:p w:rsidR="003B6DE3" w:rsidRPr="002C224A" w:rsidRDefault="003B6DE3" w:rsidP="003B6DE3">
      <w:pPr>
        <w:rPr>
          <w:lang w:eastAsia="en-US"/>
        </w:rPr>
      </w:pPr>
    </w:p>
    <w:p w:rsidR="003B6DE3" w:rsidRPr="002C224A" w:rsidRDefault="003B6DE3" w:rsidP="003B6DE3">
      <w:pPr>
        <w:rPr>
          <w:lang w:eastAsia="en-US"/>
        </w:rPr>
      </w:pPr>
      <w:r w:rsidRPr="002C224A">
        <w:rPr>
          <w:lang w:eastAsia="en-US"/>
        </w:rPr>
        <w:t xml:space="preserve">Ani v jednom případě </w:t>
      </w:r>
      <w:r w:rsidR="00323350" w:rsidRPr="002C224A">
        <w:rPr>
          <w:lang w:eastAsia="en-US"/>
        </w:rPr>
        <w:t xml:space="preserve">nenavrhujeme </w:t>
      </w:r>
      <w:r w:rsidRPr="002C224A">
        <w:rPr>
          <w:lang w:eastAsia="en-US"/>
        </w:rPr>
        <w:t>preferenční odměňování.</w:t>
      </w:r>
    </w:p>
    <w:p w:rsidR="006D67F1" w:rsidRPr="002C224A" w:rsidRDefault="006D67F1" w:rsidP="001B56F4">
      <w:pPr>
        <w:rPr>
          <w:lang w:eastAsia="en-US"/>
        </w:rPr>
      </w:pPr>
    </w:p>
    <w:p w:rsidR="006D67F1" w:rsidRPr="002C224A" w:rsidRDefault="006D67F1" w:rsidP="002433DA">
      <w:pPr>
        <w:pStyle w:val="Nadpis2"/>
        <w:rPr>
          <w:rFonts w:ascii="Calibri" w:hAnsi="Calibri"/>
          <w:lang w:eastAsia="en-US"/>
        </w:rPr>
      </w:pPr>
      <w:bookmarkStart w:id="842" w:name="_Toc416447833"/>
      <w:bookmarkStart w:id="843" w:name="_Toc416383845"/>
      <w:bookmarkStart w:id="844" w:name="_Toc416447834"/>
      <w:bookmarkStart w:id="845" w:name="_Toc413824148"/>
      <w:bookmarkStart w:id="846" w:name="_Toc413831131"/>
      <w:bookmarkStart w:id="847" w:name="_Toc413831161"/>
      <w:bookmarkStart w:id="848" w:name="_Toc416800449"/>
      <w:bookmarkStart w:id="849" w:name="_Toc421534295"/>
      <w:bookmarkEnd w:id="842"/>
      <w:bookmarkEnd w:id="843"/>
      <w:bookmarkEnd w:id="844"/>
      <w:bookmarkEnd w:id="845"/>
      <w:bookmarkEnd w:id="846"/>
      <w:bookmarkEnd w:id="847"/>
      <w:r w:rsidRPr="002C224A">
        <w:rPr>
          <w:rFonts w:ascii="Calibri" w:hAnsi="Calibri"/>
          <w:lang w:eastAsia="en-US"/>
        </w:rPr>
        <w:t xml:space="preserve">Specifický cíl 3.1- </w:t>
      </w:r>
      <w:r w:rsidRPr="002C224A">
        <w:rPr>
          <w:rFonts w:ascii="Calibri" w:hAnsi="Calibri"/>
        </w:rPr>
        <w:t>Zvýšit podíl výroby energie z obnovitelných zdrojů na hrubé konečné spotřebě ČR</w:t>
      </w:r>
      <w:bookmarkEnd w:id="848"/>
      <w:bookmarkEnd w:id="849"/>
    </w:p>
    <w:p w:rsidR="006D67F1" w:rsidRPr="002C224A" w:rsidRDefault="006D67F1" w:rsidP="002413B6">
      <w:pPr>
        <w:pStyle w:val="Nadpis3"/>
        <w:rPr>
          <w:rFonts w:ascii="Calibri" w:hAnsi="Calibri"/>
        </w:rPr>
      </w:pPr>
      <w:bookmarkStart w:id="850" w:name="_Toc416800450"/>
      <w:bookmarkStart w:id="851" w:name="_Toc421534296"/>
      <w:r w:rsidRPr="002C224A">
        <w:rPr>
          <w:rFonts w:ascii="Calibri" w:hAnsi="Calibri"/>
        </w:rPr>
        <w:t>Zaměření cíle</w:t>
      </w:r>
      <w:bookmarkEnd w:id="850"/>
      <w:bookmarkEnd w:id="851"/>
    </w:p>
    <w:p w:rsidR="006D67F1" w:rsidRPr="00A50943" w:rsidRDefault="006D67F1" w:rsidP="00EE0F25">
      <w:pPr>
        <w:pStyle w:val="Neslovannadpisy"/>
      </w:pPr>
      <w:r w:rsidRPr="00A50943">
        <w:t>Podporované aktivity:</w:t>
      </w:r>
    </w:p>
    <w:p w:rsidR="006D67F1" w:rsidRPr="002C224A" w:rsidRDefault="006D67F1" w:rsidP="002433DA">
      <w:pPr>
        <w:pStyle w:val="Odstavecseseznamem1"/>
        <w:numPr>
          <w:ilvl w:val="0"/>
          <w:numId w:val="9"/>
        </w:numPr>
      </w:pPr>
      <w:r w:rsidRPr="002C224A">
        <w:t>Výstavba nových a rekonstrukce / modernizace stávajících výroben elektřiny a tepla z OZE s tím, že vyrobená energie bude určena primárně pro distribuci, nikoli vlastní spotřebu; zejména se bude jednat o:</w:t>
      </w:r>
    </w:p>
    <w:p w:rsidR="006D67F1" w:rsidRPr="002C224A" w:rsidRDefault="006D67F1" w:rsidP="002433DA">
      <w:pPr>
        <w:pStyle w:val="Odstavecseseznamem1"/>
        <w:numPr>
          <w:ilvl w:val="1"/>
          <w:numId w:val="9"/>
        </w:numPr>
      </w:pPr>
      <w:r w:rsidRPr="002C224A">
        <w:t>podporu výstavby a rekonstrukce / modernizace malých vodních elektráren (do 10 MWe instalovaného výkonu),</w:t>
      </w:r>
    </w:p>
    <w:p w:rsidR="006D67F1" w:rsidRPr="002C224A" w:rsidRDefault="006D67F1" w:rsidP="002433DA">
      <w:pPr>
        <w:pStyle w:val="Odstavecseseznamem1"/>
        <w:numPr>
          <w:ilvl w:val="1"/>
          <w:numId w:val="9"/>
        </w:numPr>
      </w:pPr>
      <w:r w:rsidRPr="002C224A">
        <w:t xml:space="preserve">o vyvedení tepla ze stávajících bioplynových stanic pomocí tepelných rozvodných zařízení do místa spotřeby, </w:t>
      </w:r>
    </w:p>
    <w:p w:rsidR="006D67F1" w:rsidRPr="002C224A" w:rsidRDefault="006D67F1" w:rsidP="002433DA">
      <w:pPr>
        <w:pStyle w:val="Odstavecseseznamem1"/>
        <w:numPr>
          <w:ilvl w:val="1"/>
          <w:numId w:val="9"/>
        </w:numPr>
      </w:pPr>
      <w:r w:rsidRPr="002C224A">
        <w:t>instalace vzdálené kogenerační jednotky využívající bioplyn ze stávající bioplynové stanice za účelem využití užitečného tepla v soustavě zásobování teplem či jiným vysoce efektivním způsobem,</w:t>
      </w:r>
    </w:p>
    <w:p w:rsidR="006D67F1" w:rsidRPr="002C224A" w:rsidRDefault="006D67F1" w:rsidP="002433DA">
      <w:pPr>
        <w:pStyle w:val="Odstavecseseznamem1"/>
        <w:numPr>
          <w:ilvl w:val="1"/>
          <w:numId w:val="9"/>
        </w:numPr>
      </w:pPr>
      <w:r w:rsidRPr="002C224A">
        <w:t>o výstavbu a rekonstrukci zdrojů tepla a kombinované výroby elektřiny a tepla z biomasy a vyvedení tepla.</w:t>
      </w:r>
    </w:p>
    <w:p w:rsidR="006D67F1" w:rsidRPr="002C224A" w:rsidRDefault="006D67F1" w:rsidP="00DF6E0B">
      <w:pPr>
        <w:pStyle w:val="Neslovannadpisy"/>
        <w:ind w:left="720"/>
      </w:pPr>
    </w:p>
    <w:p w:rsidR="006D67F1" w:rsidRPr="002C224A" w:rsidRDefault="006D67F1" w:rsidP="00DF6E0B">
      <w:pPr>
        <w:pStyle w:val="Neslovannadpisy"/>
      </w:pPr>
      <w:r w:rsidRPr="002C224A">
        <w:t xml:space="preserve">Hlavní cílová skupina: </w:t>
      </w:r>
    </w:p>
    <w:p w:rsidR="006D67F1" w:rsidRPr="002C224A" w:rsidRDefault="006D67F1" w:rsidP="00DF6E0B">
      <w:r w:rsidRPr="002C224A">
        <w:t>Podnikatelské subjekty (malé, střední a případně velké podniky)</w:t>
      </w:r>
    </w:p>
    <w:p w:rsidR="006D67F1" w:rsidRPr="002C224A" w:rsidRDefault="006D67F1" w:rsidP="00DF6E0B">
      <w:pPr>
        <w:pStyle w:val="Neslovannadpisy"/>
      </w:pPr>
    </w:p>
    <w:p w:rsidR="006D67F1" w:rsidRPr="002C224A" w:rsidRDefault="006D67F1" w:rsidP="00DF6E0B">
      <w:pPr>
        <w:pStyle w:val="Neslovannadpisy"/>
      </w:pPr>
      <w:r w:rsidRPr="002C224A">
        <w:t>Cílové území:</w:t>
      </w:r>
    </w:p>
    <w:p w:rsidR="006D67F1" w:rsidRPr="002C224A" w:rsidRDefault="006D67F1" w:rsidP="00DF6E0B">
      <w:r w:rsidRPr="002C224A">
        <w:lastRenderedPageBreak/>
        <w:t>Všechny regiony v ČR kromě hl. m. Prahy</w:t>
      </w:r>
    </w:p>
    <w:p w:rsidR="006D67F1" w:rsidRPr="002C224A" w:rsidRDefault="006D67F1" w:rsidP="00DF6E0B"/>
    <w:p w:rsidR="006D67F1" w:rsidRPr="002C224A" w:rsidRDefault="006D67F1">
      <w:pPr>
        <w:pStyle w:val="Neslovannadpisy"/>
      </w:pPr>
      <w:r w:rsidRPr="002C224A">
        <w:t>Výběr aktivit k posouzení vhodnosti finančního nástroje</w:t>
      </w:r>
    </w:p>
    <w:p w:rsidR="006D67F1" w:rsidRPr="002C224A" w:rsidRDefault="006D67F1" w:rsidP="00DF6E0B">
      <w:r w:rsidRPr="002C224A">
        <w:t>K předběžnému posouzení byly vybrány všechny podporované aktivity cíle SC 3.1. Podporované projekty svým investičním a ziskovým charakterem tvoří potenciálně vhodnou oblast pro návratnou formu podpory.</w:t>
      </w:r>
    </w:p>
    <w:p w:rsidR="006D67F1" w:rsidRPr="002C224A" w:rsidRDefault="006D67F1" w:rsidP="00DF6E0B"/>
    <w:p w:rsidR="006D67F1" w:rsidRPr="002C224A" w:rsidRDefault="006D67F1" w:rsidP="002433DA">
      <w:pPr>
        <w:pStyle w:val="Nadpis3"/>
        <w:rPr>
          <w:rFonts w:ascii="Calibri" w:hAnsi="Calibri"/>
        </w:rPr>
      </w:pPr>
      <w:bookmarkStart w:id="852" w:name="_Toc421534297"/>
      <w:r w:rsidRPr="002C224A">
        <w:rPr>
          <w:rFonts w:ascii="Calibri" w:hAnsi="Calibri"/>
        </w:rPr>
        <w:t>Analýza selhání trhu</w:t>
      </w:r>
      <w:bookmarkEnd w:id="852"/>
    </w:p>
    <w:p w:rsidR="006D67F1" w:rsidRPr="002C224A" w:rsidRDefault="006D67F1" w:rsidP="00283266">
      <w:pPr>
        <w:pStyle w:val="Nadpis4"/>
        <w:rPr>
          <w:rFonts w:ascii="Calibri" w:hAnsi="Calibri"/>
        </w:rPr>
      </w:pPr>
      <w:r w:rsidRPr="002C224A">
        <w:rPr>
          <w:rFonts w:ascii="Calibri" w:hAnsi="Calibri"/>
        </w:rPr>
        <w:t>Tržní analýza</w:t>
      </w:r>
    </w:p>
    <w:p w:rsidR="006D67F1" w:rsidRPr="00A50943" w:rsidRDefault="006D67F1" w:rsidP="006F771D"/>
    <w:p w:rsidR="006D67F1" w:rsidRPr="002C224A" w:rsidRDefault="006D67F1" w:rsidP="00EE0F25">
      <w:r w:rsidRPr="002C224A">
        <w:t>Dle tržních statistik se podíl výroby elektřiny z OZE na hrubé domácí spotřebě v ČR se v roce 2013 zvýšil na 14,53 %. Existující závazek ČR vůči EU ukládá dosáhnout do roku 2020 13%podílu, z čehož vyplývá, že byl cíl splněn se sedmiletým předstihem. Spotřeba energií v ČR každoročně klesá, což napomáhá růstu podílu spotřeby elektřiny vyrobené z OZE.</w:t>
      </w:r>
      <w:r w:rsidRPr="002C224A">
        <w:rPr>
          <w:rStyle w:val="Znakapoznpodarou"/>
          <w:rFonts w:ascii="Calibri" w:hAnsi="Calibri"/>
        </w:rPr>
        <w:footnoteReference w:id="32"/>
      </w:r>
      <w:r w:rsidRPr="00A50943">
        <w:t xml:space="preserve"> S ohledem na další přijaté závazky EU v roce 2014 (cíle do roku 2030, celoevropský cíl 27 % vyrobené energie z OZE</w:t>
      </w:r>
      <w:r w:rsidRPr="002C224A">
        <w:rPr>
          <w:rStyle w:val="Znakapoznpodarou"/>
          <w:rFonts w:ascii="Calibri" w:hAnsi="Calibri"/>
        </w:rPr>
        <w:footnoteReference w:id="33"/>
      </w:r>
      <w:r w:rsidRPr="00A50943">
        <w:t>) bude i nadále evoluční a udržitelný růst produkce energie z OZE jedním z cílů ČR. Po překotném vývoji zejména v oblasti solární en</w:t>
      </w:r>
      <w:r w:rsidRPr="002C224A">
        <w:t>ergie v minulých letech je spatřován potenciál především v oblasti malých vodních elektráren (MVE), biomasy a bioplynových stanic (BPS), obecně v zefektivňování stávajících zařízení.</w:t>
      </w:r>
    </w:p>
    <w:p w:rsidR="006D67F1" w:rsidRPr="002C224A" w:rsidRDefault="006D67F1" w:rsidP="00EE0F25"/>
    <w:p w:rsidR="00994315" w:rsidRPr="00A50943" w:rsidRDefault="006D67F1" w:rsidP="00994315">
      <w:pPr>
        <w:rPr>
          <w:b/>
        </w:rPr>
      </w:pPr>
      <w:r w:rsidRPr="002C224A">
        <w:t xml:space="preserve">Prostor pro výstavbu velkých vodních elektráren v ČR byl vyčerpán a jejich další výstavba představuje velký zásah do životního prostředí, proto jsou podporovány malé vodní elektrárny (MVE), pro které stále existuji vhodné lokality. Největší prostor pro zvýšení instalovaného výkonu MVE představuje rekonstrukce stávajících zařízení. </w:t>
      </w:r>
      <w:r w:rsidRPr="002C224A">
        <w:rPr>
          <w:b/>
        </w:rPr>
        <w:t>V prvním kvartálu 2014 bylo evidováno 1 572 MVE s celkovým výkonem 348 MW.</w:t>
      </w:r>
      <w:r w:rsidR="00994315" w:rsidRPr="002C224A">
        <w:rPr>
          <w:b/>
        </w:rPr>
        <w:t xml:space="preserve"> V roce 2013 vyrobily MVE celkem 1090 GWh, do roku 2020 se předpokládá dle analýz MPO nárůst na 1420 GWh</w:t>
      </w:r>
      <w:r w:rsidR="00994315" w:rsidRPr="002C224A">
        <w:rPr>
          <w:rStyle w:val="Znakapoznpodarou"/>
          <w:rFonts w:ascii="Calibri" w:hAnsi="Calibri"/>
          <w:b/>
        </w:rPr>
        <w:footnoteReference w:id="34"/>
      </w:r>
      <w:r w:rsidR="00994315" w:rsidRPr="00A50943">
        <w:rPr>
          <w:b/>
        </w:rPr>
        <w:t>.</w:t>
      </w:r>
    </w:p>
    <w:p w:rsidR="006D67F1" w:rsidRPr="002C224A" w:rsidRDefault="006D67F1" w:rsidP="00EE0F25"/>
    <w:p w:rsidR="006D67F1" w:rsidRPr="002C224A" w:rsidRDefault="006D67F1" w:rsidP="00EE0F25">
      <w:r w:rsidRPr="002C224A">
        <w:t xml:space="preserve">Druhým podporovaným okruhem SC 3.1 bude využití tepla z bioplynových stanic (BPS). </w:t>
      </w:r>
      <w:r w:rsidRPr="002C224A">
        <w:rPr>
          <w:b/>
        </w:rPr>
        <w:t>V rámci OP PIK nebude podporována stavba nových BPS, nýbrž primárně úprava k využití tepla u stávajících</w:t>
      </w:r>
      <w:r w:rsidRPr="002C224A">
        <w:t>.</w:t>
      </w:r>
      <w:r w:rsidR="008D0A65" w:rsidRPr="002C224A">
        <w:t xml:space="preserve"> </w:t>
      </w:r>
      <w:r w:rsidRPr="002C224A">
        <w:t>Mnoho bioplynových stanic (BPS) nyní nevhodným legislativním nastavením slouží pouze ke generování zisku z prodeje dotované elektřiny. Dochází k plýtvání vyrobeným teplem a nevyužívá se energetický potenciál často náročně pěstované biomasy. Podíl bioplynu na celkové výrobě elektřiny v roce 2013 byl 2,6 % a podíl BPS na výrobě elektřiny z OZE dosahuje až 22,1 %.</w:t>
      </w:r>
      <w:r w:rsidRPr="002C224A">
        <w:rPr>
          <w:rStyle w:val="Znakapoznpodarou"/>
          <w:rFonts w:ascii="Calibri" w:hAnsi="Calibri"/>
        </w:rPr>
        <w:footnoteReference w:id="35"/>
      </w:r>
      <w:r w:rsidRPr="00A50943">
        <w:rPr>
          <w:b/>
        </w:rPr>
        <w:t>Výroba elektřiny z BPS v roc</w:t>
      </w:r>
      <w:r w:rsidRPr="002C224A">
        <w:rPr>
          <w:b/>
        </w:rPr>
        <w:t>e 2013 vzrostla o 47 %</w:t>
      </w:r>
      <w:r w:rsidRPr="002C224A">
        <w:t>.</w:t>
      </w:r>
      <w:r w:rsidRPr="002C224A">
        <w:rPr>
          <w:rStyle w:val="Znakapoznpodarou"/>
          <w:rFonts w:ascii="Calibri" w:hAnsi="Calibri"/>
        </w:rPr>
        <w:footnoteReference w:id="36"/>
      </w:r>
      <w:r w:rsidRPr="00A50943">
        <w:rPr>
          <w:b/>
        </w:rPr>
        <w:t>Počet BPS k 31. 12. 2013 byl 487</w:t>
      </w:r>
      <w:r w:rsidRPr="002C224A">
        <w:t xml:space="preserve"> s celkovou produkcí 2 243 GWh (+ 837 GWh oproti 2012).  Plán do roku 2020 počítá s výrobou elektřiny na úrovni 3 000 GWh ročně, což bude s největší pravděpodobností překročeno, a očekávaná produkce tepla z BPS je 8500 TJ. </w:t>
      </w:r>
      <w:r w:rsidRPr="002C224A">
        <w:rPr>
          <w:b/>
        </w:rPr>
        <w:t>BPS jsou lokalizovány v místech, kde není možné nalézt efektivní využití pro veškeré teplo</w:t>
      </w:r>
      <w:r w:rsidRPr="002C224A">
        <w:t xml:space="preserve">. </w:t>
      </w:r>
      <w:r w:rsidRPr="002C224A">
        <w:rPr>
          <w:b/>
        </w:rPr>
        <w:t>Dochází k nespotřebování až třetiny energie z</w:t>
      </w:r>
      <w:r w:rsidR="00053EA4" w:rsidRPr="002C224A">
        <w:rPr>
          <w:b/>
        </w:rPr>
        <w:t> </w:t>
      </w:r>
      <w:r w:rsidRPr="002C224A">
        <w:rPr>
          <w:b/>
        </w:rPr>
        <w:t>bioplynu</w:t>
      </w:r>
      <w:r w:rsidR="00053EA4" w:rsidRPr="002C224A">
        <w:rPr>
          <w:b/>
        </w:rPr>
        <w:t xml:space="preserve"> </w:t>
      </w:r>
      <w:r w:rsidRPr="002C224A">
        <w:rPr>
          <w:b/>
        </w:rPr>
        <w:t>(převážně tepla)</w:t>
      </w:r>
      <w:r w:rsidRPr="002C224A">
        <w:t xml:space="preserve"> a to z důvodu, že vstupní suroviny pro BPS jsou pěstovány na orné půdě odloučené od větších odběrných míst. Zamezení těmto únikům by proporčně snížilo nutný zábor orné půdy pro technické plodiny. Způsobem, jak zvýšit množství vyráběné elektřiny je zavedení kogenerační jednotky (KJ) přímo do stanice. Bez KJ by byla efektivita využití BPS pouze třetinová (cca 35 %).</w:t>
      </w:r>
    </w:p>
    <w:p w:rsidR="006D67F1" w:rsidRPr="002C224A" w:rsidRDefault="006D67F1" w:rsidP="00EE0F25"/>
    <w:p w:rsidR="006D67F1" w:rsidRPr="00A50943" w:rsidRDefault="007A3F34" w:rsidP="00272B8D">
      <w:pPr>
        <w:keepNext/>
      </w:pPr>
      <w:r w:rsidRPr="00A50943">
        <w:rPr>
          <w:noProof/>
        </w:rPr>
        <w:lastRenderedPageBreak/>
        <w:drawing>
          <wp:inline distT="0" distB="0" distL="0" distR="0" wp14:anchorId="7A8CBAF7" wp14:editId="03ED80CF">
            <wp:extent cx="3314700" cy="1562100"/>
            <wp:effectExtent l="0" t="0" r="0" b="0"/>
            <wp:docPr id="5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1562100"/>
                    </a:xfrm>
                    <a:prstGeom prst="rect">
                      <a:avLst/>
                    </a:prstGeom>
                    <a:noFill/>
                    <a:ln>
                      <a:noFill/>
                    </a:ln>
                  </pic:spPr>
                </pic:pic>
              </a:graphicData>
            </a:graphic>
          </wp:inline>
        </w:drawing>
      </w:r>
    </w:p>
    <w:p w:rsidR="006D67F1" w:rsidRPr="002C224A" w:rsidRDefault="006D67F1" w:rsidP="00272B8D">
      <w:pPr>
        <w:pStyle w:val="Titulek"/>
      </w:pPr>
      <w:r w:rsidRPr="002C224A">
        <w:t>Obrázek</w:t>
      </w:r>
      <w:r w:rsidR="00646277">
        <w:t xml:space="preserve"> 26</w:t>
      </w:r>
      <w:r w:rsidRPr="002C224A">
        <w:t>: zavedení kogenerační jednotky do BPS</w:t>
      </w:r>
    </w:p>
    <w:p w:rsidR="006D67F1" w:rsidRPr="002C224A" w:rsidRDefault="006D67F1" w:rsidP="00272B8D">
      <w:pPr>
        <w:pStyle w:val="Titulek"/>
      </w:pPr>
      <w:r w:rsidRPr="002C224A">
        <w:t>Zdroj: Česká bioplynová asociace</w:t>
      </w:r>
    </w:p>
    <w:p w:rsidR="006D67F1" w:rsidRPr="00A50943" w:rsidRDefault="006D67F1" w:rsidP="00EE0F25"/>
    <w:p w:rsidR="006D67F1" w:rsidRPr="002C224A" w:rsidRDefault="006D67F1" w:rsidP="00272B8D">
      <w:r w:rsidRPr="002C224A">
        <w:t xml:space="preserve">Druhou možností je vyvedení tepla teplovodem z kogenerační jednotky do sousedící obytné zóny nebo průmyslového areálu, který ale musí ležet v okruhu </w:t>
      </w:r>
      <w:smartTag w:uri="urn:schemas-microsoft-com:office:smarttags" w:element="metricconverter">
        <w:smartTagPr>
          <w:attr w:name="ProductID" w:val="1 km"/>
        </w:smartTagPr>
        <w:r w:rsidRPr="002C224A">
          <w:t>1 km</w:t>
        </w:r>
      </w:smartTag>
      <w:r w:rsidRPr="002C224A">
        <w:t>. Při větší vzdálenosti je dodávka tepla problematická kvůli vysokým investičním i provozním nákladům.</w:t>
      </w:r>
      <w:r w:rsidR="00053EA4" w:rsidRPr="002C224A">
        <w:t xml:space="preserve"> </w:t>
      </w:r>
      <w:r w:rsidRPr="002C224A">
        <w:t>Obě řešení zvýšení čisté energetické účinnosti BPS vyhovují zaměření podporovaných aktivit oblasti podpory SC 3.1.</w:t>
      </w:r>
    </w:p>
    <w:p w:rsidR="006D67F1" w:rsidRPr="002C224A" w:rsidRDefault="006D67F1" w:rsidP="00272B8D"/>
    <w:p w:rsidR="006D67F1" w:rsidRPr="002C224A" w:rsidRDefault="006D67F1" w:rsidP="00272B8D">
      <w:r w:rsidRPr="002C224A">
        <w:t>Ne všechny BPS jsou vhodné pro zavádění kogenerace a lokální vyvádění tepla. V mnoha případech neexistuje v okolí žádný vhodný odběratel. Výčet vytipovaných vhodných objektů je ke zhlédnutí v tabulce 12, která ohraničuje pravděpodobnou absorpční kapacitu v této oblasti.</w:t>
      </w:r>
    </w:p>
    <w:p w:rsidR="006D67F1" w:rsidRPr="002C224A" w:rsidRDefault="006D67F1" w:rsidP="00272B8D"/>
    <w:p w:rsidR="006D67F1" w:rsidRPr="00A50943" w:rsidRDefault="007A3F34">
      <w:pPr>
        <w:keepNext/>
      </w:pPr>
      <w:r w:rsidRPr="00A50943">
        <w:rPr>
          <w:noProof/>
        </w:rPr>
        <w:drawing>
          <wp:inline distT="0" distB="0" distL="0" distR="0" wp14:anchorId="4973280A" wp14:editId="61D3F33A">
            <wp:extent cx="4648200" cy="2647950"/>
            <wp:effectExtent l="0" t="0" r="0" b="0"/>
            <wp:docPr id="56"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37">
                      <a:extLst>
                        <a:ext uri="{28A0092B-C50C-407E-A947-70E740481C1C}">
                          <a14:useLocalDpi xmlns:a14="http://schemas.microsoft.com/office/drawing/2010/main" val="0"/>
                        </a:ext>
                      </a:extLst>
                    </a:blip>
                    <a:srcRect l="17125" t="45059" r="27625" b="16263"/>
                    <a:stretch>
                      <a:fillRect/>
                    </a:stretch>
                  </pic:blipFill>
                  <pic:spPr bwMode="auto">
                    <a:xfrm>
                      <a:off x="0" y="0"/>
                      <a:ext cx="4648200" cy="2647950"/>
                    </a:xfrm>
                    <a:prstGeom prst="rect">
                      <a:avLst/>
                    </a:prstGeom>
                    <a:noFill/>
                    <a:ln>
                      <a:noFill/>
                    </a:ln>
                  </pic:spPr>
                </pic:pic>
              </a:graphicData>
            </a:graphic>
          </wp:inline>
        </w:drawing>
      </w:r>
    </w:p>
    <w:p w:rsidR="006D67F1" w:rsidRPr="002C224A" w:rsidRDefault="006D67F1" w:rsidP="009E2316">
      <w:pPr>
        <w:pStyle w:val="Titulek"/>
      </w:pPr>
      <w:r w:rsidRPr="002C224A">
        <w:t xml:space="preserve">Tabulka </w:t>
      </w:r>
      <w:r w:rsidR="00737C66" w:rsidRPr="002C224A">
        <w:t>5</w:t>
      </w:r>
      <w:r w:rsidR="00F6076B">
        <w:t>8</w:t>
      </w:r>
      <w:r w:rsidRPr="002C224A">
        <w:t xml:space="preserve">: Možnosti využití tepla / vzdálené kogenerace na stávajících bioplynových stanicích z hlediska jednotlivých krajů ČR </w:t>
      </w:r>
    </w:p>
    <w:p w:rsidR="006D67F1" w:rsidRPr="002C224A" w:rsidRDefault="006D67F1" w:rsidP="009E2316">
      <w:pPr>
        <w:pStyle w:val="Titulek"/>
      </w:pPr>
      <w:r w:rsidRPr="002C224A">
        <w:t>Zdroj: MPO, OP PIK</w:t>
      </w:r>
    </w:p>
    <w:p w:rsidR="006D67F1" w:rsidRPr="002C224A" w:rsidRDefault="006D67F1" w:rsidP="009E2316">
      <w:pPr>
        <w:pStyle w:val="Titulek"/>
      </w:pPr>
    </w:p>
    <w:p w:rsidR="006D67F1" w:rsidRPr="00A50943" w:rsidRDefault="006D67F1" w:rsidP="00554FD3">
      <w:pPr>
        <w:pStyle w:val="Neslovannadpisy"/>
        <w:rPr>
          <w:lang w:eastAsia="en-US"/>
        </w:rPr>
      </w:pPr>
      <w:r w:rsidRPr="00A50943">
        <w:rPr>
          <w:lang w:eastAsia="en-US"/>
        </w:rPr>
        <w:t>Zdroje financování</w:t>
      </w:r>
    </w:p>
    <w:p w:rsidR="006D67F1" w:rsidRPr="002C224A" w:rsidRDefault="006D67F1">
      <w:pPr>
        <w:rPr>
          <w:b/>
          <w:lang w:eastAsia="en-US"/>
        </w:rPr>
      </w:pPr>
      <w:r w:rsidRPr="00A50943">
        <w:rPr>
          <w:b/>
          <w:lang w:eastAsia="en-US"/>
        </w:rPr>
        <w:t>Investice do OZE jsou z velké části financované úvěrem</w:t>
      </w:r>
      <w:r w:rsidRPr="002C224A">
        <w:rPr>
          <w:b/>
          <w:lang w:eastAsia="en-US"/>
        </w:rPr>
        <w:t xml:space="preserve"> od komerčních bank, typicky ve formě projektového financování</w:t>
      </w:r>
      <w:r w:rsidRPr="002C224A">
        <w:rPr>
          <w:lang w:eastAsia="en-US"/>
        </w:rPr>
        <w:t xml:space="preserve">. Legislativní zvýhodnění provozní podporou a garantovaným odkupem elektřiny z MVE, BPS a biomasy redukuje do značné míry odbytová rizika a tím částečně zvýhodňuje též přístup k financování. Velké banky nabízejí na energetické </w:t>
      </w:r>
      <w:r w:rsidR="00E86567" w:rsidRPr="002C224A">
        <w:rPr>
          <w:lang w:eastAsia="en-US"/>
        </w:rPr>
        <w:t xml:space="preserve">projekty </w:t>
      </w:r>
      <w:r w:rsidRPr="002C224A">
        <w:rPr>
          <w:lang w:eastAsia="en-US"/>
        </w:rPr>
        <w:t>specializované produkty a expertízu. Nabízené úvěry byly z velké části kombinované také s dotační podporou.</w:t>
      </w:r>
    </w:p>
    <w:p w:rsidR="006D67F1" w:rsidRPr="002C224A" w:rsidRDefault="006D67F1">
      <w:pPr>
        <w:rPr>
          <w:b/>
          <w:lang w:eastAsia="en-US"/>
        </w:rPr>
      </w:pPr>
    </w:p>
    <w:p w:rsidR="006D67F1" w:rsidRPr="002C224A" w:rsidRDefault="006D67F1">
      <w:pPr>
        <w:rPr>
          <w:lang w:eastAsia="en-US"/>
        </w:rPr>
      </w:pPr>
      <w:r w:rsidRPr="002C224A">
        <w:rPr>
          <w:b/>
          <w:lang w:eastAsia="en-US"/>
        </w:rPr>
        <w:t>Veřejná podpora ve formě dotací znamenala významný zdroj financování projektů OZE v minulém období.</w:t>
      </w:r>
      <w:r w:rsidR="00123389" w:rsidRPr="002C224A">
        <w:rPr>
          <w:b/>
          <w:lang w:eastAsia="en-US"/>
        </w:rPr>
        <w:t xml:space="preserve"> </w:t>
      </w:r>
      <w:r w:rsidRPr="002C224A">
        <w:rPr>
          <w:lang w:eastAsia="en-US"/>
        </w:rPr>
        <w:t>Pro projekty OP PIK je nejrelevantnější analogický program podpory v OP PI EKO</w:t>
      </w:r>
      <w:r w:rsidR="006663C9" w:rsidRPr="002C224A">
        <w:rPr>
          <w:lang w:eastAsia="en-US"/>
        </w:rPr>
        <w:t>-</w:t>
      </w:r>
      <w:r w:rsidRPr="002C224A">
        <w:rPr>
          <w:lang w:eastAsia="en-US"/>
        </w:rPr>
        <w:t>ENERGIE, z něhož bylo podpořeno několik MVE. Aktivita vyvádění tepla z BPS v OP PI nebyla podporována.</w:t>
      </w:r>
    </w:p>
    <w:p w:rsidR="00BB5A41" w:rsidRPr="002C224A" w:rsidRDefault="00BB5A41">
      <w:pPr>
        <w:rPr>
          <w:lang w:eastAsia="en-US"/>
        </w:rPr>
      </w:pPr>
    </w:p>
    <w:p w:rsidR="00C7203D" w:rsidRPr="002C224A" w:rsidRDefault="00C7203D">
      <w:pPr>
        <w:rPr>
          <w:lang w:eastAsia="en-US"/>
        </w:rPr>
      </w:pPr>
    </w:p>
    <w:p w:rsidR="00BB5A41" w:rsidRPr="002C224A" w:rsidRDefault="00C7203D" w:rsidP="00B86BF2">
      <w:pPr>
        <w:rPr>
          <w:lang w:eastAsia="en-US"/>
        </w:rPr>
      </w:pPr>
      <w:r w:rsidRPr="002C224A">
        <w:rPr>
          <w:lang w:eastAsia="en-US"/>
        </w:rPr>
        <w:t xml:space="preserve">V rámci </w:t>
      </w:r>
      <w:r w:rsidR="00C354C6" w:rsidRPr="002C224A">
        <w:rPr>
          <w:lang w:eastAsia="en-US"/>
        </w:rPr>
        <w:t xml:space="preserve">III. výzvy </w:t>
      </w:r>
      <w:r w:rsidR="00BB5A41" w:rsidRPr="002C224A">
        <w:rPr>
          <w:lang w:eastAsia="en-US"/>
        </w:rPr>
        <w:t>bylo schváleno podle informací CZECHINVEST v rámci III. výzvy – prodloužené přijato</w:t>
      </w:r>
      <w:r w:rsidR="00C354C6" w:rsidRPr="002C224A">
        <w:rPr>
          <w:lang w:eastAsia="en-US"/>
        </w:rPr>
        <w:t xml:space="preserve"> </w:t>
      </w:r>
      <w:r w:rsidR="00BB5A41" w:rsidRPr="002C224A">
        <w:rPr>
          <w:lang w:eastAsia="en-US"/>
        </w:rPr>
        <w:t>69 způsobilých projektů MVE. Schválené projekty nemohly mít IRR vyšší než 20</w:t>
      </w:r>
      <w:r w:rsidR="00C354C6" w:rsidRPr="002C224A">
        <w:rPr>
          <w:lang w:eastAsia="en-US"/>
        </w:rPr>
        <w:t> </w:t>
      </w:r>
      <w:r w:rsidR="00BB5A41" w:rsidRPr="002C224A">
        <w:rPr>
          <w:lang w:eastAsia="en-US"/>
        </w:rPr>
        <w:t>%.</w:t>
      </w:r>
    </w:p>
    <w:p w:rsidR="00C354C6" w:rsidRPr="002C224A" w:rsidRDefault="00C354C6" w:rsidP="00C354C6">
      <w:pPr>
        <w:pStyle w:val="Odstavecseseznamem1"/>
        <w:numPr>
          <w:ilvl w:val="0"/>
          <w:numId w:val="9"/>
        </w:numPr>
        <w:rPr>
          <w:lang w:eastAsia="en-US"/>
        </w:rPr>
      </w:pPr>
      <w:r w:rsidRPr="002C224A">
        <w:rPr>
          <w:lang w:eastAsia="en-US"/>
        </w:rPr>
        <w:t>Průměrná hodnota IRR je u těchto schválených projektů ve výši 9,43%,</w:t>
      </w:r>
    </w:p>
    <w:p w:rsidR="00C354C6" w:rsidRPr="002C224A" w:rsidRDefault="00C354C6" w:rsidP="00C354C6">
      <w:pPr>
        <w:pStyle w:val="Odstavecseseznamem1"/>
        <w:numPr>
          <w:ilvl w:val="0"/>
          <w:numId w:val="9"/>
        </w:numPr>
        <w:rPr>
          <w:lang w:eastAsia="en-US"/>
        </w:rPr>
      </w:pPr>
      <w:r w:rsidRPr="002C224A">
        <w:rPr>
          <w:lang w:eastAsia="en-US"/>
        </w:rPr>
        <w:t>Maximální hodnota IRR je u těchto schválených projektů ve výši cca 18,43 %,</w:t>
      </w:r>
    </w:p>
    <w:p w:rsidR="00C354C6" w:rsidRPr="002C224A" w:rsidRDefault="00C354C6" w:rsidP="00C354C6">
      <w:pPr>
        <w:pStyle w:val="Odstavecseseznamem1"/>
        <w:numPr>
          <w:ilvl w:val="0"/>
          <w:numId w:val="9"/>
        </w:numPr>
        <w:rPr>
          <w:lang w:eastAsia="en-US"/>
        </w:rPr>
      </w:pPr>
      <w:r w:rsidRPr="002C224A">
        <w:rPr>
          <w:lang w:eastAsia="en-US"/>
        </w:rPr>
        <w:t>Minimální hodnota IRR je u těchto schválených projektů ve výši cca 3,01 %,</w:t>
      </w:r>
    </w:p>
    <w:p w:rsidR="00C354C6" w:rsidRPr="002C224A" w:rsidRDefault="00C354C6" w:rsidP="00C354C6">
      <w:pPr>
        <w:pStyle w:val="Odstavecseseznamem1"/>
        <w:numPr>
          <w:ilvl w:val="0"/>
          <w:numId w:val="9"/>
        </w:numPr>
        <w:rPr>
          <w:lang w:eastAsia="en-US"/>
        </w:rPr>
      </w:pPr>
      <w:r w:rsidRPr="002C224A">
        <w:rPr>
          <w:lang w:eastAsia="en-US"/>
        </w:rPr>
        <w:t>Medián IRR je u těchto schválených projektů ve výši 9,52 %.</w:t>
      </w:r>
    </w:p>
    <w:p w:rsidR="00C354C6" w:rsidRPr="002C224A" w:rsidRDefault="00C354C6" w:rsidP="00C354C6">
      <w:pPr>
        <w:rPr>
          <w:lang w:eastAsia="en-US"/>
        </w:rPr>
      </w:pPr>
    </w:p>
    <w:p w:rsidR="00C354C6" w:rsidRPr="002C224A" w:rsidRDefault="00C354C6" w:rsidP="00C354C6">
      <w:pPr>
        <w:rPr>
          <w:lang w:eastAsia="en-US"/>
        </w:rPr>
      </w:pPr>
      <w:r w:rsidRPr="002C224A">
        <w:rPr>
          <w:lang w:eastAsia="en-US"/>
        </w:rPr>
        <w:t>V rámci III. výzvy - prodloužené bylo dle statistik CZECHINVEST podpořeno 48 projektů MVE s celkovými způsobilými výdaji zhruba 1,2 mld. Kč a 42 projektů KVET z OZE se způsobilými výdaji 3 mld. Kč.</w:t>
      </w:r>
    </w:p>
    <w:p w:rsidR="006D67F1" w:rsidRPr="002C224A" w:rsidRDefault="006D67F1" w:rsidP="00E4726C">
      <w:pPr>
        <w:pStyle w:val="BodyText1"/>
        <w:jc w:val="both"/>
        <w:rPr>
          <w:rFonts w:ascii="Calibri" w:hAnsi="Calibri"/>
          <w:b/>
        </w:rPr>
      </w:pPr>
    </w:p>
    <w:p w:rsidR="006D67F1" w:rsidRPr="002C224A" w:rsidRDefault="006D67F1" w:rsidP="00C20B34">
      <w:r w:rsidRPr="00A50943">
        <w:t xml:space="preserve">Investiční podporu na OZE poskytovalo také OP ŽP, nicméně vzhledem k omezení na veřejné subjekty, vysoké školy a neziskové organizace spadá tato investiční poptávka mimo cíl OP PIK. </w:t>
      </w:r>
      <w:r w:rsidRPr="002C224A">
        <w:t xml:space="preserve"> Program EFEKT (MPO) je svou alokací a širokým zaměřením pro investiční aktivitu v této oblasti zanedbatelný.</w:t>
      </w:r>
    </w:p>
    <w:p w:rsidR="006D67F1" w:rsidRPr="002C224A" w:rsidRDefault="006D67F1" w:rsidP="00DC310F"/>
    <w:p w:rsidR="006D67F1" w:rsidRPr="002C224A" w:rsidRDefault="006D67F1">
      <w:pPr>
        <w:pStyle w:val="Neslovannadpisy"/>
      </w:pPr>
      <w:r w:rsidRPr="002C224A">
        <w:t>Provozní podpora</w:t>
      </w:r>
    </w:p>
    <w:p w:rsidR="006D67F1" w:rsidRPr="002C224A" w:rsidRDefault="006D67F1" w:rsidP="00E6270B">
      <w:r w:rsidRPr="002C224A">
        <w:rPr>
          <w:b/>
        </w:rPr>
        <w:t>MVE čerpají na rozdíl od větrné a solární energie provozní podporu na elektřinu dodanou do sítě a podle aktuálního cenového rozhodnutí je výkupní cena pro nové zdroje zapojené do sítě 3,23 Kč/kWh</w:t>
      </w:r>
      <w:r w:rsidRPr="002C224A">
        <w:t xml:space="preserve">. Je nutné zdůraznit, že současné </w:t>
      </w:r>
      <w:r w:rsidRPr="002C224A">
        <w:rPr>
          <w:b/>
        </w:rPr>
        <w:t>nastavení OP PIK neumožňuje zároveň čerpat investiční a provozní podporu</w:t>
      </w:r>
      <w:r w:rsidRPr="002C224A">
        <w:t>.</w:t>
      </w:r>
      <w:r w:rsidR="008D0A65" w:rsidRPr="002C224A">
        <w:t xml:space="preserve"> </w:t>
      </w:r>
      <w:r w:rsidRPr="002C224A">
        <w:t xml:space="preserve">Vzhledem k výši současné provozní podpory toto ustanovení zásadním způsobem </w:t>
      </w:r>
      <w:r w:rsidRPr="002C224A">
        <w:rPr>
          <w:b/>
        </w:rPr>
        <w:t>omezuje absorpční kapacitu nejen pro finanční nástroje, ale i pro dotace</w:t>
      </w:r>
      <w:r w:rsidRPr="002C224A">
        <w:t xml:space="preserve"> v limitu veřejné podpory. Také žadatelé o investiční dotaci z národního programu EFEKT měly krácenou maximální míru dotace, chtějí-li provozní podporu čerpat.</w:t>
      </w:r>
      <w:r w:rsidR="008D0A65" w:rsidRPr="002C224A">
        <w:t xml:space="preserve"> </w:t>
      </w:r>
      <w:r w:rsidRPr="002C224A">
        <w:t>Procentuální krácení podpory provozovatelům, kteří přijali dotaci na výstavbu MVE je vyšší, než např. při KVET, která vyrábí energii z fosilního paliva - plynu.</w:t>
      </w:r>
    </w:p>
    <w:p w:rsidR="006D67F1" w:rsidRPr="002C224A" w:rsidRDefault="006D67F1" w:rsidP="00E6270B"/>
    <w:p w:rsidR="006D67F1" w:rsidRPr="002C224A" w:rsidRDefault="006D67F1" w:rsidP="00DC310F">
      <w:r w:rsidRPr="002C224A">
        <w:t>Provozní podporu na výkup elektřiny odebírá i většina BPS. U podpory investic do kogenerační výroby tepla z BPS ale v OP PIK nenastává konflikt s provozní podporou jako u MVE. Ta se totiž vztahuje na odkup elektřiny, nikoli tepla.</w:t>
      </w:r>
    </w:p>
    <w:p w:rsidR="008D0A65" w:rsidRPr="002C224A" w:rsidRDefault="008D0A65" w:rsidP="00554FD3">
      <w:pPr>
        <w:pStyle w:val="Nadpis4"/>
        <w:rPr>
          <w:rFonts w:ascii="Calibri" w:hAnsi="Calibri"/>
        </w:rPr>
      </w:pPr>
      <w:r w:rsidRPr="002C224A">
        <w:rPr>
          <w:rFonts w:ascii="Calibri" w:hAnsi="Calibri"/>
        </w:rPr>
        <w:t>Dotazníkové šetření</w:t>
      </w:r>
    </w:p>
    <w:p w:rsidR="006D67F1" w:rsidRPr="00A50943" w:rsidRDefault="006D67F1" w:rsidP="00DC310F"/>
    <w:p w:rsidR="006D67F1" w:rsidRPr="002C224A" w:rsidRDefault="00737C66" w:rsidP="00737C66">
      <w:pPr>
        <w:pStyle w:val="Titulek"/>
      </w:pPr>
      <w:r w:rsidRPr="002C224A">
        <w:t>Tabulka 5</w:t>
      </w:r>
      <w:r w:rsidR="00F6076B">
        <w:t>9</w:t>
      </w:r>
      <w:r w:rsidRPr="002C224A">
        <w:t>: skladba respondentů z hlediska velikosti podniku</w:t>
      </w:r>
    </w:p>
    <w:tbl>
      <w:tblPr>
        <w:tblW w:w="3313" w:type="dxa"/>
        <w:tblInd w:w="55" w:type="dxa"/>
        <w:tblCellMar>
          <w:left w:w="70" w:type="dxa"/>
          <w:right w:w="70" w:type="dxa"/>
        </w:tblCellMar>
        <w:tblLook w:val="00A0" w:firstRow="1" w:lastRow="0" w:firstColumn="1" w:lastColumn="0" w:noHBand="0" w:noVBand="0"/>
      </w:tblPr>
      <w:tblGrid>
        <w:gridCol w:w="1387"/>
        <w:gridCol w:w="963"/>
        <w:gridCol w:w="963"/>
      </w:tblGrid>
      <w:tr w:rsidR="006D67F1" w:rsidRPr="002C224A"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Skladba respondentů z hlediska velikosti podniku</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malé 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38,5%</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40</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mikropodniky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25,0%</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3429E9" w:rsidP="00BF0A9E">
            <w:pPr>
              <w:overflowPunct/>
              <w:autoSpaceDE/>
              <w:autoSpaceDN/>
              <w:adjustRightInd/>
              <w:jc w:val="left"/>
              <w:textAlignment w:val="auto"/>
              <w:rPr>
                <w:rFonts w:cs="Arial"/>
                <w:sz w:val="20"/>
              </w:rPr>
            </w:pPr>
            <w:r w:rsidRPr="002C224A">
              <w:rPr>
                <w:rFonts w:cs="Arial"/>
                <w:sz w:val="20"/>
              </w:rPr>
              <w:t>S</w:t>
            </w:r>
            <w:r w:rsidR="006D67F1" w:rsidRPr="002C224A">
              <w:rPr>
                <w:rFonts w:cs="Arial"/>
                <w:sz w:val="20"/>
              </w:rPr>
              <w:t>třední 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26,0%</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27</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velké podniky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10,58%</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w:t>
            </w:r>
          </w:p>
        </w:tc>
      </w:tr>
      <w:tr w:rsidR="006D67F1" w:rsidRPr="002C224A" w:rsidTr="00BF0A9E">
        <w:trPr>
          <w:trHeight w:val="255"/>
        </w:trPr>
        <w:tc>
          <w:tcPr>
            <w:tcW w:w="1387"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104</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p>
        </w:tc>
      </w:tr>
    </w:tbl>
    <w:p w:rsidR="006D67F1" w:rsidRPr="002C224A" w:rsidRDefault="006D67F1" w:rsidP="00F71000"/>
    <w:p w:rsidR="006D67F1" w:rsidRPr="002C224A" w:rsidRDefault="006D67F1" w:rsidP="00F71000">
      <w:r w:rsidRPr="002C224A">
        <w:t>Přes 63 % respondentů s plánem na investice do OZE tvořily malé podniky a mikropodniky.</w:t>
      </w:r>
    </w:p>
    <w:p w:rsidR="006D67F1" w:rsidRPr="002C224A" w:rsidRDefault="00737C66" w:rsidP="00737C66">
      <w:pPr>
        <w:pStyle w:val="Titulek"/>
      </w:pPr>
      <w:r w:rsidRPr="002C224A">
        <w:t xml:space="preserve">Tabulka </w:t>
      </w:r>
      <w:r w:rsidR="00F6076B">
        <w:t>60</w:t>
      </w:r>
      <w:r w:rsidRPr="002C224A">
        <w:t>: fáze podnikání</w:t>
      </w:r>
    </w:p>
    <w:tbl>
      <w:tblPr>
        <w:tblW w:w="5748" w:type="dxa"/>
        <w:tblInd w:w="55" w:type="dxa"/>
        <w:tblCellMar>
          <w:left w:w="70" w:type="dxa"/>
          <w:right w:w="70" w:type="dxa"/>
        </w:tblCellMar>
        <w:tblLook w:val="00A0" w:firstRow="1" w:lastRow="0" w:firstColumn="1" w:lastColumn="0" w:noHBand="0" w:noVBand="0"/>
      </w:tblPr>
      <w:tblGrid>
        <w:gridCol w:w="3822"/>
        <w:gridCol w:w="963"/>
        <w:gridCol w:w="963"/>
      </w:tblGrid>
      <w:tr w:rsidR="006D67F1" w:rsidRPr="002C224A" w:rsidTr="00BF0A9E">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6,7%</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66,3%</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69</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20,2%</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21</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6,7%</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w:t>
            </w:r>
          </w:p>
        </w:tc>
      </w:tr>
      <w:tr w:rsidR="006D67F1" w:rsidRPr="002C224A" w:rsidTr="00BF0A9E">
        <w:trPr>
          <w:trHeight w:val="255"/>
        </w:trPr>
        <w:tc>
          <w:tcPr>
            <w:tcW w:w="3822"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lastRenderedPageBreak/>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104</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r w:rsidRPr="002C224A">
        <w:t>Jednalo se opět zejména o zavedené společnosti s mediánem stáří 17 let, nejčastěji svou fázi zařadily do fáze růstu, a to v 66 % případů.</w:t>
      </w:r>
    </w:p>
    <w:p w:rsidR="006D67F1" w:rsidRPr="002C224A" w:rsidRDefault="00737C66" w:rsidP="00737C66">
      <w:pPr>
        <w:pStyle w:val="Titulek"/>
      </w:pPr>
      <w:r w:rsidRPr="002C224A">
        <w:t xml:space="preserve">Tabulka </w:t>
      </w:r>
      <w:r w:rsidR="00541B4A">
        <w:t>6</w:t>
      </w:r>
      <w:r w:rsidR="00F6076B">
        <w:t>1</w:t>
      </w:r>
      <w:r w:rsidRPr="002C224A">
        <w:t>: investiční výdaje podniků</w:t>
      </w:r>
    </w:p>
    <w:tbl>
      <w:tblPr>
        <w:tblW w:w="7731" w:type="dxa"/>
        <w:tblInd w:w="55" w:type="dxa"/>
        <w:tblCellMar>
          <w:left w:w="70" w:type="dxa"/>
          <w:right w:w="70" w:type="dxa"/>
        </w:tblCellMar>
        <w:tblLook w:val="00A0" w:firstRow="1" w:lastRow="0" w:firstColumn="1" w:lastColumn="0" w:noHBand="0" w:noVBand="0"/>
      </w:tblPr>
      <w:tblGrid>
        <w:gridCol w:w="4510"/>
        <w:gridCol w:w="1298"/>
        <w:gridCol w:w="960"/>
        <w:gridCol w:w="963"/>
      </w:tblGrid>
      <w:tr w:rsidR="006D67F1" w:rsidRPr="002C224A" w:rsidTr="00BF0A9E">
        <w:trPr>
          <w:trHeight w:val="255"/>
        </w:trPr>
        <w:tc>
          <w:tcPr>
            <w:tcW w:w="5808"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Investiční výdaje podniků</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r>
      <w:tr w:rsidR="006D67F1" w:rsidRPr="002C224A" w:rsidTr="00BF0A9E">
        <w:trPr>
          <w:trHeight w:val="255"/>
        </w:trPr>
        <w:tc>
          <w:tcPr>
            <w:tcW w:w="4510" w:type="dxa"/>
            <w:vMerge w:val="restart"/>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Investice v předchozích třech letech </w:t>
            </w: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40,8%</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42</w:t>
            </w:r>
          </w:p>
        </w:tc>
      </w:tr>
      <w:tr w:rsidR="006D67F1" w:rsidRPr="002C224A" w:rsidTr="00BF0A9E">
        <w:trPr>
          <w:trHeight w:val="255"/>
        </w:trPr>
        <w:tc>
          <w:tcPr>
            <w:tcW w:w="4510"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31,1%</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32</w:t>
            </w:r>
          </w:p>
        </w:tc>
      </w:tr>
      <w:tr w:rsidR="006D67F1" w:rsidRPr="002C224A" w:rsidTr="00BF0A9E">
        <w:trPr>
          <w:trHeight w:val="255"/>
        </w:trPr>
        <w:tc>
          <w:tcPr>
            <w:tcW w:w="4510"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28,2%</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r>
      <w:tr w:rsidR="006D67F1" w:rsidRPr="002C224A" w:rsidTr="00BF0A9E">
        <w:trPr>
          <w:trHeight w:val="255"/>
        </w:trPr>
        <w:tc>
          <w:tcPr>
            <w:tcW w:w="451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103</w:t>
            </w:r>
          </w:p>
        </w:tc>
        <w:tc>
          <w:tcPr>
            <w:tcW w:w="960" w:type="dxa"/>
            <w:tcBorders>
              <w:top w:val="nil"/>
              <w:left w:val="nil"/>
              <w:bottom w:val="single" w:sz="4" w:space="0" w:color="auto"/>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c>
          <w:tcPr>
            <w:tcW w:w="963" w:type="dxa"/>
            <w:tcBorders>
              <w:top w:val="nil"/>
              <w:left w:val="nil"/>
              <w:bottom w:val="single" w:sz="4" w:space="0" w:color="auto"/>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r>
      <w:tr w:rsidR="006D67F1" w:rsidRPr="002C224A" w:rsidTr="00BF0A9E">
        <w:trPr>
          <w:trHeight w:val="255"/>
        </w:trPr>
        <w:tc>
          <w:tcPr>
            <w:tcW w:w="4510" w:type="dxa"/>
            <w:vMerge w:val="restart"/>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Plánované investice do OZE v příštích třech letech </w:t>
            </w:r>
          </w:p>
        </w:tc>
        <w:tc>
          <w:tcPr>
            <w:tcW w:w="129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79,6%</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82</w:t>
            </w:r>
          </w:p>
        </w:tc>
      </w:tr>
      <w:tr w:rsidR="006D67F1" w:rsidRPr="002C224A" w:rsidTr="00BF0A9E">
        <w:trPr>
          <w:trHeight w:val="255"/>
        </w:trPr>
        <w:tc>
          <w:tcPr>
            <w:tcW w:w="4510" w:type="dxa"/>
            <w:vMerge/>
            <w:tcBorders>
              <w:top w:val="single" w:sz="4" w:space="0" w:color="auto"/>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13,6%</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w:t>
            </w:r>
          </w:p>
        </w:tc>
      </w:tr>
      <w:tr w:rsidR="006D67F1" w:rsidRPr="002C224A" w:rsidTr="00BF0A9E">
        <w:trPr>
          <w:trHeight w:val="255"/>
        </w:trPr>
        <w:tc>
          <w:tcPr>
            <w:tcW w:w="4510" w:type="dxa"/>
            <w:vMerge/>
            <w:tcBorders>
              <w:top w:val="single" w:sz="4" w:space="0" w:color="auto"/>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7,8%</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r>
      <w:tr w:rsidR="006D67F1" w:rsidRPr="002C224A" w:rsidTr="00BF0A9E">
        <w:trPr>
          <w:trHeight w:val="255"/>
        </w:trPr>
        <w:tc>
          <w:tcPr>
            <w:tcW w:w="451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103</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Default="006D67F1" w:rsidP="00F71000"/>
    <w:p w:rsidR="003429E9" w:rsidRDefault="003429E9" w:rsidP="00F71000">
      <w:r>
        <w:t>Dotazované podnik</w:t>
      </w:r>
      <w:r w:rsidR="00A62BBF">
        <w:t>y</w:t>
      </w:r>
      <w:r>
        <w:t xml:space="preserve"> na své investice v posledních třech letech získávaly zdroje zejména prostřednictvím úvěrů, dotací a z vlastních zdrojů. Poměrně často využívaly pro financování investic též leasing.</w:t>
      </w:r>
    </w:p>
    <w:p w:rsidR="003429E9" w:rsidRDefault="003429E9" w:rsidP="00F71000"/>
    <w:p w:rsidR="003429E9" w:rsidRPr="003429E9" w:rsidRDefault="003429E9" w:rsidP="00331BB7">
      <w:pPr>
        <w:pStyle w:val="Titulek"/>
        <w:keepNext/>
      </w:pPr>
      <w:r>
        <w:t>Tabulka</w:t>
      </w:r>
      <w:r w:rsidR="00541B4A">
        <w:t xml:space="preserve"> 6</w:t>
      </w:r>
      <w:r w:rsidR="00F6076B">
        <w:t>2</w:t>
      </w:r>
      <w:r>
        <w:t xml:space="preserve">: </w:t>
      </w:r>
      <w:r w:rsidRPr="003429E9">
        <w:t>Dostupnost financování pro investice v posledních třech letech</w:t>
      </w:r>
    </w:p>
    <w:tbl>
      <w:tblPr>
        <w:tblW w:w="8227" w:type="dxa"/>
        <w:tblInd w:w="65" w:type="dxa"/>
        <w:tblCellMar>
          <w:left w:w="70" w:type="dxa"/>
          <w:right w:w="70" w:type="dxa"/>
        </w:tblCellMar>
        <w:tblLook w:val="0000" w:firstRow="0" w:lastRow="0" w:firstColumn="0" w:lastColumn="0" w:noHBand="0" w:noVBand="0"/>
      </w:tblPr>
      <w:tblGrid>
        <w:gridCol w:w="3872"/>
        <w:gridCol w:w="919"/>
        <w:gridCol w:w="1310"/>
        <w:gridCol w:w="992"/>
        <w:gridCol w:w="1319"/>
      </w:tblGrid>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Úspěšný</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Neúspěšný nebo částečně úspěšný</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Celkem</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Podíl neúspěšných</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Krátkodobé půjčky, kontokorentní úvěry, kreditní linky</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51</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20</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71</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28,2%</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Střednědobé a dlouhodobé půjčky</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53</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20</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73</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27,4%</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Rodina, přátelé a známí</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15</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17</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11,8%</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Vlastní zdroje financování</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58</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5</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63</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7,9%</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Dotace nebo jiná podpora veřejné instituce</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48</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28</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76</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36,8%</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Leasing</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41</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4</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45</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8,9%</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Faktoring</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8</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10</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20,0%</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Záruky</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15</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6</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21</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28,6%</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Rizikový kapitál vč. Business angels</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4</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4</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100,0%</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Ekvitové financování (Private equity)</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100,0%</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Mezaninové financování či podřízené dluhy</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3</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33,3%</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Firemní úpisy dluhopisů</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0</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0,0%</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Mikrokredit</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100,0%</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Energy performance contracting (EPC)</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50,0%</w:t>
            </w:r>
          </w:p>
        </w:tc>
      </w:tr>
      <w:tr w:rsidR="003429E9" w:rsidRPr="003429E9" w:rsidTr="00331BB7">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Emise akcií na veřejně obchodovaném trhu (burze)</w:t>
            </w:r>
          </w:p>
        </w:tc>
        <w:tc>
          <w:tcPr>
            <w:tcW w:w="919"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992"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134" w:type="dxa"/>
            <w:tcBorders>
              <w:top w:val="nil"/>
              <w:left w:val="nil"/>
              <w:bottom w:val="single" w:sz="4" w:space="0" w:color="auto"/>
              <w:right w:val="single" w:sz="4" w:space="0" w:color="auto"/>
            </w:tcBorders>
            <w:shd w:val="clear" w:color="auto" w:fill="auto"/>
            <w:noWrap/>
            <w:vAlign w:val="bottom"/>
          </w:tcPr>
          <w:p w:rsidR="003429E9" w:rsidRPr="003429E9" w:rsidRDefault="003429E9" w:rsidP="003429E9">
            <w:pPr>
              <w:overflowPunct/>
              <w:autoSpaceDE/>
              <w:autoSpaceDN/>
              <w:adjustRightInd/>
              <w:jc w:val="right"/>
              <w:textAlignment w:val="auto"/>
              <w:rPr>
                <w:rFonts w:ascii="Arial" w:hAnsi="Arial" w:cs="Arial"/>
                <w:sz w:val="20"/>
              </w:rPr>
            </w:pPr>
            <w:r w:rsidRPr="003429E9">
              <w:rPr>
                <w:rFonts w:ascii="Arial" w:hAnsi="Arial" w:cs="Arial"/>
                <w:sz w:val="20"/>
              </w:rPr>
              <w:t>100,0%</w:t>
            </w:r>
          </w:p>
        </w:tc>
      </w:tr>
    </w:tbl>
    <w:p w:rsidR="003429E9" w:rsidRDefault="00AC53B9" w:rsidP="00F71000">
      <w:r>
        <w:t>n=104</w:t>
      </w:r>
    </w:p>
    <w:p w:rsidR="003429E9" w:rsidRPr="002C224A" w:rsidRDefault="003429E9" w:rsidP="00F71000"/>
    <w:p w:rsidR="006D67F1" w:rsidRPr="002C224A" w:rsidRDefault="006D67F1" w:rsidP="00F71000">
      <w:r w:rsidRPr="002C224A">
        <w:t xml:space="preserve">Dotazované firmy preferují z hlediska rozsahu svých plánovaných investic do OZE především menší projekty do </w:t>
      </w:r>
      <w:smartTag w:uri="urn:schemas-microsoft-com:office:smarttags" w:element="metricconverter">
        <w:smartTagPr>
          <w:attr w:name="ProductID" w:val="10 mil"/>
        </w:smartTagPr>
        <w:r w:rsidRPr="002C224A">
          <w:t>10 mil</w:t>
        </w:r>
      </w:smartTag>
      <w:r w:rsidRPr="002C224A">
        <w:t>. Kč, a to v téměř 80 % případů.</w:t>
      </w:r>
    </w:p>
    <w:p w:rsidR="006D67F1" w:rsidRPr="002C224A" w:rsidRDefault="006D67F1" w:rsidP="00F71000"/>
    <w:p w:rsidR="00737C66" w:rsidRPr="002C224A" w:rsidRDefault="00737C66" w:rsidP="00737C66">
      <w:pPr>
        <w:pStyle w:val="Titulek"/>
      </w:pPr>
      <w:r w:rsidRPr="002C224A">
        <w:t xml:space="preserve">Tabulka </w:t>
      </w:r>
      <w:r w:rsidR="00541B4A">
        <w:t>6</w:t>
      </w:r>
      <w:r w:rsidR="00F6076B">
        <w:t>3</w:t>
      </w:r>
      <w:r w:rsidRPr="002C224A">
        <w:t>: odhadovaná doba návratnosti plánovaných investic</w:t>
      </w:r>
    </w:p>
    <w:tbl>
      <w:tblPr>
        <w:tblW w:w="5088" w:type="dxa"/>
        <w:tblInd w:w="55" w:type="dxa"/>
        <w:tblCellMar>
          <w:left w:w="70" w:type="dxa"/>
          <w:right w:w="70" w:type="dxa"/>
        </w:tblCellMar>
        <w:tblLook w:val="00A0" w:firstRow="1" w:lastRow="0" w:firstColumn="1" w:lastColumn="0" w:noHBand="0" w:noVBand="0"/>
      </w:tblPr>
      <w:tblGrid>
        <w:gridCol w:w="3165"/>
        <w:gridCol w:w="963"/>
        <w:gridCol w:w="960"/>
      </w:tblGrid>
      <w:tr w:rsidR="006D67F1" w:rsidRPr="002C224A"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Odhadovaná doba návratnosti plánovaných investic</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1-3 roky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4,4%</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3-5 let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26,4%</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5-10 let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43</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47,3%</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lastRenderedPageBreak/>
              <w:t>Návratnost v horizontu 10 let a více</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22,0%</w:t>
            </w:r>
          </w:p>
        </w:tc>
      </w:tr>
      <w:tr w:rsidR="006D67F1" w:rsidRPr="002C224A" w:rsidTr="00BF0A9E">
        <w:trPr>
          <w:trHeight w:val="255"/>
        </w:trPr>
        <w:tc>
          <w:tcPr>
            <w:tcW w:w="3165"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91</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 w:rsidR="006D67F1" w:rsidRPr="002C224A" w:rsidRDefault="006D67F1" w:rsidP="00F71000">
      <w:r w:rsidRPr="002C224A">
        <w:t>Tento údaj je úzce spojen s dobou návratnosti, kdy 67 % podniků uvedlo, že očekávají návratnost plánovaných investic delší než 5 let.</w:t>
      </w:r>
    </w:p>
    <w:p w:rsidR="006D67F1" w:rsidRPr="002C224A" w:rsidRDefault="006D67F1" w:rsidP="00F71000"/>
    <w:p w:rsidR="006D67F1" w:rsidRPr="002C224A" w:rsidRDefault="006D67F1" w:rsidP="00F71000">
      <w:pPr>
        <w:pStyle w:val="Titulek"/>
        <w:keepNext/>
      </w:pPr>
      <w:r w:rsidRPr="002C224A">
        <w:t xml:space="preserve">Obrázek </w:t>
      </w:r>
      <w:r w:rsidR="00646277">
        <w:t>27</w:t>
      </w:r>
      <w:r w:rsidRPr="002C224A">
        <w:t>: Dostupnost financování respondentů v posledních třech letech</w:t>
      </w:r>
    </w:p>
    <w:p w:rsidR="006D67F1" w:rsidRPr="00A50943" w:rsidRDefault="007A3F34" w:rsidP="00F71000">
      <w:r w:rsidRPr="00A50943">
        <w:rPr>
          <w:noProof/>
        </w:rPr>
        <w:drawing>
          <wp:inline distT="0" distB="0" distL="0" distR="0" wp14:anchorId="1B26F1FB" wp14:editId="401DF1F7">
            <wp:extent cx="4528820" cy="2702560"/>
            <wp:effectExtent l="0" t="0" r="5080" b="2540"/>
            <wp:docPr id="57" name="obráze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67F1" w:rsidRPr="002C224A" w:rsidRDefault="006D67F1" w:rsidP="00F71000"/>
    <w:p w:rsidR="006D67F1" w:rsidRPr="002C224A" w:rsidRDefault="006D67F1" w:rsidP="00F71000">
      <w:r w:rsidRPr="002C224A">
        <w:t>Celkově respondenti hodnotili svůj přístup k financování jako ztížený v 39,7 % případů, což představuje nejvyšší podíl ze všech specifických cílů OP</w:t>
      </w:r>
      <w:r w:rsidR="002D09B7" w:rsidRPr="002C224A">
        <w:t xml:space="preserve"> </w:t>
      </w:r>
      <w:r w:rsidRPr="002C224A">
        <w:t>PIK.</w:t>
      </w:r>
    </w:p>
    <w:p w:rsidR="006D67F1" w:rsidRPr="002C224A" w:rsidRDefault="00737C66" w:rsidP="00737C66">
      <w:pPr>
        <w:pStyle w:val="Titulek"/>
      </w:pPr>
      <w:r w:rsidRPr="002C224A">
        <w:t xml:space="preserve">Tabulka </w:t>
      </w:r>
      <w:r w:rsidR="00541B4A">
        <w:t>6</w:t>
      </w:r>
      <w:r w:rsidR="00F6076B">
        <w:t>4</w:t>
      </w:r>
      <w:r w:rsidRPr="002C224A">
        <w:t>: dostupnost financování pro investice</w:t>
      </w:r>
    </w:p>
    <w:tbl>
      <w:tblPr>
        <w:tblW w:w="9436" w:type="dxa"/>
        <w:tblInd w:w="55" w:type="dxa"/>
        <w:tblCellMar>
          <w:left w:w="70" w:type="dxa"/>
          <w:right w:w="70" w:type="dxa"/>
        </w:tblCellMar>
        <w:tblLook w:val="00A0" w:firstRow="1" w:lastRow="0" w:firstColumn="1" w:lastColumn="0" w:noHBand="0" w:noVBand="0"/>
      </w:tblPr>
      <w:tblGrid>
        <w:gridCol w:w="7840"/>
        <w:gridCol w:w="902"/>
        <w:gridCol w:w="798"/>
      </w:tblGrid>
      <w:tr w:rsidR="006D67F1" w:rsidRPr="002C224A" w:rsidTr="00BF0A9E">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c>
          <w:tcPr>
            <w:tcW w:w="79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79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Bezproblémová – zdroje získáváme poměrně rychle a jednoduše, jednání bývají efektivní a úspěšná</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38</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37,6%</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 menšími problémy – informací je dostatek a lze nalézt financující subjekt po vícekolovém vyjednávání</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22,8%</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Dostupnost je pouze dobrá – finanční zdroje zde jsou, ale je obtížně možné je získat</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15</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14,9%</w:t>
            </w:r>
          </w:p>
        </w:tc>
      </w:tr>
      <w:tr w:rsidR="006D67F1" w:rsidRPr="002C224A"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Dostupnost je špatná – existuje informační bariéra, banky mají velké požadavky na hodnotu zástavy, apod.</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w:t>
            </w:r>
          </w:p>
        </w:tc>
        <w:tc>
          <w:tcPr>
            <w:tcW w:w="7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24,8%</w:t>
            </w:r>
          </w:p>
        </w:tc>
      </w:tr>
      <w:tr w:rsidR="006D67F1" w:rsidRPr="002C224A" w:rsidTr="00BF0A9E">
        <w:trPr>
          <w:trHeight w:val="255"/>
        </w:trPr>
        <w:tc>
          <w:tcPr>
            <w:tcW w:w="784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79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101</w:t>
            </w:r>
          </w:p>
        </w:tc>
        <w:tc>
          <w:tcPr>
            <w:tcW w:w="79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 w:rsidR="006D67F1" w:rsidRPr="002C224A" w:rsidRDefault="006D67F1" w:rsidP="00F71000"/>
    <w:p w:rsidR="006D67F1" w:rsidRPr="002C224A" w:rsidRDefault="006D67F1" w:rsidP="00F71000">
      <w:r w:rsidRPr="002C224A">
        <w:t xml:space="preserve">Další data uvádíme již jen za podniky, které uvedly, že mají ztížený přístup k financování. </w:t>
      </w:r>
    </w:p>
    <w:p w:rsidR="006D67F1" w:rsidRPr="002C224A" w:rsidRDefault="00737C66" w:rsidP="00737C66">
      <w:pPr>
        <w:pStyle w:val="Titulek"/>
      </w:pPr>
      <w:r w:rsidRPr="002C224A">
        <w:t>Tabulka 6</w:t>
      </w:r>
      <w:r w:rsidR="00F6076B">
        <w:t>5</w:t>
      </w:r>
      <w:r w:rsidRPr="002C224A">
        <w:t>: důvody zhoršeného přístupu k financování</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67F1" w:rsidRPr="002C224A"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72,5%</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72,5%</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39</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97,5%</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85,0%</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42,5%</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20,0%</w:t>
            </w:r>
          </w:p>
        </w:tc>
      </w:tr>
      <w:tr w:rsidR="006D67F1" w:rsidRPr="002C224A" w:rsidTr="00BF0A9E">
        <w:trPr>
          <w:trHeight w:val="255"/>
        </w:trPr>
        <w:tc>
          <w:tcPr>
            <w:tcW w:w="2966"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40</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 w:rsidR="006D67F1" w:rsidRPr="002C224A" w:rsidRDefault="006D67F1" w:rsidP="00F71000">
      <w:r w:rsidRPr="002C224A">
        <w:t>Jednoznačně nejsilnějším důvodem zhoršeného přístupu k financování byly možnosti zajištění, a to téměř ve</w:t>
      </w:r>
      <w:r w:rsidR="00B51760" w:rsidRPr="002C224A">
        <w:t xml:space="preserve"> </w:t>
      </w:r>
      <w:r w:rsidRPr="002C224A">
        <w:t xml:space="preserve">100 % případů. Mezi další důvody ztíženého přístupu k financování podnikatelských </w:t>
      </w:r>
      <w:r w:rsidRPr="002C224A">
        <w:lastRenderedPageBreak/>
        <w:t>nemovitostí uvedli respondenti zejména finanční náklady, ale i dobu návratnosti a délku vlastní historie. Celkově respondenti v tomto specifickém cíli vykazovali největší potíže v přístupu k financování svých projektů.</w:t>
      </w:r>
      <w:r w:rsidR="00AD02C0" w:rsidRPr="002C224A">
        <w:t xml:space="preserve"> </w:t>
      </w:r>
    </w:p>
    <w:p w:rsidR="006D67F1" w:rsidRPr="002C224A" w:rsidRDefault="006D67F1" w:rsidP="00F71000">
      <w:pPr>
        <w:pStyle w:val="Titulek"/>
        <w:keepNext/>
      </w:pPr>
    </w:p>
    <w:p w:rsidR="006D67F1" w:rsidRPr="002C224A" w:rsidRDefault="006D67F1" w:rsidP="00F71000">
      <w:pPr>
        <w:pStyle w:val="Titulek"/>
        <w:keepNext/>
      </w:pPr>
      <w:r w:rsidRPr="002C224A">
        <w:t xml:space="preserve">Obrázek </w:t>
      </w:r>
      <w:r w:rsidR="00646277">
        <w:t>28</w:t>
      </w:r>
      <w:r w:rsidRPr="002C224A">
        <w:t>: Hlavní důvody ztíženého přístupu k financování (bylo možné uvést více odpovědí)</w:t>
      </w:r>
    </w:p>
    <w:p w:rsidR="006D67F1" w:rsidRPr="00A50943" w:rsidRDefault="007A3F34" w:rsidP="00F71000">
      <w:r w:rsidRPr="00A50943">
        <w:rPr>
          <w:noProof/>
        </w:rPr>
        <w:drawing>
          <wp:inline distT="0" distB="0" distL="0" distR="0" wp14:anchorId="57D86B05" wp14:editId="248E73F0">
            <wp:extent cx="5600700" cy="2895600"/>
            <wp:effectExtent l="0" t="0" r="0" b="0"/>
            <wp:docPr id="58" name="obráze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67F1" w:rsidRPr="002C224A" w:rsidRDefault="006D67F1" w:rsidP="00F71000">
      <w:r w:rsidRPr="002C224A">
        <w:t xml:space="preserve"> </w:t>
      </w:r>
    </w:p>
    <w:p w:rsidR="00D45777" w:rsidRPr="002C224A" w:rsidRDefault="00D45777" w:rsidP="00D45777">
      <w:pPr>
        <w:pStyle w:val="Nadpis4"/>
        <w:rPr>
          <w:rFonts w:ascii="Calibri" w:hAnsi="Calibri"/>
        </w:rPr>
      </w:pPr>
      <w:r w:rsidRPr="002C224A">
        <w:rPr>
          <w:rFonts w:ascii="Calibri" w:hAnsi="Calibri"/>
        </w:rPr>
        <w:t>Odhad absorpční kapacity veřejné podpory a finančního nástroje</w:t>
      </w:r>
    </w:p>
    <w:p w:rsidR="00D45777" w:rsidRPr="00A50943" w:rsidRDefault="00D45777" w:rsidP="00D45777"/>
    <w:p w:rsidR="00D45777" w:rsidRPr="002C224A" w:rsidRDefault="00D45777" w:rsidP="00D45777">
      <w:r w:rsidRPr="002C224A">
        <w:t>Uvažované investiční záměry vzorku 104 společností v </w:t>
      </w:r>
      <w:r w:rsidR="00B86BF2" w:rsidRPr="002C224A">
        <w:t>OZE</w:t>
      </w:r>
      <w:r w:rsidRPr="002C224A">
        <w:t xml:space="preserve"> dosahují výše 1,2 mld. Kč</w:t>
      </w:r>
      <w:r w:rsidR="00B86BF2" w:rsidRPr="002C224A">
        <w:t>, tento údaj lze brát vzhledem k zúžení podporovaných aktivit brát pouze orientačně.</w:t>
      </w:r>
    </w:p>
    <w:p w:rsidR="00B86BF2" w:rsidRPr="002C224A" w:rsidRDefault="00B86BF2" w:rsidP="00B86BF2">
      <w:pPr>
        <w:rPr>
          <w:b/>
        </w:rPr>
      </w:pPr>
    </w:p>
    <w:p w:rsidR="00994315" w:rsidRPr="002C224A" w:rsidRDefault="00B86BF2" w:rsidP="00B86BF2">
      <w:r w:rsidRPr="002C224A">
        <w:rPr>
          <w:b/>
        </w:rPr>
        <w:t xml:space="preserve">Investiční poptávka v oblasti </w:t>
      </w:r>
      <w:r w:rsidR="008F3C5C" w:rsidRPr="002C224A">
        <w:rPr>
          <w:b/>
        </w:rPr>
        <w:t xml:space="preserve">tepla z </w:t>
      </w:r>
      <w:r w:rsidRPr="002C224A">
        <w:rPr>
          <w:b/>
        </w:rPr>
        <w:t>BPS aktivovatelná</w:t>
      </w:r>
      <w:r w:rsidR="00ED1876" w:rsidRPr="002C224A">
        <w:rPr>
          <w:b/>
        </w:rPr>
        <w:t xml:space="preserve"> veřejnou podporou</w:t>
      </w:r>
      <w:r w:rsidRPr="002C224A">
        <w:rPr>
          <w:b/>
        </w:rPr>
        <w:t xml:space="preserve"> tvoří dle analýzy MPO/Nova Energomax 3,2 mld. Kč</w:t>
      </w:r>
      <w:r w:rsidRPr="002C224A">
        <w:t xml:space="preserve">, jak vyplývá z počtu </w:t>
      </w:r>
      <w:r w:rsidR="00ED1876" w:rsidRPr="002C224A">
        <w:t xml:space="preserve">existujících </w:t>
      </w:r>
      <w:r w:rsidRPr="002C224A">
        <w:t xml:space="preserve">BPS vhodných k lokálnímu vyvádění tepla. </w:t>
      </w:r>
      <w:r w:rsidR="00994315" w:rsidRPr="002C224A">
        <w:t>Vzhledem k uvažovaným parametrům těchto investic bude valná část z nich závislá na dostupnosti dotací.</w:t>
      </w:r>
    </w:p>
    <w:p w:rsidR="00994315" w:rsidRPr="002C224A" w:rsidRDefault="00994315" w:rsidP="00B86BF2"/>
    <w:p w:rsidR="00994315" w:rsidRPr="002C224A" w:rsidRDefault="008F3C5C" w:rsidP="00B86BF2">
      <w:r w:rsidRPr="002C224A">
        <w:t xml:space="preserve">V případě </w:t>
      </w:r>
      <w:r w:rsidRPr="002C224A">
        <w:rPr>
          <w:b/>
        </w:rPr>
        <w:t>MVE</w:t>
      </w:r>
      <w:r w:rsidRPr="002C224A">
        <w:t xml:space="preserve"> lze v odhadu investiční aktivity vycházet ze stávajícího počtu MVE</w:t>
      </w:r>
      <w:r w:rsidR="00526A6E" w:rsidRPr="002C224A">
        <w:t>, předpokládaného</w:t>
      </w:r>
      <w:r w:rsidRPr="002C224A">
        <w:t xml:space="preserve"> nárůstu jejich </w:t>
      </w:r>
      <w:r w:rsidR="00526A6E" w:rsidRPr="002C224A">
        <w:t>produkce v rámci období</w:t>
      </w:r>
      <w:r w:rsidRPr="002C224A">
        <w:t xml:space="preserve"> (viz výše)</w:t>
      </w:r>
      <w:r w:rsidR="00526A6E" w:rsidRPr="002C224A">
        <w:t xml:space="preserve"> a modelových investičních nákladů potřebných na jeden MWh, kter</w:t>
      </w:r>
      <w:r w:rsidR="00FF5564" w:rsidRPr="002C224A">
        <w:t>é</w:t>
      </w:r>
      <w:r w:rsidR="00526A6E" w:rsidRPr="002C224A">
        <w:t xml:space="preserve"> byly odvozeny od typového projektu z OP PI</w:t>
      </w:r>
      <w:r w:rsidRPr="002C224A">
        <w:t>.</w:t>
      </w:r>
      <w:r w:rsidR="003F0624" w:rsidRPr="002C224A">
        <w:t xml:space="preserve"> </w:t>
      </w:r>
      <w:r w:rsidR="003F0624" w:rsidRPr="002C224A">
        <w:rPr>
          <w:b/>
        </w:rPr>
        <w:t>Během příštího období počítáme s vytvořením investiční poptávky MVE v rozmezí 2 – 2,75 mld. K</w:t>
      </w:r>
      <w:r w:rsidR="003F0624" w:rsidRPr="002C224A">
        <w:t>č, která může být efektivně pokryta finančním nástrojem. V případě nemožnosti kombinace investiční podpory FN s provozní podporou se však dá počítat prakticky s nulovou absorpční kapacitou pro tento nástroj.</w:t>
      </w:r>
    </w:p>
    <w:p w:rsidR="00526A6E" w:rsidRPr="002C224A" w:rsidRDefault="00526A6E" w:rsidP="00B86BF2"/>
    <w:tbl>
      <w:tblPr>
        <w:tblW w:w="4990" w:type="dxa"/>
        <w:tblBorders>
          <w:top w:val="single" w:sz="4" w:space="0" w:color="auto"/>
          <w:left w:val="single" w:sz="4" w:space="0" w:color="auto"/>
          <w:bottom w:val="single" w:sz="4" w:space="0" w:color="auto"/>
          <w:right w:val="single" w:sz="4" w:space="0" w:color="auto"/>
          <w:insideH w:val="single" w:sz="4" w:space="0" w:color="00A1DE"/>
        </w:tblBorders>
        <w:tblCellMar>
          <w:top w:w="28" w:type="dxa"/>
          <w:left w:w="28" w:type="dxa"/>
          <w:bottom w:w="28" w:type="dxa"/>
          <w:right w:w="28" w:type="dxa"/>
        </w:tblCellMar>
        <w:tblLook w:val="04A0" w:firstRow="1" w:lastRow="0" w:firstColumn="1" w:lastColumn="0" w:noHBand="0" w:noVBand="1"/>
      </w:tblPr>
      <w:tblGrid>
        <w:gridCol w:w="2860"/>
        <w:gridCol w:w="2130"/>
      </w:tblGrid>
      <w:tr w:rsidR="006C69C1" w:rsidRPr="002C224A" w:rsidTr="006C69C1">
        <w:trPr>
          <w:trHeight w:val="300"/>
        </w:trPr>
        <w:tc>
          <w:tcPr>
            <w:tcW w:w="2860" w:type="dxa"/>
            <w:shd w:val="clear" w:color="auto" w:fill="FFFFFF"/>
            <w:noWrap/>
          </w:tcPr>
          <w:p w:rsidR="00526A6E" w:rsidRPr="002C224A" w:rsidRDefault="00526A6E" w:rsidP="006C69C1">
            <w:pPr>
              <w:overflowPunct/>
              <w:autoSpaceDE/>
              <w:autoSpaceDN/>
              <w:adjustRightInd/>
              <w:jc w:val="left"/>
              <w:textAlignment w:val="auto"/>
              <w:rPr>
                <w:b/>
                <w:color w:val="000000"/>
                <w:sz w:val="20"/>
                <w:szCs w:val="22"/>
              </w:rPr>
            </w:pPr>
            <w:r w:rsidRPr="002C224A">
              <w:rPr>
                <w:b/>
                <w:color w:val="000000"/>
                <w:sz w:val="20"/>
                <w:szCs w:val="22"/>
              </w:rPr>
              <w:t xml:space="preserve">Očekávaný nárůst produkce </w:t>
            </w:r>
          </w:p>
        </w:tc>
        <w:tc>
          <w:tcPr>
            <w:tcW w:w="2130" w:type="dxa"/>
            <w:shd w:val="clear" w:color="auto" w:fill="FFFFFF"/>
            <w:noWrap/>
          </w:tcPr>
          <w:p w:rsidR="00526A6E" w:rsidRPr="002C224A" w:rsidRDefault="00526A6E" w:rsidP="006C69C1">
            <w:pPr>
              <w:overflowPunct/>
              <w:autoSpaceDE/>
              <w:autoSpaceDN/>
              <w:adjustRightInd/>
              <w:jc w:val="left"/>
              <w:textAlignment w:val="auto"/>
              <w:rPr>
                <w:b/>
                <w:color w:val="000000"/>
                <w:sz w:val="20"/>
                <w:szCs w:val="22"/>
              </w:rPr>
            </w:pPr>
            <w:r w:rsidRPr="002C224A">
              <w:rPr>
                <w:b/>
                <w:color w:val="000000"/>
                <w:sz w:val="20"/>
                <w:szCs w:val="22"/>
              </w:rPr>
              <w:t xml:space="preserve">                 </w:t>
            </w:r>
            <w:r w:rsidR="00C3142A" w:rsidRPr="002C224A">
              <w:rPr>
                <w:b/>
                <w:color w:val="000000"/>
                <w:sz w:val="20"/>
                <w:szCs w:val="22"/>
              </w:rPr>
              <w:t>280-380 GWh</w:t>
            </w:r>
            <w:r w:rsidRPr="002C224A">
              <w:rPr>
                <w:b/>
                <w:color w:val="000000"/>
                <w:sz w:val="20"/>
                <w:szCs w:val="22"/>
              </w:rPr>
              <w:t xml:space="preserve">  </w:t>
            </w:r>
          </w:p>
        </w:tc>
      </w:tr>
      <w:tr w:rsidR="006C69C1" w:rsidRPr="002C224A" w:rsidTr="006C69C1">
        <w:trPr>
          <w:trHeight w:val="300"/>
        </w:trPr>
        <w:tc>
          <w:tcPr>
            <w:tcW w:w="2860" w:type="dxa"/>
            <w:shd w:val="clear" w:color="auto" w:fill="FFFFFF"/>
            <w:noWrap/>
          </w:tcPr>
          <w:p w:rsidR="00526A6E" w:rsidRPr="00A50943" w:rsidRDefault="00526A6E" w:rsidP="006C69C1">
            <w:pPr>
              <w:overflowPunct/>
              <w:autoSpaceDE/>
              <w:autoSpaceDN/>
              <w:adjustRightInd/>
              <w:jc w:val="left"/>
              <w:textAlignment w:val="auto"/>
              <w:rPr>
                <w:b/>
                <w:color w:val="000000"/>
                <w:sz w:val="20"/>
                <w:szCs w:val="22"/>
              </w:rPr>
            </w:pPr>
            <w:r w:rsidRPr="00A50943">
              <w:rPr>
                <w:b/>
                <w:color w:val="000000"/>
                <w:sz w:val="20"/>
                <w:szCs w:val="22"/>
              </w:rPr>
              <w:t xml:space="preserve"> Investiční náklady na 1 MWh </w:t>
            </w:r>
          </w:p>
        </w:tc>
        <w:tc>
          <w:tcPr>
            <w:tcW w:w="2130" w:type="dxa"/>
            <w:shd w:val="clear" w:color="auto" w:fill="FFFFFF"/>
            <w:noWrap/>
          </w:tcPr>
          <w:p w:rsidR="00526A6E" w:rsidRPr="002C224A" w:rsidRDefault="00526A6E" w:rsidP="006C69C1">
            <w:pPr>
              <w:overflowPunct/>
              <w:autoSpaceDE/>
              <w:autoSpaceDN/>
              <w:adjustRightInd/>
              <w:jc w:val="left"/>
              <w:textAlignment w:val="auto"/>
              <w:rPr>
                <w:b/>
                <w:color w:val="000000"/>
                <w:sz w:val="20"/>
                <w:szCs w:val="22"/>
              </w:rPr>
            </w:pPr>
            <w:r w:rsidRPr="002C224A">
              <w:rPr>
                <w:b/>
                <w:color w:val="000000"/>
                <w:sz w:val="20"/>
                <w:szCs w:val="22"/>
              </w:rPr>
              <w:t xml:space="preserve">                   21 </w:t>
            </w:r>
            <w:r w:rsidR="00C3142A" w:rsidRPr="002C224A">
              <w:rPr>
                <w:b/>
                <w:color w:val="000000"/>
                <w:sz w:val="20"/>
                <w:szCs w:val="22"/>
              </w:rPr>
              <w:t>700</w:t>
            </w:r>
            <w:r w:rsidRPr="002C224A">
              <w:rPr>
                <w:b/>
                <w:color w:val="000000"/>
                <w:sz w:val="20"/>
                <w:szCs w:val="22"/>
              </w:rPr>
              <w:t xml:space="preserve"> </w:t>
            </w:r>
            <w:r w:rsidR="00C3142A" w:rsidRPr="002C224A">
              <w:rPr>
                <w:b/>
                <w:color w:val="000000"/>
                <w:sz w:val="20"/>
                <w:szCs w:val="22"/>
              </w:rPr>
              <w:t>Kč</w:t>
            </w:r>
            <w:r w:rsidRPr="002C224A">
              <w:rPr>
                <w:b/>
                <w:color w:val="000000"/>
                <w:sz w:val="20"/>
                <w:szCs w:val="22"/>
              </w:rPr>
              <w:t xml:space="preserve">   </w:t>
            </w:r>
          </w:p>
        </w:tc>
      </w:tr>
      <w:tr w:rsidR="006C69C1" w:rsidRPr="002C224A" w:rsidTr="006C69C1">
        <w:trPr>
          <w:trHeight w:val="300"/>
        </w:trPr>
        <w:tc>
          <w:tcPr>
            <w:tcW w:w="2860" w:type="dxa"/>
            <w:shd w:val="clear" w:color="auto" w:fill="FFFFFF"/>
            <w:noWrap/>
          </w:tcPr>
          <w:p w:rsidR="00526A6E" w:rsidRPr="00A50943" w:rsidRDefault="00526A6E" w:rsidP="006C69C1">
            <w:pPr>
              <w:overflowPunct/>
              <w:autoSpaceDE/>
              <w:autoSpaceDN/>
              <w:adjustRightInd/>
              <w:jc w:val="left"/>
              <w:textAlignment w:val="auto"/>
              <w:rPr>
                <w:b/>
                <w:color w:val="000000"/>
                <w:sz w:val="20"/>
                <w:szCs w:val="22"/>
              </w:rPr>
            </w:pPr>
            <w:r w:rsidRPr="00A50943">
              <w:rPr>
                <w:b/>
                <w:color w:val="000000"/>
                <w:sz w:val="20"/>
                <w:szCs w:val="22"/>
              </w:rPr>
              <w:t xml:space="preserve"> Počet projektů </w:t>
            </w:r>
          </w:p>
        </w:tc>
        <w:tc>
          <w:tcPr>
            <w:tcW w:w="2130" w:type="dxa"/>
            <w:shd w:val="clear" w:color="auto" w:fill="FFFFFF"/>
            <w:noWrap/>
          </w:tcPr>
          <w:p w:rsidR="00526A6E" w:rsidRPr="002C224A" w:rsidRDefault="00526A6E" w:rsidP="006C69C1">
            <w:pPr>
              <w:overflowPunct/>
              <w:autoSpaceDE/>
              <w:autoSpaceDN/>
              <w:adjustRightInd/>
              <w:jc w:val="left"/>
              <w:textAlignment w:val="auto"/>
              <w:rPr>
                <w:b/>
                <w:color w:val="000000"/>
                <w:sz w:val="20"/>
                <w:szCs w:val="22"/>
              </w:rPr>
            </w:pPr>
            <w:r w:rsidRPr="002C224A">
              <w:rPr>
                <w:b/>
                <w:color w:val="000000"/>
                <w:sz w:val="20"/>
                <w:szCs w:val="22"/>
              </w:rPr>
              <w:t xml:space="preserve">                         </w:t>
            </w:r>
            <w:r w:rsidR="00C3142A" w:rsidRPr="002C224A">
              <w:rPr>
                <w:b/>
                <w:color w:val="000000"/>
                <w:sz w:val="20"/>
                <w:szCs w:val="22"/>
              </w:rPr>
              <w:t>310-420</w:t>
            </w:r>
            <w:r w:rsidRPr="002C224A">
              <w:rPr>
                <w:b/>
                <w:color w:val="000000"/>
                <w:sz w:val="20"/>
                <w:szCs w:val="22"/>
              </w:rPr>
              <w:t xml:space="preserve"> </w:t>
            </w:r>
          </w:p>
        </w:tc>
      </w:tr>
      <w:tr w:rsidR="006C69C1" w:rsidRPr="002C224A" w:rsidTr="006C69C1">
        <w:trPr>
          <w:trHeight w:val="315"/>
        </w:trPr>
        <w:tc>
          <w:tcPr>
            <w:tcW w:w="2860" w:type="dxa"/>
            <w:shd w:val="clear" w:color="auto" w:fill="FFFFFF"/>
            <w:noWrap/>
          </w:tcPr>
          <w:p w:rsidR="00526A6E" w:rsidRPr="002C224A" w:rsidRDefault="00526A6E" w:rsidP="006C69C1">
            <w:pPr>
              <w:overflowPunct/>
              <w:autoSpaceDE/>
              <w:autoSpaceDN/>
              <w:adjustRightInd/>
              <w:jc w:val="left"/>
              <w:textAlignment w:val="auto"/>
              <w:rPr>
                <w:b/>
                <w:color w:val="000000"/>
                <w:sz w:val="20"/>
                <w:szCs w:val="22"/>
              </w:rPr>
            </w:pPr>
            <w:r w:rsidRPr="00A50943">
              <w:rPr>
                <w:b/>
                <w:color w:val="000000"/>
                <w:sz w:val="20"/>
                <w:szCs w:val="22"/>
              </w:rPr>
              <w:t xml:space="preserve"> Objem inv</w:t>
            </w:r>
            <w:r w:rsidRPr="002C224A">
              <w:rPr>
                <w:b/>
                <w:color w:val="000000"/>
                <w:sz w:val="20"/>
                <w:szCs w:val="22"/>
              </w:rPr>
              <w:t xml:space="preserve">estic </w:t>
            </w:r>
          </w:p>
        </w:tc>
        <w:tc>
          <w:tcPr>
            <w:tcW w:w="2130" w:type="dxa"/>
            <w:shd w:val="clear" w:color="auto" w:fill="FFFFFF"/>
            <w:noWrap/>
          </w:tcPr>
          <w:p w:rsidR="00526A6E" w:rsidRPr="002C224A" w:rsidRDefault="00526A6E" w:rsidP="006C69C1">
            <w:pPr>
              <w:keepNext/>
              <w:overflowPunct/>
              <w:autoSpaceDE/>
              <w:autoSpaceDN/>
              <w:adjustRightInd/>
              <w:jc w:val="left"/>
              <w:textAlignment w:val="auto"/>
              <w:rPr>
                <w:b/>
                <w:color w:val="000000"/>
                <w:sz w:val="20"/>
                <w:szCs w:val="22"/>
              </w:rPr>
            </w:pPr>
            <w:r w:rsidRPr="002C224A">
              <w:rPr>
                <w:b/>
                <w:color w:val="000000"/>
                <w:sz w:val="20"/>
                <w:szCs w:val="22"/>
              </w:rPr>
              <w:t xml:space="preserve">      2</w:t>
            </w:r>
            <w:r w:rsidR="00C3142A" w:rsidRPr="002C224A">
              <w:rPr>
                <w:b/>
                <w:color w:val="000000"/>
                <w:sz w:val="20"/>
                <w:szCs w:val="22"/>
              </w:rPr>
              <w:t xml:space="preserve"> 000 – </w:t>
            </w:r>
            <w:smartTag w:uri="urn:schemas-microsoft-com:office:smarttags" w:element="metricconverter">
              <w:smartTagPr>
                <w:attr w:name="ProductID" w:val="2ﾠ750 mil"/>
              </w:smartTagPr>
              <w:r w:rsidR="00C3142A" w:rsidRPr="002C224A">
                <w:rPr>
                  <w:b/>
                  <w:color w:val="000000"/>
                  <w:sz w:val="20"/>
                  <w:szCs w:val="22"/>
                </w:rPr>
                <w:t>2 750 mil</w:t>
              </w:r>
            </w:smartTag>
            <w:r w:rsidR="00C3142A" w:rsidRPr="002C224A">
              <w:rPr>
                <w:b/>
                <w:color w:val="000000"/>
                <w:sz w:val="20"/>
                <w:szCs w:val="22"/>
              </w:rPr>
              <w:t>. Kč</w:t>
            </w:r>
            <w:r w:rsidRPr="002C224A">
              <w:rPr>
                <w:b/>
                <w:color w:val="000000"/>
                <w:sz w:val="20"/>
                <w:szCs w:val="22"/>
              </w:rPr>
              <w:t xml:space="preserve">   </w:t>
            </w:r>
          </w:p>
        </w:tc>
      </w:tr>
    </w:tbl>
    <w:p w:rsidR="00526A6E" w:rsidRPr="002C224A" w:rsidRDefault="00526A6E" w:rsidP="00554FD3">
      <w:pPr>
        <w:pStyle w:val="Titulek"/>
      </w:pPr>
      <w:r w:rsidRPr="002C224A">
        <w:t>Tabulka</w:t>
      </w:r>
      <w:r w:rsidR="00541B4A">
        <w:t xml:space="preserve"> </w:t>
      </w:r>
      <w:r w:rsidR="00737C66" w:rsidRPr="002C224A">
        <w:t>6</w:t>
      </w:r>
      <w:r w:rsidR="00F6076B">
        <w:t>6</w:t>
      </w:r>
      <w:r w:rsidRPr="002C224A">
        <w:t>: Odhad absorpční kapacity MVE SC 3.1</w:t>
      </w:r>
    </w:p>
    <w:p w:rsidR="00D45777" w:rsidRPr="00A50943" w:rsidRDefault="00D45777" w:rsidP="00D45777"/>
    <w:p w:rsidR="006D67F1" w:rsidRPr="002C224A" w:rsidRDefault="006D67F1" w:rsidP="00283266">
      <w:pPr>
        <w:pStyle w:val="Nadpis4"/>
        <w:rPr>
          <w:rFonts w:ascii="Calibri" w:hAnsi="Calibri"/>
        </w:rPr>
      </w:pPr>
      <w:bookmarkStart w:id="853" w:name="_Toc416800453"/>
      <w:r w:rsidRPr="002C224A">
        <w:rPr>
          <w:rFonts w:ascii="Calibri" w:hAnsi="Calibri"/>
        </w:rPr>
        <w:t>Identifikace selhání trhu a suboptimálních investičních situací</w:t>
      </w:r>
    </w:p>
    <w:p w:rsidR="006D67F1" w:rsidRPr="00A50943" w:rsidRDefault="006D67F1" w:rsidP="00B66AFC"/>
    <w:bookmarkEnd w:id="853"/>
    <w:p w:rsidR="006D67F1" w:rsidRPr="002C224A" w:rsidRDefault="006D67F1" w:rsidP="00B66AFC">
      <w:r w:rsidRPr="002C224A">
        <w:lastRenderedPageBreak/>
        <w:t>Nejvýraznějším problémem pro investice ve sledovaných oblastech biomasy a BPS jsou vysok</w:t>
      </w:r>
      <w:r w:rsidR="003B7609" w:rsidRPr="002C224A">
        <w:t>á</w:t>
      </w:r>
      <w:r w:rsidRPr="002C224A">
        <w:t xml:space="preserve"> doba návratnosti</w:t>
      </w:r>
      <w:r w:rsidR="003B7609" w:rsidRPr="002C224A">
        <w:t xml:space="preserve"> a s výjimkou MVE i značně vysoké investiční náklady,</w:t>
      </w:r>
      <w:r w:rsidRPr="002C224A">
        <w:t xml:space="preserve"> kter</w:t>
      </w:r>
      <w:r w:rsidR="003B7609" w:rsidRPr="002C224A">
        <w:t>é</w:t>
      </w:r>
      <w:r w:rsidRPr="002C224A">
        <w:t xml:space="preserve"> se s nimi pojí. Sledované typy OZE z tohoto pohledu nemohou za tržních podmínek konkurovat zdrojům uhelné energetiky, také proto čerpají provozní podporu</w:t>
      </w:r>
      <w:r w:rsidR="003B7609" w:rsidRPr="002C224A">
        <w:t xml:space="preserve"> na výkup elektřiny</w:t>
      </w:r>
      <w:r w:rsidRPr="002C224A">
        <w:t xml:space="preserve"> (která byla</w:t>
      </w:r>
      <w:r w:rsidR="003B7609" w:rsidRPr="002C224A">
        <w:t xml:space="preserve"> nicméně</w:t>
      </w:r>
      <w:r w:rsidRPr="002C224A">
        <w:t xml:space="preserve"> zastavena pro nové zdroje zapojené po roce 2014 s výjimkou MVE).</w:t>
      </w:r>
    </w:p>
    <w:p w:rsidR="006D67F1" w:rsidRPr="002C224A" w:rsidRDefault="006D67F1" w:rsidP="00B66AFC"/>
    <w:p w:rsidR="006D67F1" w:rsidRPr="002C224A" w:rsidRDefault="003B7609" w:rsidP="00B66AFC">
      <w:r w:rsidRPr="002C224A">
        <w:t>Zavedení kogenerace a využití tepla pro lokální spotřebu</w:t>
      </w:r>
      <w:r w:rsidR="00201CB9" w:rsidRPr="002C224A">
        <w:t xml:space="preserve"> vzdáleným vyvedením</w:t>
      </w:r>
      <w:r w:rsidRPr="002C224A">
        <w:t xml:space="preserve"> </w:t>
      </w:r>
      <w:r w:rsidR="00201CB9" w:rsidRPr="002C224A">
        <w:t xml:space="preserve">není nicméně s provozní podporou přímo svázáno. </w:t>
      </w:r>
      <w:r w:rsidR="006D67F1" w:rsidRPr="002C224A">
        <w:t>Investice tedy mohou být motivovány jen tržními výnosy v této oblasti</w:t>
      </w:r>
      <w:r w:rsidR="00201CB9" w:rsidRPr="002C224A">
        <w:t>, relativně dlouhá návratnost a vysoké náklady mohou být nicméně nemotivující</w:t>
      </w:r>
      <w:r w:rsidR="006D67F1" w:rsidRPr="002C224A">
        <w:t xml:space="preserve">. Tržní selhání se váže </w:t>
      </w:r>
      <w:r w:rsidR="00201CB9" w:rsidRPr="002C224A">
        <w:t>zejména na</w:t>
      </w:r>
      <w:r w:rsidR="006D67F1" w:rsidRPr="002C224A">
        <w:t xml:space="preserve"> relativní vzdálenost, která v řadě případů dělí produkční místa od nejbližších spotřebitelských center. Investice do vedení tepla jsou poměrně náročné (viz SC 3.5), administrativně složité, nákladné a </w:t>
      </w:r>
      <w:r w:rsidR="00201CB9" w:rsidRPr="002C224A">
        <w:t xml:space="preserve">komplikované </w:t>
      </w:r>
      <w:r w:rsidR="006D67F1" w:rsidRPr="002C224A">
        <w:t>i co do zajištění a získání bankovního financování.</w:t>
      </w:r>
    </w:p>
    <w:p w:rsidR="006D67F1" w:rsidRPr="002C224A" w:rsidRDefault="006D67F1" w:rsidP="00B66AFC"/>
    <w:p w:rsidR="006D67F1" w:rsidRPr="002C224A" w:rsidRDefault="00201CB9" w:rsidP="00B86BF2">
      <w:r w:rsidRPr="002C224A">
        <w:t>Aktivita MVE se týká typicky pouze výroby elektřiny, na kterou je dosud možné čerpat provozní podporu i v rámci nových zdrojů. I</w:t>
      </w:r>
      <w:r w:rsidR="006D67F1" w:rsidRPr="002C224A">
        <w:t>nvestice do jejich zefektivnění j</w:t>
      </w:r>
      <w:r w:rsidRPr="002C224A">
        <w:t>sou</w:t>
      </w:r>
      <w:r w:rsidR="006D67F1" w:rsidRPr="002C224A">
        <w:t xml:space="preserve"> tedy z tohoto pohledu </w:t>
      </w:r>
      <w:r w:rsidRPr="002C224A">
        <w:t>i bez investiční podpory více opodstatnitelné</w:t>
      </w:r>
      <w:r w:rsidR="006D67F1" w:rsidRPr="002C224A">
        <w:t>.</w:t>
      </w:r>
      <w:r w:rsidRPr="002C224A">
        <w:t xml:space="preserve"> Projekty rekonstrukcí MVE jsou navíc zpravidla oproti BPS a biomase spíše menšího rázu co do potřebných investičních nákladů.</w:t>
      </w:r>
      <w:r w:rsidR="006D67F1" w:rsidRPr="002C224A">
        <w:t xml:space="preserve"> </w:t>
      </w:r>
      <w:r w:rsidR="007E69F1" w:rsidRPr="002C224A">
        <w:t>I přes tyto výhody MVE se nicméně</w:t>
      </w:r>
      <w:r w:rsidRPr="002C224A">
        <w:t xml:space="preserve"> doba návratnosti pohybuje na poměrně vysokých hodnotách,</w:t>
      </w:r>
      <w:r w:rsidR="007E69F1" w:rsidRPr="002C224A">
        <w:t xml:space="preserve"> které mohou být pro další investice demotivační.</w:t>
      </w:r>
      <w:r w:rsidR="006D67F1" w:rsidRPr="002C224A">
        <w:t xml:space="preserve"> Oblast se navíc potýká s administrativní</w:t>
      </w:r>
      <w:r w:rsidR="007E69F1" w:rsidRPr="002C224A">
        <w:t xml:space="preserve"> zátěží a relativně nejistým legislativním prostředím (zejména v otázkách dalšího vývoje podpory). Typičtí realizátoři mohou být různé podniky z řad MSP, pro něž může být přístup k externímu financování i z výše uvedených příčin složitý a bariérou jsou též vysoké počáteční náklady přípravy projektu.</w:t>
      </w:r>
    </w:p>
    <w:p w:rsidR="006D67F1" w:rsidRPr="002C224A" w:rsidRDefault="006D67F1" w:rsidP="001A387B"/>
    <w:p w:rsidR="006D67F1" w:rsidRPr="002C224A" w:rsidRDefault="006D67F1" w:rsidP="00283266">
      <w:pPr>
        <w:pStyle w:val="Nadpis4"/>
        <w:rPr>
          <w:rFonts w:ascii="Calibri" w:hAnsi="Calibri"/>
        </w:rPr>
      </w:pPr>
      <w:bookmarkStart w:id="854" w:name="_Toc416383851"/>
      <w:bookmarkStart w:id="855" w:name="_Toc416447840"/>
      <w:bookmarkStart w:id="856" w:name="_Toc416383852"/>
      <w:bookmarkStart w:id="857" w:name="_Toc416447841"/>
      <w:bookmarkStart w:id="858" w:name="_Toc416800454"/>
      <w:bookmarkEnd w:id="854"/>
      <w:bookmarkEnd w:id="855"/>
      <w:bookmarkEnd w:id="856"/>
      <w:bookmarkEnd w:id="857"/>
      <w:r w:rsidRPr="002C224A">
        <w:rPr>
          <w:rFonts w:ascii="Calibri" w:hAnsi="Calibri"/>
        </w:rPr>
        <w:t>Návrh řešení identifikovaných tržních selhání</w:t>
      </w:r>
    </w:p>
    <w:p w:rsidR="006D67F1" w:rsidRPr="00A50943" w:rsidRDefault="006D67F1" w:rsidP="00E61CBB"/>
    <w:bookmarkEnd w:id="858"/>
    <w:p w:rsidR="006D67F1" w:rsidRPr="002C224A" w:rsidRDefault="006D67F1" w:rsidP="00E61CBB">
      <w:r w:rsidRPr="002C224A">
        <w:t xml:space="preserve">Dle tržní analýzy sektoru obnovitelných zdrojů energie (OZE) a vyhodnocení dotazníkového šetření potencionálních investičních projektů v sledované oblasti vykazuje specifický cíl </w:t>
      </w:r>
      <w:r w:rsidRPr="002C224A">
        <w:rPr>
          <w:b/>
        </w:rPr>
        <w:t>3.1 – “</w:t>
      </w:r>
      <w:r w:rsidRPr="002C224A">
        <w:rPr>
          <w:rFonts w:cs="Arial"/>
          <w:b/>
          <w:szCs w:val="19"/>
        </w:rPr>
        <w:t>Zvýšit podíl výroby energie z obnovitelných zdrojů na hrubé konečné spotřebě ČR</w:t>
      </w:r>
      <w:r w:rsidRPr="002C224A">
        <w:rPr>
          <w:b/>
        </w:rPr>
        <w:t xml:space="preserve">“ </w:t>
      </w:r>
      <w:r w:rsidRPr="002C224A">
        <w:t>částečný potenciál pro zapojení finančních nástrojů. Hlavním problémem jsou náklady modernizace těchto zařízení, které implikují dlouhou návratnost cílových investic i v případě provozní podpory odkupu vyrobené elektřiny, kterou tyto zařízení dnes čerpají.</w:t>
      </w:r>
      <w:r w:rsidR="001436FB" w:rsidRPr="002C224A">
        <w:t xml:space="preserve"> </w:t>
      </w:r>
      <w:r w:rsidRPr="002C224A">
        <w:t>Výsledky dotazníkového šetření poukazují na fakt, že pouze 12 % subjektů je ochotných realizovat investici do OZE bez nějaké formy veřejné podpory.</w:t>
      </w:r>
    </w:p>
    <w:p w:rsidR="006D67F1" w:rsidRPr="002C224A" w:rsidRDefault="006D67F1" w:rsidP="00E61CBB">
      <w:pPr>
        <w:pStyle w:val="BodyText1"/>
        <w:jc w:val="both"/>
        <w:rPr>
          <w:rFonts w:ascii="Calibri" w:hAnsi="Calibri"/>
        </w:rPr>
      </w:pPr>
    </w:p>
    <w:p w:rsidR="006D67F1" w:rsidRPr="002C224A" w:rsidRDefault="006D67F1" w:rsidP="00E61CBB">
      <w:r w:rsidRPr="00A50943">
        <w:t xml:space="preserve">Zejména </w:t>
      </w:r>
      <w:r w:rsidR="001436FB" w:rsidRPr="002C224A">
        <w:t>v případě</w:t>
      </w:r>
      <w:r w:rsidRPr="002C224A">
        <w:t xml:space="preserve"> vyvedení tepla v případě BPS a </w:t>
      </w:r>
      <w:r w:rsidR="00190879" w:rsidRPr="002C224A">
        <w:t xml:space="preserve">biomasy </w:t>
      </w:r>
      <w:r w:rsidRPr="002C224A">
        <w:t>je nutné vzít v úvahu vysoké náklady na konstrukci/modernizaci soustav pro zásobování teplem blízkého okolí, kde doba návratnosti investice může překračovat tržní akceptovatelnost a kritéria poskytnutí úvěru. U těchto aktivit tedy navrhujeme ponechat primárně dotační podporu.</w:t>
      </w:r>
    </w:p>
    <w:p w:rsidR="006D67F1" w:rsidRPr="002C224A" w:rsidRDefault="006D67F1" w:rsidP="00E61CBB"/>
    <w:p w:rsidR="006D67F1" w:rsidRPr="002C224A" w:rsidRDefault="006D67F1" w:rsidP="00E61CBB">
      <w:r w:rsidRPr="002C224A">
        <w:t>Potenciál na využití zvýhodněných úvěrů spatřujeme u MVE, které i pro nově zapojené zdroje budou moci čerpat provozní podporu na výkup elektřiny</w:t>
      </w:r>
      <w:r w:rsidR="00190879" w:rsidRPr="002C224A">
        <w:t xml:space="preserve">. </w:t>
      </w:r>
      <w:r w:rsidRPr="002C224A">
        <w:t>I zde je však v mnoha případech vhodné motivovat větší investiční aktivitu v rekonstrukci starých zdrojů, která je nákladná a může být problematická z hlediska návratnosti a získání financování.  Zvýhodněný úvěr by ulehčil přístup k financování a jeho cenu a může tak pomoci větší investiční aktivitě v této oblasti. Komplikací v tomto ohledu je možnost kombinace provozní a investiční podpory, která v případě OZE limituje i použití dotací.</w:t>
      </w:r>
    </w:p>
    <w:p w:rsidR="006D67F1" w:rsidRPr="002C224A" w:rsidRDefault="006D67F1" w:rsidP="002433DA">
      <w:pPr>
        <w:pStyle w:val="Nadpis3"/>
        <w:rPr>
          <w:rFonts w:ascii="Calibri" w:hAnsi="Calibri"/>
          <w:lang w:eastAsia="en-US"/>
        </w:rPr>
      </w:pPr>
      <w:bookmarkStart w:id="859" w:name="_Toc416447843"/>
      <w:bookmarkStart w:id="860" w:name="_Toc416447844"/>
      <w:bookmarkStart w:id="861" w:name="_Toc416447845"/>
      <w:bookmarkStart w:id="862" w:name="_Toc416447846"/>
      <w:bookmarkStart w:id="863" w:name="_Toc416447847"/>
      <w:bookmarkStart w:id="864" w:name="_Toc416447848"/>
      <w:bookmarkStart w:id="865" w:name="_Toc416447849"/>
      <w:bookmarkStart w:id="866" w:name="_Toc416447850"/>
      <w:bookmarkStart w:id="867" w:name="_Toc416447851"/>
      <w:bookmarkStart w:id="868" w:name="_Toc416447853"/>
      <w:bookmarkStart w:id="869" w:name="_Toc416800455"/>
      <w:bookmarkStart w:id="870" w:name="_Toc421534298"/>
      <w:bookmarkEnd w:id="859"/>
      <w:bookmarkEnd w:id="860"/>
      <w:bookmarkEnd w:id="861"/>
      <w:bookmarkEnd w:id="862"/>
      <w:bookmarkEnd w:id="863"/>
      <w:bookmarkEnd w:id="864"/>
      <w:bookmarkEnd w:id="865"/>
      <w:bookmarkEnd w:id="866"/>
      <w:bookmarkEnd w:id="867"/>
      <w:bookmarkEnd w:id="868"/>
      <w:r w:rsidRPr="002C224A">
        <w:rPr>
          <w:rFonts w:ascii="Calibri" w:hAnsi="Calibri"/>
          <w:lang w:eastAsia="en-US"/>
        </w:rPr>
        <w:t>Posouzení přidané hodnoty finančních nástrojů</w:t>
      </w:r>
      <w:bookmarkEnd w:id="869"/>
      <w:bookmarkEnd w:id="870"/>
    </w:p>
    <w:p w:rsidR="006D67F1" w:rsidRPr="002C224A" w:rsidRDefault="006D67F1" w:rsidP="00283266">
      <w:pPr>
        <w:pStyle w:val="Nadpis4"/>
        <w:rPr>
          <w:rFonts w:ascii="Calibri" w:hAnsi="Calibri"/>
        </w:rPr>
      </w:pPr>
      <w:r w:rsidRPr="002C224A">
        <w:rPr>
          <w:rFonts w:ascii="Calibri" w:hAnsi="Calibri"/>
        </w:rPr>
        <w:t>Představení typových projektů</w:t>
      </w:r>
    </w:p>
    <w:p w:rsidR="00E0602B" w:rsidRPr="002C224A" w:rsidRDefault="001607A9" w:rsidP="006537E2">
      <w:r w:rsidRPr="00A50943">
        <w:t xml:space="preserve">Typovým projektem pro FN v SC 3.1 je podpořený projekt MVE z OP PI. </w:t>
      </w:r>
      <w:r w:rsidR="006D67F1" w:rsidRPr="002C224A">
        <w:t>Žadatelem</w:t>
      </w:r>
      <w:r w:rsidR="00E0602B" w:rsidRPr="002C224A">
        <w:t xml:space="preserve"> byl</w:t>
      </w:r>
      <w:r w:rsidR="006D67F1" w:rsidRPr="002C224A">
        <w:t xml:space="preserve"> </w:t>
      </w:r>
      <w:r w:rsidR="00E0602B" w:rsidRPr="002C224A">
        <w:t>malý podnik</w:t>
      </w:r>
      <w:r w:rsidRPr="002C224A">
        <w:t xml:space="preserve"> podnikající v</w:t>
      </w:r>
      <w:r w:rsidR="00E0602B" w:rsidRPr="002C224A">
        <w:t> odpadovém průmyslu.</w:t>
      </w:r>
      <w:r w:rsidR="006D67F1" w:rsidRPr="002C224A">
        <w:t xml:space="preserve"> Ve sledovaném případě bylo věcným záměrem projektu výstavba MVE s instalovaným výkonem 80 KW a roční produkci 300 MWh</w:t>
      </w:r>
      <w:r w:rsidR="00E0602B" w:rsidRPr="002C224A">
        <w:t xml:space="preserve"> na místě nerealizovaného projektu </w:t>
      </w:r>
      <w:r w:rsidR="00E0602B" w:rsidRPr="002C224A">
        <w:lastRenderedPageBreak/>
        <w:t>MVE, který byl před 20 lety započat, avšak nedokončen</w:t>
      </w:r>
      <w:r w:rsidR="006D67F1" w:rsidRPr="002C224A">
        <w:t xml:space="preserve">. Celkové investiční náklady projektu dosahovaly </w:t>
      </w:r>
      <w:smartTag w:uri="urn:schemas-microsoft-com:office:smarttags" w:element="metricconverter">
        <w:smartTagPr>
          <w:attr w:name="ProductID" w:val="6,5 mil"/>
        </w:smartTagPr>
        <w:r w:rsidR="006D67F1" w:rsidRPr="002C224A">
          <w:t>6,5 mil</w:t>
        </w:r>
      </w:smartTag>
      <w:r w:rsidR="006D67F1" w:rsidRPr="002C224A">
        <w:t xml:space="preserve">. Kč, z toho </w:t>
      </w:r>
      <w:smartTag w:uri="urn:schemas-microsoft-com:office:smarttags" w:element="metricconverter">
        <w:smartTagPr>
          <w:attr w:name="ProductID" w:val="2,5 mil"/>
        </w:smartTagPr>
        <w:r w:rsidR="006D67F1" w:rsidRPr="002C224A">
          <w:t>2,5 mil</w:t>
        </w:r>
      </w:smartTag>
      <w:r w:rsidR="006D67F1" w:rsidRPr="002C224A">
        <w:t>. Kč byly rozpočtované stavební náklady a zbylá suma byla určená na nákup technologie.</w:t>
      </w:r>
      <w:r w:rsidR="00E0602B" w:rsidRPr="002C224A">
        <w:t xml:space="preserve"> Jednalo se tedy v kategorii MVE o malý projekt</w:t>
      </w:r>
      <w:r w:rsidR="00805FB7" w:rsidRPr="002C224A">
        <w:t>, průměrná produkce MVE v ČR je cca 900 MWh ročně.</w:t>
      </w:r>
    </w:p>
    <w:p w:rsidR="00E0602B" w:rsidRPr="002C224A" w:rsidRDefault="00E0602B" w:rsidP="006537E2"/>
    <w:p w:rsidR="006D67F1" w:rsidRPr="002C224A" w:rsidRDefault="001607A9" w:rsidP="006537E2">
      <w:r w:rsidRPr="002C224A">
        <w:t>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w:t>
      </w:r>
    </w:p>
    <w:p w:rsidR="00737C66" w:rsidRPr="002C224A" w:rsidRDefault="00737C66" w:rsidP="006537E2"/>
    <w:p w:rsidR="00737C66" w:rsidRPr="002C224A" w:rsidRDefault="00737C66" w:rsidP="00737C66">
      <w:pPr>
        <w:pStyle w:val="Titulek"/>
      </w:pPr>
      <w:r w:rsidRPr="002C224A">
        <w:t>Tabulka 6</w:t>
      </w:r>
      <w:r w:rsidR="00F6076B">
        <w:t>7</w:t>
      </w:r>
      <w:r w:rsidRPr="002C224A">
        <w:t xml:space="preserve">: </w:t>
      </w:r>
      <w:r w:rsidR="00541B4A">
        <w:t>Vliv podpory na ekonomiku projektu</w:t>
      </w:r>
    </w:p>
    <w:tbl>
      <w:tblPr>
        <w:tblW w:w="8914" w:type="dxa"/>
        <w:tblInd w:w="55" w:type="dxa"/>
        <w:tblCellMar>
          <w:left w:w="0" w:type="dxa"/>
          <w:right w:w="0" w:type="dxa"/>
        </w:tblCellMar>
        <w:tblLook w:val="00A0" w:firstRow="1" w:lastRow="0" w:firstColumn="1" w:lastColumn="0" w:noHBand="0" w:noVBand="0"/>
      </w:tblPr>
      <w:tblGrid>
        <w:gridCol w:w="2388"/>
        <w:gridCol w:w="1570"/>
        <w:gridCol w:w="1562"/>
        <w:gridCol w:w="1732"/>
        <w:gridCol w:w="1710"/>
      </w:tblGrid>
      <w:tr w:rsidR="006D67F1" w:rsidRPr="002C224A" w:rsidTr="00AC4E40">
        <w:trPr>
          <w:trHeight w:val="20"/>
        </w:trPr>
        <w:tc>
          <w:tcPr>
            <w:tcW w:w="2380" w:type="dxa"/>
            <w:tcBorders>
              <w:top w:val="single" w:sz="4" w:space="0" w:color="002776"/>
              <w:left w:val="single" w:sz="4" w:space="0" w:color="002776"/>
              <w:bottom w:val="nil"/>
              <w:right w:val="nil"/>
            </w:tcBorders>
            <w:shd w:val="clear" w:color="000000" w:fill="002776"/>
            <w:noWrap/>
            <w:vAlign w:val="center"/>
          </w:tcPr>
          <w:p w:rsidR="006D67F1" w:rsidRPr="00A50943" w:rsidRDefault="006D67F1" w:rsidP="00AC4E40">
            <w:pPr>
              <w:keepNext/>
              <w:keepLines/>
              <w:jc w:val="center"/>
              <w:rPr>
                <w:b/>
                <w:bCs/>
                <w:color w:val="FFFFFF"/>
                <w:szCs w:val="18"/>
              </w:rPr>
            </w:pPr>
          </w:p>
        </w:tc>
        <w:tc>
          <w:tcPr>
            <w:tcW w:w="1554" w:type="dxa"/>
            <w:tcBorders>
              <w:top w:val="single" w:sz="4" w:space="0" w:color="002776"/>
              <w:left w:val="nil"/>
              <w:bottom w:val="single" w:sz="4" w:space="0" w:color="FFFFFF"/>
              <w:right w:val="nil"/>
            </w:tcBorders>
            <w:shd w:val="clear" w:color="000000" w:fill="002776"/>
            <w:noWrap/>
            <w:vAlign w:val="bottom"/>
          </w:tcPr>
          <w:p w:rsidR="006D67F1" w:rsidRPr="002C224A" w:rsidRDefault="006D67F1" w:rsidP="00AC4E40">
            <w:pPr>
              <w:keepNext/>
              <w:keepLines/>
              <w:rPr>
                <w:b/>
                <w:bCs/>
                <w:color w:val="FFFFFF"/>
                <w:szCs w:val="18"/>
              </w:rPr>
            </w:pPr>
            <w:r w:rsidRPr="002C224A">
              <w:rPr>
                <w:b/>
                <w:bCs/>
                <w:color w:val="FFFFFF"/>
                <w:szCs w:val="18"/>
              </w:rPr>
              <w:t> </w:t>
            </w:r>
          </w:p>
        </w:tc>
        <w:tc>
          <w:tcPr>
            <w:tcW w:w="4980" w:type="dxa"/>
            <w:gridSpan w:val="3"/>
            <w:tcBorders>
              <w:top w:val="single" w:sz="4" w:space="0" w:color="002776"/>
              <w:left w:val="nil"/>
              <w:bottom w:val="single" w:sz="4" w:space="0" w:color="FFFFFF"/>
              <w:right w:val="single" w:sz="4" w:space="0" w:color="002776"/>
            </w:tcBorders>
            <w:shd w:val="clear" w:color="000000" w:fill="002776"/>
            <w:noWrap/>
            <w:vAlign w:val="bottom"/>
          </w:tcPr>
          <w:p w:rsidR="006D67F1" w:rsidRPr="002C224A" w:rsidRDefault="006D67F1" w:rsidP="00AC4E40">
            <w:pPr>
              <w:keepNext/>
              <w:keepLines/>
              <w:rPr>
                <w:b/>
                <w:bCs/>
                <w:color w:val="FFFFFF"/>
                <w:szCs w:val="18"/>
              </w:rPr>
            </w:pPr>
            <w:r w:rsidRPr="002C224A">
              <w:rPr>
                <w:b/>
                <w:bCs/>
                <w:color w:val="FFFFFF"/>
                <w:szCs w:val="18"/>
              </w:rPr>
              <w:t> </w:t>
            </w:r>
          </w:p>
          <w:p w:rsidR="006D67F1" w:rsidRPr="002C224A" w:rsidRDefault="006D67F1" w:rsidP="00AC4E40">
            <w:pPr>
              <w:keepNext/>
              <w:keepLines/>
              <w:jc w:val="right"/>
              <w:rPr>
                <w:b/>
                <w:bCs/>
                <w:i/>
                <w:iCs/>
                <w:color w:val="FFFFFF"/>
                <w:szCs w:val="18"/>
              </w:rPr>
            </w:pPr>
            <w:r w:rsidRPr="002C224A">
              <w:rPr>
                <w:b/>
                <w:bCs/>
                <w:i/>
                <w:iCs/>
                <w:color w:val="FFFFFF"/>
                <w:szCs w:val="18"/>
              </w:rPr>
              <w:t xml:space="preserve">Investice: 6 500 000 Kč </w:t>
            </w:r>
            <w:r w:rsidRPr="002C224A">
              <w:rPr>
                <w:b/>
                <w:bCs/>
                <w:i/>
                <w:iCs/>
                <w:color w:val="FFFFFF"/>
                <w:szCs w:val="18"/>
              </w:rPr>
              <w:br/>
              <w:t xml:space="preserve">Roční provozní výnos/úspora: 773 000 Kč </w:t>
            </w:r>
            <w:r w:rsidRPr="002C224A">
              <w:rPr>
                <w:b/>
                <w:bCs/>
                <w:i/>
                <w:iCs/>
                <w:color w:val="FFFFFF"/>
                <w:szCs w:val="18"/>
              </w:rPr>
              <w:br/>
              <w:t xml:space="preserve">Komerční úvěr - úroková sazba: 4,0 % </w:t>
            </w:r>
          </w:p>
          <w:p w:rsidR="006D67F1" w:rsidRPr="002C224A" w:rsidRDefault="006D67F1" w:rsidP="00AC4E40">
            <w:pPr>
              <w:keepNext/>
              <w:keepLines/>
              <w:jc w:val="right"/>
              <w:rPr>
                <w:b/>
                <w:bCs/>
                <w:i/>
                <w:iCs/>
                <w:color w:val="FFFFFF"/>
                <w:szCs w:val="18"/>
              </w:rPr>
            </w:pPr>
            <w:r w:rsidRPr="002C224A">
              <w:rPr>
                <w:b/>
                <w:bCs/>
                <w:i/>
                <w:iCs/>
                <w:color w:val="FFFFFF"/>
                <w:szCs w:val="18"/>
              </w:rPr>
              <w:t xml:space="preserve">Zvýhodněný úvěr: úroková sazba: 1,0 %  </w:t>
            </w:r>
          </w:p>
        </w:tc>
      </w:tr>
      <w:tr w:rsidR="006D67F1" w:rsidRPr="002C224A" w:rsidTr="00AC4E40">
        <w:trPr>
          <w:trHeight w:val="20"/>
        </w:trPr>
        <w:tc>
          <w:tcPr>
            <w:tcW w:w="2380" w:type="dxa"/>
            <w:tcBorders>
              <w:top w:val="nil"/>
              <w:left w:val="single" w:sz="4" w:space="0" w:color="002776"/>
              <w:bottom w:val="single" w:sz="4" w:space="0" w:color="002776"/>
              <w:right w:val="nil"/>
            </w:tcBorders>
            <w:shd w:val="clear" w:color="000000" w:fill="002776"/>
            <w:noWrap/>
            <w:vAlign w:val="center"/>
          </w:tcPr>
          <w:p w:rsidR="006D67F1" w:rsidRPr="002C224A" w:rsidRDefault="006D67F1" w:rsidP="00AC4E40">
            <w:pPr>
              <w:keepNext/>
              <w:keepLines/>
              <w:rPr>
                <w:b/>
                <w:bCs/>
                <w:color w:val="FFFFFF"/>
                <w:szCs w:val="18"/>
              </w:rPr>
            </w:pPr>
            <w:r w:rsidRPr="002C224A">
              <w:rPr>
                <w:b/>
                <w:bCs/>
                <w:color w:val="FFFFFF"/>
                <w:szCs w:val="18"/>
              </w:rPr>
              <w:t> </w:t>
            </w:r>
          </w:p>
        </w:tc>
        <w:tc>
          <w:tcPr>
            <w:tcW w:w="1554" w:type="dxa"/>
            <w:tcBorders>
              <w:top w:val="single" w:sz="4" w:space="0" w:color="FFFFFF"/>
              <w:left w:val="nil"/>
              <w:bottom w:val="single" w:sz="4" w:space="0" w:color="002776"/>
              <w:right w:val="nil"/>
            </w:tcBorders>
            <w:shd w:val="clear" w:color="000000" w:fill="002776"/>
            <w:noWrap/>
            <w:vAlign w:val="center"/>
          </w:tcPr>
          <w:p w:rsidR="006D67F1" w:rsidRPr="002C224A" w:rsidRDefault="006D67F1" w:rsidP="00AC4E40">
            <w:pPr>
              <w:keepNext/>
              <w:keepLines/>
              <w:jc w:val="center"/>
              <w:rPr>
                <w:b/>
                <w:bCs/>
                <w:color w:val="FFFFFF"/>
                <w:szCs w:val="18"/>
              </w:rPr>
            </w:pPr>
            <w:r w:rsidRPr="002C224A">
              <w:rPr>
                <w:b/>
                <w:bCs/>
                <w:color w:val="FFFFFF"/>
                <w:szCs w:val="18"/>
              </w:rPr>
              <w:t>100 % tržní úvěr</w:t>
            </w:r>
          </w:p>
        </w:tc>
        <w:tc>
          <w:tcPr>
            <w:tcW w:w="1554" w:type="dxa"/>
            <w:tcBorders>
              <w:top w:val="single" w:sz="4" w:space="0" w:color="FFFFFF"/>
              <w:left w:val="nil"/>
              <w:bottom w:val="single" w:sz="4" w:space="0" w:color="002776"/>
              <w:right w:val="nil"/>
            </w:tcBorders>
            <w:shd w:val="clear" w:color="000000" w:fill="002776"/>
            <w:vAlign w:val="center"/>
          </w:tcPr>
          <w:p w:rsidR="006D67F1" w:rsidRPr="002C224A" w:rsidRDefault="006D67F1" w:rsidP="00AC4E40">
            <w:pPr>
              <w:keepNext/>
              <w:keepLines/>
              <w:jc w:val="center"/>
              <w:rPr>
                <w:b/>
                <w:bCs/>
                <w:color w:val="FFFFFF"/>
                <w:szCs w:val="18"/>
              </w:rPr>
            </w:pPr>
            <w:r w:rsidRPr="002C224A">
              <w:rPr>
                <w:b/>
                <w:bCs/>
                <w:color w:val="FFFFFF"/>
                <w:szCs w:val="18"/>
              </w:rPr>
              <w:t>50 % tržní úvěr, 50 % dotace</w:t>
            </w:r>
          </w:p>
        </w:tc>
        <w:tc>
          <w:tcPr>
            <w:tcW w:w="1724" w:type="dxa"/>
            <w:tcBorders>
              <w:top w:val="single" w:sz="4" w:space="0" w:color="FFFFFF"/>
              <w:left w:val="nil"/>
              <w:bottom w:val="single" w:sz="4" w:space="0" w:color="002776"/>
              <w:right w:val="nil"/>
            </w:tcBorders>
            <w:shd w:val="clear" w:color="000000" w:fill="002776"/>
            <w:vAlign w:val="center"/>
          </w:tcPr>
          <w:p w:rsidR="006D67F1" w:rsidRPr="002C224A" w:rsidRDefault="006D67F1" w:rsidP="00AC4E40">
            <w:pPr>
              <w:keepNext/>
              <w:keepLines/>
              <w:jc w:val="center"/>
              <w:rPr>
                <w:b/>
                <w:bCs/>
                <w:color w:val="FFFFFF"/>
                <w:szCs w:val="18"/>
              </w:rPr>
            </w:pPr>
            <w:r w:rsidRPr="002C224A">
              <w:rPr>
                <w:b/>
                <w:bCs/>
                <w:color w:val="FFFFFF"/>
                <w:szCs w:val="18"/>
              </w:rPr>
              <w:t>20 % dotace, 80 % zvýhodněný úvěr</w:t>
            </w:r>
          </w:p>
        </w:tc>
        <w:tc>
          <w:tcPr>
            <w:tcW w:w="1702" w:type="dxa"/>
            <w:tcBorders>
              <w:top w:val="single" w:sz="4" w:space="0" w:color="FFFFFF"/>
              <w:left w:val="nil"/>
              <w:bottom w:val="single" w:sz="4" w:space="0" w:color="002776"/>
              <w:right w:val="single" w:sz="4" w:space="0" w:color="002776"/>
            </w:tcBorders>
            <w:shd w:val="clear" w:color="000000" w:fill="002776"/>
            <w:vAlign w:val="center"/>
          </w:tcPr>
          <w:p w:rsidR="006D67F1" w:rsidRPr="002C224A" w:rsidRDefault="006D67F1" w:rsidP="00AC4E40">
            <w:pPr>
              <w:keepNext/>
              <w:keepLines/>
              <w:jc w:val="center"/>
              <w:rPr>
                <w:b/>
                <w:bCs/>
                <w:color w:val="FFFFFF"/>
                <w:szCs w:val="18"/>
              </w:rPr>
            </w:pPr>
            <w:r w:rsidRPr="002C224A">
              <w:rPr>
                <w:b/>
                <w:bCs/>
                <w:color w:val="FFFFFF"/>
                <w:szCs w:val="18"/>
              </w:rPr>
              <w:t>100 % zvýhodněný úvěr</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rPr>
                <w:color w:val="000000"/>
                <w:szCs w:val="18"/>
              </w:rPr>
            </w:pPr>
            <w:r w:rsidRPr="002C224A">
              <w:rPr>
                <w:color w:val="000000"/>
                <w:szCs w:val="18"/>
              </w:rPr>
              <w:t>Vnitřní výnosové procento (IRR)</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9,9%</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23,3%</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13,5%</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center"/>
              <w:rPr>
                <w:color w:val="000000"/>
                <w:szCs w:val="18"/>
              </w:rPr>
            </w:pPr>
            <w:r w:rsidRPr="002C224A">
              <w:rPr>
                <w:szCs w:val="18"/>
              </w:rPr>
              <w:t>9,9%</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rPr>
                <w:color w:val="000000"/>
                <w:szCs w:val="18"/>
              </w:rPr>
            </w:pPr>
            <w:r w:rsidRPr="002C224A">
              <w:rPr>
                <w:color w:val="000000"/>
                <w:szCs w:val="18"/>
              </w:rPr>
              <w:t>Čistá současná hodnota (NPV v Kč)</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3 512 053</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6 637 053</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8 035 351</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center"/>
              <w:rPr>
                <w:color w:val="000000"/>
                <w:szCs w:val="18"/>
              </w:rPr>
            </w:pPr>
            <w:r w:rsidRPr="002C224A">
              <w:rPr>
                <w:szCs w:val="18"/>
              </w:rPr>
              <w:t>6 748 222</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rPr>
                <w:color w:val="000000"/>
                <w:szCs w:val="18"/>
              </w:rPr>
            </w:pPr>
            <w:r w:rsidRPr="002C224A">
              <w:rPr>
                <w:color w:val="000000"/>
                <w:szCs w:val="18"/>
              </w:rPr>
              <w:t>Prostá doba návratnosti (roky)</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8,4</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4,2</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6,7</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center"/>
              <w:rPr>
                <w:color w:val="000000"/>
                <w:szCs w:val="18"/>
              </w:rPr>
            </w:pPr>
            <w:r w:rsidRPr="002C224A">
              <w:rPr>
                <w:szCs w:val="18"/>
              </w:rPr>
              <w:t>8,4</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rPr>
                <w:color w:val="000000"/>
                <w:szCs w:val="18"/>
              </w:rPr>
            </w:pPr>
            <w:r w:rsidRPr="002C224A">
              <w:rPr>
                <w:color w:val="000000"/>
                <w:szCs w:val="18"/>
              </w:rPr>
              <w:t>Diskontovaná doba návratnosti (roky)</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11,5</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5,7</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center"/>
              <w:rPr>
                <w:color w:val="000000"/>
                <w:szCs w:val="18"/>
              </w:rPr>
            </w:pPr>
            <w:r w:rsidRPr="002C224A">
              <w:rPr>
                <w:szCs w:val="18"/>
              </w:rPr>
              <w:t>8,0</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center"/>
              <w:rPr>
                <w:color w:val="000000"/>
                <w:szCs w:val="18"/>
              </w:rPr>
            </w:pPr>
            <w:r w:rsidRPr="002C224A">
              <w:rPr>
                <w:szCs w:val="18"/>
              </w:rPr>
              <w:t>9,8</w:t>
            </w:r>
          </w:p>
        </w:tc>
      </w:tr>
    </w:tbl>
    <w:p w:rsidR="006D67F1" w:rsidRPr="002C224A" w:rsidRDefault="006D67F1" w:rsidP="006537E2"/>
    <w:p w:rsidR="006D67F1" w:rsidRPr="002C224A" w:rsidRDefault="006D67F1" w:rsidP="006537E2">
      <w:r w:rsidRPr="002C224A">
        <w:t>Diskontována doba návratnosti úvěrových nástrojů ukazuje, že pomoci zvýhodněného úvěru je možné dosáhnout dobu návratnosti nižší než 10 let.</w:t>
      </w:r>
    </w:p>
    <w:p w:rsidR="006D67F1" w:rsidRPr="002C224A" w:rsidRDefault="006D67F1" w:rsidP="00283266"/>
    <w:p w:rsidR="006D67F1" w:rsidRPr="002C224A" w:rsidRDefault="006D67F1" w:rsidP="00283266">
      <w:pPr>
        <w:pStyle w:val="Nadpis4"/>
        <w:rPr>
          <w:rFonts w:ascii="Calibri" w:hAnsi="Calibri"/>
        </w:rPr>
      </w:pPr>
      <w:r w:rsidRPr="002C224A">
        <w:rPr>
          <w:rFonts w:ascii="Calibri" w:hAnsi="Calibri"/>
        </w:rPr>
        <w:t>Přidaná hodnota finančního nástroje, problémy, rizika a srovnání s jinými formami podpory</w:t>
      </w:r>
    </w:p>
    <w:p w:rsidR="006D67F1" w:rsidRPr="00A50943" w:rsidRDefault="006D67F1" w:rsidP="00DE0CB4"/>
    <w:p w:rsidR="006D67F1" w:rsidRPr="002C224A" w:rsidRDefault="006D67F1" w:rsidP="00DE0CB4">
      <w:r w:rsidRPr="002C224A">
        <w:t>V rámci tabulek níže je uveden přehled přidané hodnoty, problémů a rizik z pohledu konečného příjemce a ŘO (tabulka č. 2) a z pohledu celkového dopadu na absorpční kapacitu a dosažení cílů SC 3.1, se zohledněním dopadů na tržní prostředí. Porovnány jsou nástroje formou záruk, zvýhodněných úvěrů a dotací.</w:t>
      </w:r>
    </w:p>
    <w:p w:rsidR="006D67F1" w:rsidRPr="002C224A" w:rsidRDefault="006D67F1" w:rsidP="004B44BD"/>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67F1" w:rsidRPr="002C224A" w:rsidTr="002E3AE9">
        <w:trPr>
          <w:trHeight w:val="315"/>
        </w:trPr>
        <w:tc>
          <w:tcPr>
            <w:tcW w:w="960" w:type="dxa"/>
            <w:shd w:val="clear" w:color="auto" w:fill="365F91"/>
            <w:noWrap/>
            <w:vAlign w:val="bottom"/>
          </w:tcPr>
          <w:p w:rsidR="006D67F1" w:rsidRPr="002C224A" w:rsidRDefault="006D67F1" w:rsidP="002E3AE9">
            <w:pPr>
              <w:jc w:val="left"/>
              <w:rPr>
                <w:sz w:val="24"/>
                <w:szCs w:val="24"/>
              </w:rPr>
            </w:pPr>
          </w:p>
        </w:tc>
        <w:tc>
          <w:tcPr>
            <w:tcW w:w="960" w:type="dxa"/>
            <w:shd w:val="clear" w:color="auto" w:fill="365F91"/>
            <w:noWrap/>
            <w:vAlign w:val="bottom"/>
          </w:tcPr>
          <w:p w:rsidR="006D67F1" w:rsidRPr="002C224A" w:rsidRDefault="006D67F1" w:rsidP="002E3AE9">
            <w:pPr>
              <w:jc w:val="left"/>
              <w:rPr>
                <w:color w:val="000000"/>
                <w:sz w:val="24"/>
                <w:szCs w:val="24"/>
              </w:rPr>
            </w:pPr>
            <w:r w:rsidRPr="002C224A">
              <w:rPr>
                <w:color w:val="000000"/>
                <w:sz w:val="24"/>
                <w:szCs w:val="24"/>
              </w:rPr>
              <w:t> </w:t>
            </w:r>
          </w:p>
        </w:tc>
        <w:tc>
          <w:tcPr>
            <w:tcW w:w="4744" w:type="dxa"/>
            <w:gridSpan w:val="2"/>
            <w:shd w:val="clear" w:color="auto" w:fill="365F91"/>
            <w:noWrap/>
            <w:vAlign w:val="center"/>
          </w:tcPr>
          <w:p w:rsidR="006D67F1" w:rsidRPr="00A50943" w:rsidRDefault="006D67F1" w:rsidP="002E3AE9">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2E3AE9">
            <w:pPr>
              <w:jc w:val="center"/>
              <w:rPr>
                <w:b/>
                <w:bCs/>
                <w:color w:val="FFFFFF"/>
                <w:sz w:val="24"/>
                <w:szCs w:val="24"/>
              </w:rPr>
            </w:pPr>
            <w:r w:rsidRPr="002C224A">
              <w:rPr>
                <w:b/>
                <w:bCs/>
                <w:color w:val="FFFFFF"/>
                <w:sz w:val="24"/>
                <w:szCs w:val="24"/>
              </w:rPr>
              <w:t>Dotace</w:t>
            </w:r>
          </w:p>
        </w:tc>
      </w:tr>
      <w:tr w:rsidR="006D67F1" w:rsidRPr="002C224A" w:rsidTr="002E3AE9">
        <w:trPr>
          <w:trHeight w:val="315"/>
        </w:trPr>
        <w:tc>
          <w:tcPr>
            <w:tcW w:w="960" w:type="dxa"/>
            <w:shd w:val="clear" w:color="auto" w:fill="365F91"/>
            <w:noWrap/>
            <w:vAlign w:val="center"/>
          </w:tcPr>
          <w:p w:rsidR="006D67F1" w:rsidRPr="002C224A" w:rsidRDefault="006D67F1" w:rsidP="002E3AE9">
            <w:pPr>
              <w:jc w:val="center"/>
              <w:rPr>
                <w:b/>
                <w:bCs/>
                <w:color w:val="000000"/>
                <w:sz w:val="24"/>
                <w:szCs w:val="24"/>
              </w:rPr>
            </w:pPr>
          </w:p>
        </w:tc>
        <w:tc>
          <w:tcPr>
            <w:tcW w:w="960" w:type="dxa"/>
            <w:shd w:val="clear" w:color="auto" w:fill="365F91"/>
            <w:noWrap/>
            <w:vAlign w:val="center"/>
          </w:tcPr>
          <w:p w:rsidR="006D67F1" w:rsidRPr="002C224A" w:rsidRDefault="006D67F1" w:rsidP="002E3AE9">
            <w:pPr>
              <w:jc w:val="left"/>
              <w:rPr>
                <w:color w:val="000000"/>
                <w:sz w:val="24"/>
                <w:szCs w:val="24"/>
              </w:rPr>
            </w:pPr>
            <w:r w:rsidRPr="002C224A">
              <w:rPr>
                <w:color w:val="000000"/>
                <w:sz w:val="24"/>
                <w:szCs w:val="24"/>
              </w:rPr>
              <w:t> </w:t>
            </w:r>
          </w:p>
        </w:tc>
        <w:tc>
          <w:tcPr>
            <w:tcW w:w="2414" w:type="dxa"/>
            <w:shd w:val="clear" w:color="auto" w:fill="365F91"/>
            <w:vAlign w:val="center"/>
          </w:tcPr>
          <w:p w:rsidR="006D67F1" w:rsidRPr="002C224A" w:rsidRDefault="006D67F1" w:rsidP="002E3AE9">
            <w:pPr>
              <w:jc w:val="center"/>
              <w:rPr>
                <w:b/>
                <w:bCs/>
                <w:color w:val="FFFFFF"/>
                <w:sz w:val="24"/>
                <w:szCs w:val="24"/>
              </w:rPr>
            </w:pPr>
            <w:r w:rsidRPr="002C224A">
              <w:rPr>
                <w:b/>
                <w:bCs/>
                <w:color w:val="FFFFFF"/>
                <w:sz w:val="24"/>
                <w:szCs w:val="24"/>
              </w:rPr>
              <w:t>Záruční nástroj</w:t>
            </w:r>
          </w:p>
        </w:tc>
        <w:tc>
          <w:tcPr>
            <w:tcW w:w="2330" w:type="dxa"/>
            <w:shd w:val="clear" w:color="auto" w:fill="365F91"/>
            <w:vAlign w:val="center"/>
          </w:tcPr>
          <w:p w:rsidR="006D67F1" w:rsidRPr="002C224A" w:rsidRDefault="006D67F1" w:rsidP="002E3AE9">
            <w:pPr>
              <w:jc w:val="center"/>
              <w:rPr>
                <w:b/>
                <w:bCs/>
                <w:color w:val="FFFFFF"/>
                <w:sz w:val="24"/>
                <w:szCs w:val="24"/>
              </w:rPr>
            </w:pPr>
            <w:r w:rsidRPr="002C224A">
              <w:rPr>
                <w:b/>
                <w:bCs/>
                <w:color w:val="FFFFFF"/>
                <w:sz w:val="24"/>
                <w:szCs w:val="24"/>
              </w:rPr>
              <w:t>Zvýhodněný úvěr</w:t>
            </w:r>
          </w:p>
        </w:tc>
        <w:tc>
          <w:tcPr>
            <w:tcW w:w="2330" w:type="dxa"/>
            <w:shd w:val="clear" w:color="auto" w:fill="365F91"/>
          </w:tcPr>
          <w:p w:rsidR="006D67F1" w:rsidRPr="002C224A" w:rsidRDefault="006D67F1" w:rsidP="002E3AE9">
            <w:pPr>
              <w:jc w:val="center"/>
              <w:rPr>
                <w:b/>
                <w:bCs/>
                <w:color w:val="FFFFFF"/>
                <w:sz w:val="24"/>
                <w:szCs w:val="24"/>
              </w:rPr>
            </w:pPr>
          </w:p>
        </w:tc>
      </w:tr>
      <w:tr w:rsidR="006D67F1" w:rsidRPr="002C224A" w:rsidTr="002E3AE9">
        <w:trPr>
          <w:trHeight w:val="720"/>
        </w:trPr>
        <w:tc>
          <w:tcPr>
            <w:tcW w:w="960" w:type="dxa"/>
            <w:vMerge w:val="restart"/>
            <w:shd w:val="clear" w:color="auto" w:fill="8DB3E2"/>
            <w:noWrap/>
            <w:textDirection w:val="btLr"/>
            <w:vAlign w:val="center"/>
          </w:tcPr>
          <w:p w:rsidR="006D67F1" w:rsidRPr="002C224A" w:rsidRDefault="003D7EB1" w:rsidP="002E3AE9">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Konečný příjemce</w:t>
            </w: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Zpřístupnění nedosažitelného financování</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Zpřístupnění vyšší míry externího financování</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Nevratný příspěvek na projekt</w:t>
            </w:r>
          </w:p>
        </w:tc>
      </w:tr>
      <w:tr w:rsidR="006D67F1" w:rsidRPr="002C224A" w:rsidTr="002E3AE9">
        <w:trPr>
          <w:trHeight w:val="48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Částečné snížení úrokové sazby snížením rizikové přirážky</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Snížení úrokové sazby</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 xml:space="preserve">Vysoce snížená doba návratnosti </w:t>
            </w:r>
          </w:p>
        </w:tc>
      </w:tr>
      <w:tr w:rsidR="006D67F1" w:rsidRPr="002C224A" w:rsidTr="002E3AE9">
        <w:trPr>
          <w:trHeight w:val="72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Snížení nároků na zástavu podniku</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Snazší opatření úvěru na zbytek nákladů projektu</w:t>
            </w:r>
          </w:p>
        </w:tc>
      </w:tr>
      <w:tr w:rsidR="006D67F1" w:rsidRPr="002C224A" w:rsidTr="002E3AE9">
        <w:trPr>
          <w:trHeight w:val="478"/>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noWrap/>
            <w:vAlign w:val="center"/>
          </w:tcPr>
          <w:p w:rsidR="006D67F1" w:rsidRPr="002C224A" w:rsidRDefault="006D67F1" w:rsidP="002E3AE9">
            <w:pPr>
              <w:jc w:val="center"/>
              <w:rPr>
                <w:b/>
                <w:color w:val="FFFFFF"/>
                <w:sz w:val="20"/>
              </w:rPr>
            </w:pP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Snížená doba návratnosti</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Možnost investovat nadměrný zisk do dalších investic</w:t>
            </w:r>
          </w:p>
        </w:tc>
      </w:tr>
      <w:tr w:rsidR="006D67F1" w:rsidRPr="002C224A" w:rsidTr="002E3AE9">
        <w:trPr>
          <w:trHeight w:val="68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Platba v předstihu v podobě úvěru</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2E3AE9">
            <w:pPr>
              <w:jc w:val="center"/>
              <w:rPr>
                <w:b/>
                <w:color w:val="FFFFFF"/>
                <w:sz w:val="20"/>
              </w:rPr>
            </w:pPr>
          </w:p>
        </w:tc>
      </w:tr>
      <w:tr w:rsidR="006D67F1" w:rsidRPr="002C224A" w:rsidTr="002E3AE9">
        <w:trPr>
          <w:trHeight w:val="69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Nižší administrativní náročnost</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2E3AE9">
            <w:pPr>
              <w:jc w:val="left"/>
              <w:rPr>
                <w:b/>
                <w:color w:val="FFFFFF"/>
                <w:sz w:val="20"/>
              </w:rPr>
            </w:pPr>
          </w:p>
        </w:tc>
      </w:tr>
      <w:tr w:rsidR="006D67F1" w:rsidRPr="002C224A" w:rsidTr="002E3AE9">
        <w:trPr>
          <w:trHeight w:val="735"/>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val="restart"/>
            <w:shd w:val="clear" w:color="auto" w:fill="8DB3E2"/>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ŘO</w:t>
            </w: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Vysoký pákový efekt a širší objem podpořených projektů a investic</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Vysoký revolvingový efekt a podpoření projektů v dalších cyklech</w:t>
            </w:r>
          </w:p>
        </w:tc>
        <w:tc>
          <w:tcPr>
            <w:tcW w:w="2330" w:type="dxa"/>
            <w:shd w:val="clear" w:color="auto" w:fill="8DB3E2"/>
          </w:tcPr>
          <w:p w:rsidR="006D67F1" w:rsidRPr="002C224A" w:rsidRDefault="006D67F1" w:rsidP="002433DA">
            <w:pPr>
              <w:rPr>
                <w:b/>
                <w:color w:val="FFFFFF"/>
                <w:sz w:val="20"/>
              </w:rPr>
            </w:pPr>
            <w:r w:rsidRPr="002C224A">
              <w:rPr>
                <w:b/>
                <w:color w:val="FFFFFF"/>
                <w:sz w:val="20"/>
              </w:rPr>
              <w:t>Vysoká absorpční kapacita</w:t>
            </w:r>
          </w:p>
        </w:tc>
      </w:tr>
      <w:tr w:rsidR="006D67F1" w:rsidRPr="002C224A" w:rsidTr="002E3AE9">
        <w:trPr>
          <w:trHeight w:val="735"/>
        </w:trPr>
        <w:tc>
          <w:tcPr>
            <w:tcW w:w="960" w:type="dxa"/>
            <w:vMerge/>
            <w:shd w:val="clear" w:color="auto" w:fill="8DB3E2"/>
            <w:vAlign w:val="center"/>
          </w:tcPr>
          <w:p w:rsidR="006D67F1" w:rsidRPr="002C224A"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2E3AE9">
            <w:pPr>
              <w:jc w:val="center"/>
              <w:rPr>
                <w:b/>
                <w:bCs/>
                <w:color w:val="FFFFFF"/>
                <w:sz w:val="18"/>
                <w:szCs w:val="18"/>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Možnost revolvingu v závislosti na rizikové strategii</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Motivace subjektů k investicím v této oblasti</w:t>
            </w:r>
          </w:p>
        </w:tc>
      </w:tr>
      <w:tr w:rsidR="006D67F1" w:rsidRPr="002C224A" w:rsidTr="002E3AE9">
        <w:trPr>
          <w:trHeight w:val="311"/>
        </w:trPr>
        <w:tc>
          <w:tcPr>
            <w:tcW w:w="960" w:type="dxa"/>
            <w:vMerge/>
            <w:shd w:val="clear" w:color="auto" w:fill="8DB3E2"/>
            <w:vAlign w:val="center"/>
          </w:tcPr>
          <w:p w:rsidR="006D67F1" w:rsidRPr="002C224A"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2E3AE9">
            <w:pPr>
              <w:jc w:val="center"/>
              <w:rPr>
                <w:b/>
                <w:bCs/>
                <w:color w:val="FFFFFF"/>
                <w:sz w:val="18"/>
                <w:szCs w:val="18"/>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Rychlé čerpání</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Rychlé čerpání</w:t>
            </w:r>
          </w:p>
        </w:tc>
        <w:tc>
          <w:tcPr>
            <w:tcW w:w="2330" w:type="dxa"/>
            <w:shd w:val="clear" w:color="auto" w:fill="8DB3E2"/>
          </w:tcPr>
          <w:p w:rsidR="006D67F1" w:rsidRPr="002C224A" w:rsidRDefault="006D67F1" w:rsidP="002E3AE9">
            <w:pPr>
              <w:jc w:val="center"/>
              <w:rPr>
                <w:b/>
                <w:color w:val="FFFFFF"/>
                <w:sz w:val="20"/>
              </w:rPr>
            </w:pPr>
          </w:p>
        </w:tc>
      </w:tr>
      <w:tr w:rsidR="006D67F1" w:rsidRPr="002C224A" w:rsidTr="002E3AE9">
        <w:trPr>
          <w:trHeight w:val="735"/>
        </w:trPr>
        <w:tc>
          <w:tcPr>
            <w:tcW w:w="960" w:type="dxa"/>
            <w:vMerge w:val="restart"/>
            <w:shd w:val="clear" w:color="auto" w:fill="FF0000"/>
            <w:textDirection w:val="btLr"/>
            <w:vAlign w:val="center"/>
          </w:tcPr>
          <w:p w:rsidR="006D67F1" w:rsidRPr="002C224A" w:rsidRDefault="006D67F1" w:rsidP="002E3AE9">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Konečný příjemce</w:t>
            </w: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Nedostává peníze, musí splácet</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Nedostává peníze, musí splácet</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Vysoká administrativní náročnost</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Malý efekt na snížení úroků</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efekt na návratnost projektu v porovnání s dotací</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Regulovaná výběrová řízení na dodavatele – vyšší náklady</w:t>
            </w:r>
          </w:p>
        </w:tc>
      </w:tr>
      <w:tr w:rsidR="006D67F1" w:rsidRPr="002C224A" w:rsidTr="002E3AE9">
        <w:trPr>
          <w:trHeight w:val="456"/>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efekt zpřístupnění financování pro velmi rizikové projekty</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Nutnost předfinancování – platba ex post</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Riziko dodatečného odebrání dotace z důvodu chyb v projektu a nesplnění podmínek</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val="restart"/>
            <w:shd w:val="clear" w:color="auto" w:fill="FF0000"/>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ŘO</w:t>
            </w: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Velmi nízký revolvingový efekt</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pákový efekt než záruky</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Nenávratné výdaje</w:t>
            </w:r>
          </w:p>
        </w:tc>
      </w:tr>
      <w:tr w:rsidR="006D67F1" w:rsidRPr="002C224A" w:rsidTr="002E3AE9">
        <w:trPr>
          <w:trHeight w:val="566"/>
        </w:trPr>
        <w:tc>
          <w:tcPr>
            <w:tcW w:w="960" w:type="dxa"/>
            <w:vMerge/>
            <w:shd w:val="clear" w:color="auto" w:fill="FF0000"/>
            <w:vAlign w:val="center"/>
          </w:tcPr>
          <w:p w:rsidR="006D67F1" w:rsidRPr="002C224A"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18"/>
                <w:szCs w:val="18"/>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Malý efekt na investiční aktivitu</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Revolving omezují poplatky zprostředkovatelskému subjektu</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Počet podpořených projektů přímo omezen alokací</w:t>
            </w:r>
          </w:p>
        </w:tc>
      </w:tr>
      <w:tr w:rsidR="006D67F1" w:rsidRPr="002C224A" w:rsidTr="002E3AE9">
        <w:trPr>
          <w:trHeight w:val="264"/>
        </w:trPr>
        <w:tc>
          <w:tcPr>
            <w:tcW w:w="960" w:type="dxa"/>
            <w:vMerge/>
            <w:shd w:val="clear" w:color="auto" w:fill="FF0000"/>
            <w:vAlign w:val="center"/>
          </w:tcPr>
          <w:p w:rsidR="006D67F1" w:rsidRPr="002C224A"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18"/>
                <w:szCs w:val="18"/>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Hrazení poplatků příjemci</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Hrazení poplatků příjemci</w:t>
            </w:r>
          </w:p>
        </w:tc>
        <w:tc>
          <w:tcPr>
            <w:tcW w:w="2330" w:type="dxa"/>
            <w:shd w:val="clear" w:color="auto" w:fill="FF0000"/>
          </w:tcPr>
          <w:p w:rsidR="006D67F1" w:rsidRPr="002C224A" w:rsidRDefault="006D67F1" w:rsidP="002E3AE9">
            <w:pPr>
              <w:keepNext/>
              <w:jc w:val="center"/>
              <w:rPr>
                <w:b/>
                <w:color w:val="FFFFFF"/>
                <w:sz w:val="20"/>
              </w:rPr>
            </w:pPr>
            <w:r w:rsidRPr="002C224A">
              <w:rPr>
                <w:b/>
                <w:color w:val="FFFFFF"/>
                <w:sz w:val="20"/>
              </w:rPr>
              <w:t>Pomalejší čerpání</w:t>
            </w:r>
          </w:p>
        </w:tc>
      </w:tr>
    </w:tbl>
    <w:p w:rsidR="006D67F1" w:rsidRPr="002C224A" w:rsidRDefault="006D67F1" w:rsidP="004B44BD">
      <w:pPr>
        <w:pStyle w:val="Titulek"/>
      </w:pPr>
      <w:r w:rsidRPr="002C224A">
        <w:t>Tabulka</w:t>
      </w:r>
      <w:r w:rsidR="00541B4A">
        <w:t xml:space="preserve"> </w:t>
      </w:r>
      <w:r w:rsidR="00737C66" w:rsidRPr="002C224A">
        <w:t>6</w:t>
      </w:r>
      <w:r w:rsidR="00F6076B">
        <w:t>8</w:t>
      </w:r>
      <w:r w:rsidRPr="002C224A">
        <w:t>: Přidaná hodnota, Nevýhody, problémy a rizika veřejné podpory pro příjemce a ŘO</w:t>
      </w:r>
    </w:p>
    <w:p w:rsidR="006D67F1" w:rsidRPr="00A50943" w:rsidRDefault="006D67F1" w:rsidP="002433DA">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67F1" w:rsidRPr="002C224A" w:rsidTr="002433DA">
        <w:tc>
          <w:tcPr>
            <w:tcW w:w="1729" w:type="dxa"/>
            <w:shd w:val="clear" w:color="auto" w:fill="548DD4"/>
          </w:tcPr>
          <w:p w:rsidR="006D67F1" w:rsidRPr="002C224A" w:rsidRDefault="006D67F1" w:rsidP="002433DA">
            <w:pPr>
              <w:pStyle w:val="Highlight2"/>
              <w:shd w:val="clear" w:color="auto" w:fill="8DB3E2"/>
              <w:jc w:val="center"/>
              <w:rPr>
                <w:rFonts w:ascii="Calibri" w:hAnsi="Calibri" w:cs="Calibri"/>
                <w:color w:val="FFFFFF"/>
                <w:sz w:val="22"/>
                <w:szCs w:val="22"/>
              </w:rPr>
            </w:pPr>
            <w:r w:rsidRPr="002C224A">
              <w:rPr>
                <w:rFonts w:ascii="Calibri" w:hAnsi="Calibri" w:cs="Calibri"/>
                <w:color w:val="FFFFFF"/>
                <w:sz w:val="22"/>
                <w:szCs w:val="22"/>
                <w:lang w:eastAsia="cs-CZ"/>
              </w:rPr>
              <w:t>Tržní selhání</w:t>
            </w:r>
          </w:p>
        </w:tc>
        <w:tc>
          <w:tcPr>
            <w:tcW w:w="2694" w:type="dxa"/>
            <w:shd w:val="clear" w:color="auto" w:fill="548DD4"/>
          </w:tcPr>
          <w:p w:rsidR="006D67F1" w:rsidRPr="002C224A" w:rsidRDefault="006D67F1" w:rsidP="002433DA">
            <w:pPr>
              <w:pStyle w:val="Highlight2"/>
              <w:shd w:val="clear" w:color="auto" w:fill="8DB3E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Záruční nástroj</w:t>
            </w:r>
          </w:p>
        </w:tc>
        <w:tc>
          <w:tcPr>
            <w:tcW w:w="2268" w:type="dxa"/>
            <w:shd w:val="clear" w:color="auto" w:fill="548DD4"/>
          </w:tcPr>
          <w:p w:rsidR="006D67F1" w:rsidRPr="002C224A" w:rsidRDefault="006D67F1" w:rsidP="002433DA">
            <w:pPr>
              <w:pStyle w:val="Highlight2"/>
              <w:shd w:val="clear" w:color="auto" w:fill="8DB3E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268" w:type="dxa"/>
            <w:shd w:val="clear" w:color="auto" w:fill="548DD4"/>
          </w:tcPr>
          <w:p w:rsidR="006D67F1" w:rsidRPr="002C224A" w:rsidRDefault="006D67F1" w:rsidP="002433DA">
            <w:pPr>
              <w:pStyle w:val="Highlight2"/>
              <w:shd w:val="clear" w:color="auto" w:fill="8DB3E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2433DA">
        <w:trPr>
          <w:trHeight w:val="793"/>
        </w:trPr>
        <w:tc>
          <w:tcPr>
            <w:tcW w:w="1729" w:type="dxa"/>
          </w:tcPr>
          <w:p w:rsidR="006D67F1" w:rsidRPr="002C224A" w:rsidRDefault="006D67F1" w:rsidP="002E3AE9">
            <w:pPr>
              <w:pStyle w:val="Highlight2"/>
              <w:jc w:val="left"/>
              <w:rPr>
                <w:rFonts w:ascii="Calibri" w:hAnsi="Calibri" w:cs="Calibri"/>
              </w:rPr>
            </w:pPr>
            <w:r w:rsidRPr="002C224A">
              <w:rPr>
                <w:rFonts w:ascii="Calibri" w:hAnsi="Calibri" w:cs="Calibri"/>
                <w:color w:val="auto"/>
                <w:szCs w:val="20"/>
              </w:rPr>
              <w:t>Náklady projektu a návratnost</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auto"/>
                <w:szCs w:val="20"/>
              </w:rPr>
              <w:t>Nemá velký vliv na snížení nákladů projektu a jeho návratnost</w:t>
            </w:r>
          </w:p>
        </w:tc>
        <w:tc>
          <w:tcPr>
            <w:tcW w:w="2268" w:type="dxa"/>
          </w:tcPr>
          <w:p w:rsidR="006D67F1" w:rsidRPr="002C224A" w:rsidRDefault="006D67F1" w:rsidP="002F7B85">
            <w:pPr>
              <w:pStyle w:val="Highlight2"/>
              <w:jc w:val="center"/>
              <w:rPr>
                <w:rFonts w:ascii="Calibri" w:hAnsi="Calibri" w:cs="Calibri"/>
                <w:b w:val="0"/>
              </w:rPr>
            </w:pPr>
            <w:r w:rsidRPr="002C224A">
              <w:rPr>
                <w:rFonts w:ascii="Calibri" w:hAnsi="Calibri" w:cs="Calibri"/>
                <w:b w:val="0"/>
                <w:color w:val="auto"/>
                <w:szCs w:val="20"/>
              </w:rPr>
              <w:t xml:space="preserve">Částečně snižuje úrokové náklady a počáteční náklady na přípravu, radikálně však </w:t>
            </w:r>
            <w:r w:rsidRPr="002C224A">
              <w:rPr>
                <w:rFonts w:ascii="Calibri" w:hAnsi="Calibri" w:cs="Calibri"/>
                <w:b w:val="0"/>
                <w:color w:val="auto"/>
                <w:szCs w:val="20"/>
              </w:rPr>
              <w:lastRenderedPageBreak/>
              <w:t>nemění parametry návratnosti</w:t>
            </w:r>
          </w:p>
        </w:tc>
        <w:tc>
          <w:tcPr>
            <w:tcW w:w="2268" w:type="dxa"/>
          </w:tcPr>
          <w:p w:rsidR="006D67F1" w:rsidRPr="002C224A" w:rsidRDefault="006D67F1" w:rsidP="002433DA">
            <w:pPr>
              <w:pStyle w:val="Highlight2"/>
              <w:jc w:val="center"/>
              <w:rPr>
                <w:rFonts w:ascii="Calibri" w:hAnsi="Calibri" w:cs="Calibri"/>
                <w:b w:val="0"/>
                <w:color w:val="000000"/>
                <w:lang w:eastAsia="cs-CZ"/>
              </w:rPr>
            </w:pPr>
            <w:r w:rsidRPr="002C224A">
              <w:rPr>
                <w:rFonts w:ascii="Calibri" w:hAnsi="Calibri" w:cs="Calibri"/>
                <w:b w:val="0"/>
                <w:color w:val="auto"/>
                <w:szCs w:val="20"/>
              </w:rPr>
              <w:lastRenderedPageBreak/>
              <w:t>Výrazně snižuje náklady pro žadatele a vylepšuje tedy i návratnost projektu.</w:t>
            </w:r>
          </w:p>
        </w:tc>
      </w:tr>
      <w:tr w:rsidR="006D67F1" w:rsidRPr="002C224A" w:rsidTr="002433DA">
        <w:trPr>
          <w:trHeight w:val="1521"/>
        </w:trPr>
        <w:tc>
          <w:tcPr>
            <w:tcW w:w="1729" w:type="dxa"/>
          </w:tcPr>
          <w:p w:rsidR="006D67F1" w:rsidRPr="002C224A" w:rsidRDefault="006D67F1" w:rsidP="002E3AE9">
            <w:pPr>
              <w:pStyle w:val="Highlight2"/>
              <w:jc w:val="left"/>
              <w:rPr>
                <w:rFonts w:ascii="Calibri" w:hAnsi="Calibri" w:cs="Calibri"/>
                <w:bCs/>
                <w:color w:val="000000"/>
                <w:szCs w:val="20"/>
                <w:lang w:eastAsia="cs-CZ"/>
              </w:rPr>
            </w:pPr>
            <w:r w:rsidRPr="002C224A">
              <w:rPr>
                <w:rFonts w:ascii="Calibri" w:hAnsi="Calibri" w:cs="Calibri"/>
                <w:bCs/>
                <w:color w:val="000000"/>
                <w:szCs w:val="20"/>
                <w:lang w:eastAsia="cs-CZ"/>
              </w:rPr>
              <w:lastRenderedPageBreak/>
              <w:t>Riziko projektu</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Z pohledu úvěrování </w:t>
            </w:r>
            <w:r w:rsidR="003D7EB1">
              <w:rPr>
                <w:rFonts w:ascii="Calibri" w:hAnsi="Calibri" w:cs="Calibri"/>
                <w:b w:val="0"/>
                <w:color w:val="000000"/>
                <w:lang w:eastAsia="cs-CZ"/>
              </w:rPr>
              <w:t>Rozděluje riziko mezi konečného příjemce, banku a FN.</w:t>
            </w:r>
            <w:r w:rsidRPr="002C224A">
              <w:rPr>
                <w:rFonts w:ascii="Calibri" w:hAnsi="Calibri" w:cs="Calibri"/>
                <w:b w:val="0"/>
                <w:color w:val="000000"/>
                <w:lang w:eastAsia="cs-CZ"/>
              </w:rPr>
              <w:t xml:space="preserve"> Likvidnější zástava, výrazné snížení rizika pro úvěrující instituci</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 příjemce zůstává</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p>
        </w:tc>
        <w:tc>
          <w:tcPr>
            <w:tcW w:w="2268" w:type="dxa"/>
          </w:tcPr>
          <w:p w:rsidR="006D67F1" w:rsidRPr="002C224A" w:rsidRDefault="003D7EB1" w:rsidP="002E3AE9">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 příjemce zůstává</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p>
        </w:tc>
        <w:tc>
          <w:tcPr>
            <w:tcW w:w="2268"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Dotace části nákladů snižuje rizika </w:t>
            </w:r>
            <w:r w:rsidR="00031A1C">
              <w:rPr>
                <w:rFonts w:ascii="Calibri" w:hAnsi="Calibri" w:cs="Calibri"/>
                <w:b w:val="0"/>
                <w:color w:val="000000"/>
                <w:lang w:eastAsia="cs-CZ"/>
              </w:rPr>
              <w:t xml:space="preserve">konečného </w:t>
            </w:r>
            <w:r w:rsidRPr="002C224A">
              <w:rPr>
                <w:rFonts w:ascii="Calibri" w:hAnsi="Calibri" w:cs="Calibri"/>
                <w:b w:val="0"/>
                <w:color w:val="000000"/>
                <w:lang w:eastAsia="cs-CZ"/>
              </w:rPr>
              <w:t xml:space="preserve">příjemce z negativního vývoje revitalizace. </w:t>
            </w:r>
            <w:r w:rsidR="00E05E2D">
              <w:rPr>
                <w:rFonts w:ascii="Calibri" w:hAnsi="Calibri" w:cs="Calibri"/>
                <w:b w:val="0"/>
                <w:color w:val="000000"/>
                <w:lang w:eastAsia="cs-CZ"/>
              </w:rPr>
              <w:t>Konečný příjemce přebírá riziko jen</w:t>
            </w:r>
            <w:r w:rsidRPr="002C224A">
              <w:rPr>
                <w:rFonts w:ascii="Calibri" w:hAnsi="Calibri" w:cs="Calibri"/>
                <w:b w:val="0"/>
                <w:color w:val="000000"/>
                <w:lang w:eastAsia="cs-CZ"/>
              </w:rPr>
              <w:t xml:space="preserve"> do výše spoluúčasti způsobilých a nezpůsobilých nákladů</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Zlepšená úvěrovatelnost dotovaných projektů</w:t>
            </w: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w:t>
            </w: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rPr>
              <w:t xml:space="preserve"> ŘO má předem dané ztráty do absolutní výše dotace.</w:t>
            </w:r>
          </w:p>
        </w:tc>
      </w:tr>
      <w:tr w:rsidR="006D67F1" w:rsidRPr="002C224A" w:rsidTr="002433DA">
        <w:trPr>
          <w:trHeight w:val="1474"/>
        </w:trPr>
        <w:tc>
          <w:tcPr>
            <w:tcW w:w="1729" w:type="dxa"/>
          </w:tcPr>
          <w:p w:rsidR="006D67F1" w:rsidRPr="002C224A" w:rsidRDefault="006D67F1" w:rsidP="002E3AE9">
            <w:pPr>
              <w:rPr>
                <w:rFonts w:cs="Calibri"/>
                <w:b/>
                <w:sz w:val="20"/>
              </w:rPr>
            </w:pPr>
            <w:r w:rsidRPr="002C224A">
              <w:rPr>
                <w:rFonts w:cs="Calibri"/>
                <w:b/>
                <w:bCs/>
                <w:color w:val="000000"/>
                <w:sz w:val="20"/>
              </w:rPr>
              <w:t>Administrativní zátěž</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Jednoduchá administrace, bez rizika odebrání podpory z důvodu technických chyb</w:t>
            </w:r>
          </w:p>
          <w:p w:rsidR="006D67F1" w:rsidRPr="002C224A" w:rsidRDefault="006D67F1" w:rsidP="002E3AE9">
            <w:pPr>
              <w:pStyle w:val="Highlight2"/>
              <w:jc w:val="center"/>
              <w:rPr>
                <w:rFonts w:ascii="Calibri" w:hAnsi="Calibri" w:cs="Calibri"/>
                <w:b w:val="0"/>
                <w:bCs/>
                <w:color w:val="000000"/>
                <w:lang w:eastAsia="cs-CZ"/>
              </w:rPr>
            </w:pPr>
          </w:p>
        </w:tc>
        <w:tc>
          <w:tcPr>
            <w:tcW w:w="2268" w:type="dxa"/>
          </w:tcPr>
          <w:p w:rsidR="006D67F1" w:rsidRPr="002C224A" w:rsidRDefault="006D67F1" w:rsidP="002E3AE9">
            <w:pPr>
              <w:rPr>
                <w:sz w:val="20"/>
              </w:rPr>
            </w:pPr>
            <w:r w:rsidRPr="002C224A">
              <w:rPr>
                <w:rFonts w:cs="Calibri"/>
                <w:color w:val="000000"/>
                <w:sz w:val="20"/>
              </w:rPr>
              <w:t>Jednoduchá administrace, bez rizika odebrání podpory z důvodu technických chyb</w:t>
            </w:r>
          </w:p>
        </w:tc>
        <w:tc>
          <w:tcPr>
            <w:tcW w:w="2268" w:type="dxa"/>
          </w:tcPr>
          <w:p w:rsidR="006D67F1" w:rsidRPr="002C224A" w:rsidRDefault="006D67F1" w:rsidP="002E3AE9">
            <w:pPr>
              <w:rPr>
                <w:color w:val="000000"/>
                <w:sz w:val="20"/>
              </w:rPr>
            </w:pPr>
            <w:r w:rsidRPr="002C224A">
              <w:rPr>
                <w:rFonts w:cs="Calibri"/>
                <w:color w:val="000000"/>
                <w:sz w:val="20"/>
              </w:rPr>
              <w:t>Vysoká administrativní a regulační zátěž omezuje příjemce, zvyšuje náklady a přináší riziko odebrání dotace.</w:t>
            </w:r>
          </w:p>
        </w:tc>
      </w:tr>
      <w:tr w:rsidR="006D67F1" w:rsidRPr="002C224A" w:rsidTr="002433DA">
        <w:tc>
          <w:tcPr>
            <w:tcW w:w="1729" w:type="dxa"/>
          </w:tcPr>
          <w:p w:rsidR="006D67F1" w:rsidRPr="002C224A" w:rsidRDefault="006D67F1" w:rsidP="002E3AE9">
            <w:pPr>
              <w:pStyle w:val="Highlight2"/>
              <w:jc w:val="left"/>
              <w:rPr>
                <w:rFonts w:ascii="Calibri" w:hAnsi="Calibri" w:cs="Calibri"/>
                <w:bCs/>
                <w:color w:val="auto"/>
                <w:szCs w:val="20"/>
                <w:lang w:eastAsia="cs-CZ"/>
              </w:rPr>
            </w:pPr>
            <w:r w:rsidRPr="002C224A">
              <w:rPr>
                <w:rFonts w:ascii="Calibri" w:hAnsi="Calibri" w:cs="Calibri"/>
                <w:color w:val="auto"/>
                <w:szCs w:val="20"/>
              </w:rPr>
              <w:t>Celkový efekt na Investiční aktivitu a absorpci v SC</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Záruka nemá výrazný vliv na investiční aktivitu v oblasti OZE, částečně pouze v segmentu rizikových MSP</w:t>
            </w:r>
          </w:p>
        </w:tc>
        <w:tc>
          <w:tcPr>
            <w:tcW w:w="2268" w:type="dxa"/>
          </w:tcPr>
          <w:p w:rsidR="006D67F1" w:rsidRPr="002C224A" w:rsidRDefault="006D67F1" w:rsidP="002E3AE9">
            <w:pPr>
              <w:rPr>
                <w:sz w:val="20"/>
              </w:rPr>
            </w:pPr>
            <w:r w:rsidRPr="002C224A">
              <w:rPr>
                <w:sz w:val="20"/>
              </w:rPr>
              <w:t>Mírné zkrácení doby návratnosti, přístup k vyššímu externímu financování a příspěvek na projektovou přípravu</w:t>
            </w:r>
          </w:p>
          <w:p w:rsidR="006D67F1" w:rsidRPr="002C224A" w:rsidRDefault="006D67F1" w:rsidP="002E3AE9">
            <w:pPr>
              <w:rPr>
                <w:sz w:val="20"/>
              </w:rPr>
            </w:pPr>
            <w:r w:rsidRPr="002C224A">
              <w:rPr>
                <w:sz w:val="20"/>
              </w:rPr>
              <w:t>umožní vyšší investiční aktivitu v segmentu MVE, který je dále podporován provozní podporou.</w:t>
            </w:r>
          </w:p>
          <w:p w:rsidR="006D67F1" w:rsidRPr="002C224A" w:rsidRDefault="006D67F1" w:rsidP="002E3AE9">
            <w:pPr>
              <w:rPr>
                <w:sz w:val="20"/>
              </w:rPr>
            </w:pPr>
            <w:r w:rsidRPr="002C224A">
              <w:rPr>
                <w:sz w:val="20"/>
              </w:rPr>
              <w:t>Motivační efekt na investice je spíše malý, zejména u BPS.</w:t>
            </w:r>
          </w:p>
          <w:p w:rsidR="006D67F1" w:rsidRPr="002C224A" w:rsidRDefault="006D67F1" w:rsidP="002E3AE9">
            <w:pPr>
              <w:pStyle w:val="Highlight2"/>
              <w:jc w:val="center"/>
              <w:rPr>
                <w:rFonts w:ascii="Calibri" w:hAnsi="Calibri" w:cs="Calibri"/>
                <w:b w:val="0"/>
                <w:color w:val="000000"/>
                <w:szCs w:val="20"/>
                <w:lang w:eastAsia="cs-CZ"/>
              </w:rPr>
            </w:pPr>
          </w:p>
        </w:tc>
        <w:tc>
          <w:tcPr>
            <w:tcW w:w="2268" w:type="dxa"/>
          </w:tcPr>
          <w:p w:rsidR="006D67F1" w:rsidRPr="002C224A" w:rsidRDefault="006D67F1" w:rsidP="002E3AE9">
            <w:pPr>
              <w:rPr>
                <w:color w:val="000000"/>
                <w:sz w:val="20"/>
              </w:rPr>
            </w:pPr>
            <w:r w:rsidRPr="002C224A">
              <w:rPr>
                <w:color w:val="000000"/>
                <w:sz w:val="20"/>
              </w:rPr>
              <w:t>Znatelný efekt na nákladovost a návratnost projektu může značně stimulovat aktivity zužitkování tepla z BPS i biomasy.</w:t>
            </w:r>
          </w:p>
          <w:p w:rsidR="006D67F1" w:rsidRPr="002C224A" w:rsidRDefault="006D67F1" w:rsidP="002E3AE9">
            <w:pPr>
              <w:rPr>
                <w:color w:val="000000"/>
                <w:sz w:val="20"/>
              </w:rPr>
            </w:pPr>
          </w:p>
          <w:p w:rsidR="006D67F1" w:rsidRPr="002C224A" w:rsidRDefault="006D67F1" w:rsidP="002E3AE9">
            <w:pPr>
              <w:rPr>
                <w:color w:val="000000"/>
                <w:sz w:val="20"/>
              </w:rPr>
            </w:pPr>
            <w:r w:rsidRPr="002C224A">
              <w:rPr>
                <w:color w:val="000000"/>
                <w:sz w:val="20"/>
              </w:rPr>
              <w:t>V případě MVE nastává konflikt s provozní podporou a vzájemné vytlačování těchto forem podpory.</w:t>
            </w:r>
          </w:p>
          <w:p w:rsidR="006D67F1" w:rsidRPr="002C224A" w:rsidRDefault="006D67F1" w:rsidP="002433DA">
            <w:pPr>
              <w:rPr>
                <w:rFonts w:cs="Calibri"/>
                <w:color w:val="000000"/>
                <w:sz w:val="20"/>
              </w:rPr>
            </w:pPr>
          </w:p>
        </w:tc>
      </w:tr>
      <w:tr w:rsidR="006D67F1" w:rsidRPr="002C224A" w:rsidTr="004B44BD">
        <w:tc>
          <w:tcPr>
            <w:tcW w:w="1729" w:type="dxa"/>
          </w:tcPr>
          <w:p w:rsidR="006D67F1" w:rsidRPr="002C224A" w:rsidRDefault="006D67F1" w:rsidP="002E3AE9">
            <w:pPr>
              <w:pStyle w:val="Highlight2"/>
              <w:jc w:val="left"/>
              <w:rPr>
                <w:rFonts w:ascii="Calibri" w:hAnsi="Calibri" w:cs="Calibri"/>
                <w:color w:val="auto"/>
                <w:szCs w:val="20"/>
              </w:rPr>
            </w:pPr>
            <w:r w:rsidRPr="002C224A">
              <w:rPr>
                <w:rFonts w:ascii="Calibri" w:hAnsi="Calibri" w:cs="Calibri"/>
                <w:bCs/>
                <w:color w:val="000000"/>
                <w:lang w:eastAsia="cs-CZ"/>
              </w:rPr>
              <w:t>Efekt na narušení tržního prostředí</w:t>
            </w:r>
          </w:p>
        </w:tc>
        <w:tc>
          <w:tcPr>
            <w:tcW w:w="2694" w:type="dxa"/>
          </w:tcPr>
          <w:p w:rsidR="006D67F1" w:rsidRPr="002C224A" w:rsidRDefault="006D67F1" w:rsidP="002E3AE9">
            <w:pPr>
              <w:pStyle w:val="Highlight2"/>
              <w:jc w:val="center"/>
              <w:rPr>
                <w:rFonts w:ascii="Calibri" w:hAnsi="Calibri" w:cs="Calibri"/>
                <w:b w:val="0"/>
                <w:bCs/>
                <w:color w:val="000000"/>
                <w:szCs w:val="20"/>
                <w:lang w:eastAsia="cs-CZ"/>
              </w:rPr>
            </w:pPr>
            <w:r w:rsidRPr="002C224A">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D67F1" w:rsidRPr="002C224A" w:rsidRDefault="006D67F1" w:rsidP="002E3AE9">
            <w:pPr>
              <w:pStyle w:val="Highlight2"/>
              <w:jc w:val="center"/>
              <w:rPr>
                <w:rFonts w:ascii="Calibri" w:hAnsi="Calibri" w:cs="Calibri"/>
                <w:b w:val="0"/>
                <w:color w:val="000000"/>
                <w:szCs w:val="20"/>
                <w:lang w:eastAsia="cs-CZ"/>
              </w:rPr>
            </w:pPr>
            <w:r w:rsidRPr="002C224A">
              <w:rPr>
                <w:rFonts w:ascii="Calibri" w:hAnsi="Calibri" w:cs="Calibri"/>
                <w:b w:val="0"/>
                <w:color w:val="000000"/>
                <w:szCs w:val="20"/>
                <w:lang w:eastAsia="cs-CZ"/>
              </w:rPr>
              <w:t>Malý vliv na tržní prostředí, návratná podpora motivuje ekonomicky efektivní počínání subjektů</w:t>
            </w:r>
          </w:p>
          <w:p w:rsidR="006D67F1" w:rsidRPr="002C224A" w:rsidRDefault="006D67F1" w:rsidP="002E3AE9">
            <w:pPr>
              <w:pStyle w:val="Highlight2"/>
              <w:jc w:val="center"/>
              <w:rPr>
                <w:rFonts w:ascii="Calibri" w:hAnsi="Calibri" w:cs="Calibri"/>
                <w:b w:val="0"/>
                <w:color w:val="000000"/>
                <w:szCs w:val="20"/>
                <w:lang w:eastAsia="cs-CZ"/>
              </w:rPr>
            </w:pPr>
          </w:p>
          <w:p w:rsidR="006D67F1" w:rsidRPr="002C224A" w:rsidRDefault="006D67F1" w:rsidP="002E3AE9">
            <w:pPr>
              <w:pStyle w:val="Highlight2"/>
              <w:jc w:val="center"/>
              <w:rPr>
                <w:rFonts w:ascii="Calibri" w:hAnsi="Calibri" w:cs="Calibri"/>
                <w:b w:val="0"/>
                <w:color w:val="000000"/>
                <w:szCs w:val="20"/>
                <w:lang w:eastAsia="cs-CZ"/>
              </w:rPr>
            </w:pPr>
            <w:r w:rsidRPr="002C224A">
              <w:rPr>
                <w:rFonts w:ascii="Calibri" w:hAnsi="Calibri" w:cs="Calibri"/>
                <w:b w:val="0"/>
                <w:color w:val="000000"/>
                <w:szCs w:val="20"/>
                <w:lang w:eastAsia="cs-CZ"/>
              </w:rPr>
              <w:t>Doplnění soukromého finančního trhu</w:t>
            </w:r>
          </w:p>
          <w:p w:rsidR="006D67F1" w:rsidRPr="002C224A" w:rsidRDefault="006D67F1" w:rsidP="002E3AE9">
            <w:pPr>
              <w:rPr>
                <w:sz w:val="20"/>
              </w:rPr>
            </w:pPr>
            <w:r w:rsidRPr="002C224A">
              <w:rPr>
                <w:sz w:val="20"/>
              </w:rPr>
              <w:t>Nenarušuje tržní prostředí podobně jako provozní podpora</w:t>
            </w:r>
          </w:p>
        </w:tc>
        <w:tc>
          <w:tcPr>
            <w:tcW w:w="2268" w:type="dxa"/>
          </w:tcPr>
          <w:p w:rsidR="006D67F1" w:rsidRPr="002C224A" w:rsidRDefault="006D67F1" w:rsidP="002E3AE9">
            <w:pPr>
              <w:rPr>
                <w:color w:val="000000"/>
                <w:sz w:val="20"/>
              </w:rPr>
            </w:pPr>
            <w:r w:rsidRPr="002C224A">
              <w:rPr>
                <w:rFonts w:cs="Calibri"/>
                <w:bCs/>
                <w:color w:val="000000"/>
                <w:sz w:val="20"/>
              </w:rPr>
              <w:t>Dotace znamenají zvýhodnění pro podnikání dotčených subjektů, nicméně do značné míry vyrovnávají tržní selhání. V rámci trhu se nejedná o závažné narušení, jaké naopak znamená provozní podpora.</w:t>
            </w:r>
          </w:p>
        </w:tc>
      </w:tr>
    </w:tbl>
    <w:p w:rsidR="006D67F1" w:rsidRPr="002C224A" w:rsidRDefault="006D67F1" w:rsidP="004B44BD"/>
    <w:p w:rsidR="006D67F1" w:rsidRPr="002C224A" w:rsidRDefault="006D67F1" w:rsidP="004B44BD">
      <w:pPr>
        <w:pStyle w:val="Titulek"/>
      </w:pPr>
      <w:r w:rsidRPr="002C224A">
        <w:t xml:space="preserve">Tabulka </w:t>
      </w:r>
      <w:r w:rsidR="00737C66" w:rsidRPr="002C224A">
        <w:t>6</w:t>
      </w:r>
      <w:r w:rsidR="00F6076B">
        <w:t>9</w:t>
      </w:r>
      <w:r w:rsidR="00541B4A">
        <w:t>:</w:t>
      </w:r>
      <w:r w:rsidRPr="002C224A">
        <w:t xml:space="preserve"> Přidaná hodnota podpory pro cíle SC 3.1 </w:t>
      </w:r>
    </w:p>
    <w:p w:rsidR="006D67F1" w:rsidRPr="00A50943" w:rsidRDefault="006D67F1" w:rsidP="001D1877"/>
    <w:p w:rsidR="006D67F1" w:rsidRPr="002C224A" w:rsidRDefault="006D67F1" w:rsidP="001D1877">
      <w:r w:rsidRPr="002C224A">
        <w:t xml:space="preserve">Na základě porovnání přidané hodnoty je zřejmé, že v rámci aktivit BPS a tepla z biomasy je vhodnějším nástrojem z větší míry dotační podpora. Naopak v rámci MVE existuje prostor pro úvěrový nástroj, který v rámci trhu neznamená významnější narušení a nejedná se o </w:t>
      </w:r>
      <w:r w:rsidR="007A56B7" w:rsidRPr="002C224A">
        <w:t>překompenzování veřejnou podporou.</w:t>
      </w:r>
    </w:p>
    <w:p w:rsidR="006D67F1" w:rsidRPr="002C224A" w:rsidRDefault="006D67F1" w:rsidP="001D1877"/>
    <w:p w:rsidR="006D67F1" w:rsidRPr="002C224A" w:rsidDel="00283266" w:rsidRDefault="006D67F1" w:rsidP="00FB61E2">
      <w:pPr>
        <w:pStyle w:val="Neslovannadpisy"/>
        <w:rPr>
          <w:lang w:eastAsia="en-US"/>
        </w:rPr>
      </w:pPr>
    </w:p>
    <w:p w:rsidR="006D67F1" w:rsidRPr="002C224A" w:rsidDel="00283266" w:rsidRDefault="006D67F1" w:rsidP="00FB61E2">
      <w:pPr>
        <w:pStyle w:val="Neslovannadpisy"/>
        <w:rPr>
          <w:b w:val="0"/>
          <w:color w:val="auto"/>
          <w:lang w:eastAsia="en-US"/>
        </w:rPr>
      </w:pPr>
    </w:p>
    <w:p w:rsidR="006D67F1" w:rsidRPr="002C224A" w:rsidRDefault="006D67F1" w:rsidP="00283266">
      <w:pPr>
        <w:pStyle w:val="Nadpis4"/>
        <w:rPr>
          <w:rFonts w:ascii="Calibri" w:hAnsi="Calibri"/>
        </w:rPr>
      </w:pPr>
      <w:r w:rsidRPr="002C224A">
        <w:rPr>
          <w:rFonts w:ascii="Calibri" w:hAnsi="Calibri"/>
        </w:rPr>
        <w:t>Soulad s jinými formami veřejných intervencí</w:t>
      </w:r>
    </w:p>
    <w:p w:rsidR="006D67F1" w:rsidRPr="00A50943" w:rsidRDefault="006D67F1" w:rsidP="00FB61E2">
      <w:pPr>
        <w:rPr>
          <w:lang w:eastAsia="en-US"/>
        </w:rPr>
      </w:pPr>
    </w:p>
    <w:p w:rsidR="006D67F1" w:rsidRPr="002C224A" w:rsidRDefault="006D67F1" w:rsidP="00FB61E2">
      <w:pPr>
        <w:rPr>
          <w:lang w:eastAsia="en-US"/>
        </w:rPr>
      </w:pPr>
      <w:r w:rsidRPr="002C224A">
        <w:rPr>
          <w:lang w:eastAsia="en-US"/>
        </w:rPr>
        <w:t>Podpora v SC 3.1 je komplementární k podpoře OZE v rámci OPŽP a programu Nová zelená úsporám, která cílí na nepodnikatelské subjekty. V případě kogenerace je investiční podpora na produkci tepla synergická s provozní podporou na odkup elektřiny. Problém nastává u MVE, kde je třeba úpravy v kombinovatelnosti obou podpor v případě FN k omezení vzájemně vylučujícího účinku a umožnění efektivní synergie.</w:t>
      </w:r>
    </w:p>
    <w:p w:rsidR="006D67F1" w:rsidRPr="002C224A" w:rsidRDefault="006D67F1" w:rsidP="00FB61E2">
      <w:pPr>
        <w:rPr>
          <w:lang w:eastAsia="en-US"/>
        </w:rPr>
      </w:pPr>
    </w:p>
    <w:p w:rsidR="006D67F1" w:rsidRPr="002C224A" w:rsidRDefault="006D67F1" w:rsidP="00FB61E2">
      <w:pPr>
        <w:rPr>
          <w:lang w:eastAsia="en-US"/>
        </w:rPr>
      </w:pPr>
      <w:r w:rsidRPr="002C224A">
        <w:rPr>
          <w:lang w:eastAsia="en-US"/>
        </w:rPr>
        <w:t>Důležitou komplementaritu představuje také možnost zapojení Investičního plánu pro Evropu a Evropského fondu pro strategické investice.</w:t>
      </w:r>
    </w:p>
    <w:p w:rsidR="006D67F1" w:rsidRPr="002C224A" w:rsidRDefault="006D67F1" w:rsidP="00283266">
      <w:pPr>
        <w:pStyle w:val="Nadpis4"/>
        <w:rPr>
          <w:rFonts w:ascii="Calibri" w:hAnsi="Calibri"/>
        </w:rPr>
      </w:pPr>
      <w:r w:rsidRPr="002C224A">
        <w:rPr>
          <w:rFonts w:ascii="Calibri" w:hAnsi="Calibri"/>
        </w:rPr>
        <w:t>Možné řešení veřejné podpory</w:t>
      </w:r>
    </w:p>
    <w:p w:rsidR="006701AB" w:rsidRPr="00A50943" w:rsidRDefault="006701AB" w:rsidP="00283266">
      <w:pPr>
        <w:pStyle w:val="Neslovannadpisy"/>
        <w:rPr>
          <w:b w:val="0"/>
          <w:color w:val="auto"/>
          <w:lang w:eastAsia="en-US"/>
        </w:rPr>
      </w:pPr>
    </w:p>
    <w:p w:rsidR="006D67F1" w:rsidRPr="00A50943" w:rsidRDefault="006D67F1" w:rsidP="002C224A">
      <w:pPr>
        <w:pStyle w:val="Neslovannadpisy"/>
        <w:rPr>
          <w:lang w:eastAsia="en-US"/>
        </w:rPr>
      </w:pPr>
      <w:r w:rsidRPr="002C224A">
        <w:rPr>
          <w:b w:val="0"/>
          <w:color w:val="auto"/>
          <w:lang w:eastAsia="en-US"/>
        </w:rPr>
        <w:t>Veřejná podpora finančního nástroje by měla být řešena jako podpora de minimis nebo podpora dle Obecného nařízení o blokových výjimkách č. 651/2014.</w:t>
      </w:r>
      <w:r w:rsidR="006701AB" w:rsidRPr="002C224A">
        <w:rPr>
          <w:b w:val="0"/>
          <w:color w:val="auto"/>
          <w:lang w:eastAsia="en-US"/>
        </w:rPr>
        <w:t xml:space="preserve"> Veřejná podpora je předpokládána pouze na úrovni konečných příjemců.</w:t>
      </w:r>
    </w:p>
    <w:p w:rsidR="006D67F1" w:rsidRPr="002C224A" w:rsidRDefault="006D67F1" w:rsidP="00FB61E2">
      <w:pPr>
        <w:rPr>
          <w:lang w:eastAsia="en-US"/>
        </w:rPr>
      </w:pPr>
    </w:p>
    <w:p w:rsidR="006D67F1" w:rsidRPr="002C224A" w:rsidRDefault="006D67F1" w:rsidP="00875E68">
      <w:pPr>
        <w:pStyle w:val="Nadpis3"/>
        <w:rPr>
          <w:rFonts w:ascii="Calibri" w:hAnsi="Calibri"/>
        </w:rPr>
      </w:pPr>
      <w:bookmarkStart w:id="871" w:name="_Toc421534299"/>
      <w:r w:rsidRPr="002C224A">
        <w:rPr>
          <w:rFonts w:ascii="Calibri" w:hAnsi="Calibri"/>
        </w:rPr>
        <w:t>Odhad dodatečných veřejných a soukromých zdrojů</w:t>
      </w:r>
      <w:bookmarkEnd w:id="871"/>
    </w:p>
    <w:p w:rsidR="006D67F1" w:rsidRPr="002C224A" w:rsidRDefault="006D67F1" w:rsidP="00875E68">
      <w:pPr>
        <w:pStyle w:val="Nadpis4"/>
        <w:rPr>
          <w:rFonts w:ascii="Calibri" w:hAnsi="Calibri"/>
        </w:rPr>
      </w:pPr>
      <w:r w:rsidRPr="002C224A">
        <w:rPr>
          <w:rFonts w:ascii="Calibri" w:hAnsi="Calibri"/>
        </w:rPr>
        <w:t>Spolufinancování ze soukromých zdrojů až na úroveň konečného příjemce</w:t>
      </w:r>
    </w:p>
    <w:p w:rsidR="006D67F1" w:rsidRPr="002C224A" w:rsidRDefault="006D67F1" w:rsidP="004F5778">
      <w:r w:rsidRPr="00A50943">
        <w:t>Nástroj ve formě zvýhodněných úvěrů předpokládá spolufinancování ve formě komerčního úvěru, který bude předpokladem obdržení úvěru zvýhodněného. Kvůli zachování dostatečné míry zvýhodnění ve formě nižší složené úrokové sazby je doporučován maxi</w:t>
      </w:r>
      <w:r w:rsidRPr="002C224A">
        <w:t>mální podíl komerčního úvěru ve výši zvýhodněného úvěru. V modelovém příkladu tak při sazbě komerčních bank 4 % a sazbě FN 0,5 % bude výsledná sazba na úrovni 2 %. Podíl soukromých bankovních zdrojů na financování projektu se může pohybovat v závislosti na nastavení nástroje a podílu vlastních zdrojů na 10 - 80 % výdajů projektu.</w:t>
      </w:r>
    </w:p>
    <w:p w:rsidR="006D67F1" w:rsidRPr="002C224A" w:rsidRDefault="006D67F1" w:rsidP="004F5778"/>
    <w:p w:rsidR="006D67F1" w:rsidRPr="002C224A" w:rsidRDefault="006D67F1" w:rsidP="004F5778">
      <w:r w:rsidRPr="002C224A">
        <w:t xml:space="preserve">Předpokladem nástroje zvýhodněných úvěrů je též zachování podílu </w:t>
      </w:r>
      <w:r w:rsidR="00031A1C">
        <w:t>vlastních zdrojů konečného příjemce</w:t>
      </w:r>
      <w:r w:rsidRPr="002C224A">
        <w:t>, který může v závislosti na finanční strategii a potřebách podniku výrazně oscilovat. Vlastní zdroje budou využity jak na dofinancování způsobilých výdajů, tak především na podpoře nezpůsobilé výdaje projektů.</w:t>
      </w:r>
    </w:p>
    <w:p w:rsidR="006D67F1" w:rsidRPr="002C224A" w:rsidRDefault="006D67F1" w:rsidP="004F5778"/>
    <w:p w:rsidR="006D67F1" w:rsidRPr="002C224A" w:rsidRDefault="006D67F1" w:rsidP="004F5778">
      <w:r w:rsidRPr="002C224A">
        <w:t>V případě úvěrů odhadujeme na základě zkušeností ČMZRB vlastní zdroje žadatele na úrovni 10-30 % nákladů projektu.</w:t>
      </w:r>
    </w:p>
    <w:p w:rsidR="006D67F1" w:rsidRPr="002C224A" w:rsidRDefault="006D67F1" w:rsidP="00875E68"/>
    <w:p w:rsidR="006D67F1" w:rsidRPr="002C224A" w:rsidRDefault="006D67F1" w:rsidP="00875E68"/>
    <w:p w:rsidR="006D67F1" w:rsidRPr="002C224A" w:rsidRDefault="006D67F1" w:rsidP="00875E68">
      <w:pPr>
        <w:pStyle w:val="Nadpis4"/>
        <w:rPr>
          <w:rFonts w:ascii="Calibri" w:hAnsi="Calibri"/>
        </w:rPr>
      </w:pPr>
      <w:r w:rsidRPr="002C224A">
        <w:rPr>
          <w:rFonts w:ascii="Calibri" w:hAnsi="Calibri"/>
        </w:rPr>
        <w:t>Identifikace klíčových subjektů</w:t>
      </w:r>
    </w:p>
    <w:p w:rsidR="006D67F1" w:rsidRPr="002C224A" w:rsidRDefault="006D67F1" w:rsidP="00312C02">
      <w:r w:rsidRPr="00A50943">
        <w:t>Klíčovým soukromým subjektem pro nástroj zvýhodněných úvěrů jsou soukromé úvěrující instituce – komerční banky, kte</w:t>
      </w:r>
      <w:r w:rsidRPr="002C224A">
        <w:t>ré zajišťují soukromé spolufinancování. FN bude implementován skrze záruční, resp. úvěrový fond s vybraných správcem.</w:t>
      </w:r>
    </w:p>
    <w:p w:rsidR="006D67F1" w:rsidRPr="002C224A" w:rsidRDefault="006D67F1" w:rsidP="00875E68"/>
    <w:p w:rsidR="006D67F1" w:rsidRPr="002C224A" w:rsidRDefault="006D67F1" w:rsidP="00312C02">
      <w:pPr>
        <w:pStyle w:val="Nadpis4"/>
        <w:rPr>
          <w:rFonts w:ascii="Calibri" w:hAnsi="Calibri"/>
        </w:rPr>
      </w:pPr>
      <w:r w:rsidRPr="002C224A">
        <w:rPr>
          <w:rFonts w:ascii="Calibri" w:hAnsi="Calibri"/>
        </w:rPr>
        <w:t>Odhad dodatečných zdrojů, který finanční nástroj</w:t>
      </w:r>
      <w:r w:rsidR="00053EA4" w:rsidRPr="002C224A">
        <w:rPr>
          <w:rFonts w:ascii="Calibri" w:hAnsi="Calibri"/>
        </w:rPr>
        <w:t xml:space="preserve"> potenciálně</w:t>
      </w:r>
      <w:r w:rsidRPr="002C224A">
        <w:rPr>
          <w:rFonts w:ascii="Calibri" w:hAnsi="Calibri"/>
        </w:rPr>
        <w:t xml:space="preserve"> přiláká</w:t>
      </w:r>
      <w:r w:rsidR="00053EA4" w:rsidRPr="002C224A">
        <w:rPr>
          <w:rFonts w:ascii="Calibri" w:hAnsi="Calibri"/>
        </w:rPr>
        <w:t xml:space="preserve"> </w:t>
      </w:r>
      <w:r w:rsidRPr="002C224A">
        <w:rPr>
          <w:rFonts w:ascii="Calibri" w:hAnsi="Calibri"/>
        </w:rPr>
        <w:t>– očekávaný pákový efekt</w:t>
      </w:r>
    </w:p>
    <w:p w:rsidR="006D67F1" w:rsidRPr="002C224A" w:rsidRDefault="006D67F1" w:rsidP="00312C02">
      <w:r w:rsidRPr="00A50943">
        <w:t>Dodatečné zdroje aktivované finančním nástr</w:t>
      </w:r>
      <w:r w:rsidRPr="002C224A">
        <w:t>ojem a tedy i výsledný pákový efekt jsou vždy závislé na konkrétním nastavení investiční strategie z hlediska požadovaného soukromého spolufinancování.</w:t>
      </w:r>
    </w:p>
    <w:p w:rsidR="006D67F1" w:rsidRPr="002C224A" w:rsidRDefault="006D67F1" w:rsidP="00312C02"/>
    <w:p w:rsidR="006D67F1" w:rsidRPr="002C224A" w:rsidRDefault="006D67F1" w:rsidP="00312C02">
      <w:r w:rsidRPr="002C224A">
        <w:lastRenderedPageBreak/>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2C224A" w:rsidRDefault="006D67F1" w:rsidP="00312C02">
      <w:pPr>
        <w:rPr>
          <w:b/>
        </w:rPr>
      </w:pPr>
      <w:r w:rsidRPr="002C224A">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2C224A">
        <w:rPr>
          <w:b/>
        </w:rPr>
        <w:t>nelze očekávat pákový efekt přesahující hodnotu 2</w:t>
      </w:r>
      <w:r w:rsidR="00053EA4" w:rsidRPr="002C224A">
        <w:rPr>
          <w:b/>
        </w:rPr>
        <w:t xml:space="preserve"> </w:t>
      </w:r>
      <w:r w:rsidRPr="002C224A">
        <w:rPr>
          <w:b/>
        </w:rPr>
        <w:t>(tedy podíl FN a soukromého úvěru 1:1).</w:t>
      </w:r>
    </w:p>
    <w:p w:rsidR="006D67F1" w:rsidRPr="002C224A" w:rsidRDefault="006D67F1" w:rsidP="00875E68">
      <w:pPr>
        <w:pStyle w:val="Nadpis4"/>
        <w:rPr>
          <w:rFonts w:ascii="Calibri" w:hAnsi="Calibri"/>
        </w:rPr>
      </w:pPr>
      <w:r w:rsidRPr="002C224A">
        <w:rPr>
          <w:rFonts w:ascii="Calibri" w:hAnsi="Calibri"/>
        </w:rPr>
        <w:t>Posouzení potřeby a úroveň preferenčního odměňování</w:t>
      </w:r>
    </w:p>
    <w:p w:rsidR="006D67F1" w:rsidRPr="002C224A" w:rsidRDefault="006D67F1" w:rsidP="001D1877">
      <w:r w:rsidRPr="00A50943">
        <w:t>K motivování dostatečného pákového efektu a zapojení soukromých bankovních zdrojů na podporovaných projektech navrhujeme uplatňovat v rámci zvýho</w:t>
      </w:r>
      <w:r w:rsidRPr="002C224A">
        <w:t>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r w:rsidR="00C76073" w:rsidRPr="002C224A">
        <w:t xml:space="preserve"> Nejedná se o preferenční odměňování úvěrujících institucí, efekty nástroje by měly být plně přeneseny na konečného příjemce. Preferenční odměňování není navrhováno.</w:t>
      </w:r>
    </w:p>
    <w:p w:rsidR="006D67F1" w:rsidRPr="002C224A" w:rsidRDefault="006D67F1" w:rsidP="001D1877"/>
    <w:p w:rsidR="006D67F1" w:rsidRPr="002C224A" w:rsidRDefault="006D67F1" w:rsidP="002433DA">
      <w:pPr>
        <w:pStyle w:val="Nadpis2"/>
        <w:rPr>
          <w:rFonts w:ascii="Calibri" w:hAnsi="Calibri"/>
          <w:lang w:eastAsia="en-US"/>
        </w:rPr>
      </w:pPr>
      <w:bookmarkStart w:id="872" w:name="_Toc416800456"/>
      <w:bookmarkStart w:id="873" w:name="_Toc421534300"/>
      <w:r w:rsidRPr="002C224A">
        <w:rPr>
          <w:rFonts w:ascii="Calibri" w:hAnsi="Calibri"/>
          <w:lang w:eastAsia="en-US"/>
        </w:rPr>
        <w:t>Specifický cíl 3.2- Snižování energetické náročnosti podnikatelského sektoru a rozvíjení energetických služeb</w:t>
      </w:r>
      <w:bookmarkEnd w:id="872"/>
      <w:bookmarkEnd w:id="873"/>
    </w:p>
    <w:p w:rsidR="006D67F1" w:rsidRPr="002C224A" w:rsidRDefault="006D67F1" w:rsidP="002413B6">
      <w:pPr>
        <w:pStyle w:val="Nadpis3"/>
        <w:rPr>
          <w:rFonts w:ascii="Calibri" w:hAnsi="Calibri"/>
        </w:rPr>
      </w:pPr>
      <w:bookmarkStart w:id="874" w:name="_Toc416800457"/>
      <w:bookmarkStart w:id="875" w:name="_Toc421534301"/>
      <w:r w:rsidRPr="002C224A">
        <w:rPr>
          <w:rFonts w:ascii="Calibri" w:hAnsi="Calibri"/>
        </w:rPr>
        <w:t>Zaměření cíle</w:t>
      </w:r>
      <w:bookmarkEnd w:id="874"/>
      <w:bookmarkEnd w:id="875"/>
    </w:p>
    <w:p w:rsidR="006D67F1" w:rsidRPr="00A50943" w:rsidRDefault="006D67F1">
      <w:pPr>
        <w:pStyle w:val="Neslovannadpisy"/>
        <w:rPr>
          <w:lang w:eastAsia="en-US"/>
        </w:rPr>
      </w:pPr>
      <w:r w:rsidRPr="00A50943">
        <w:rPr>
          <w:lang w:eastAsia="en-US"/>
        </w:rPr>
        <w:t>Podporované aktivity:</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Modernizace a rekonstrukce rozvodů elektřiny, plynu a tepla v budovách a v energetických hospodářstvích výrobních závodů za účelem zvýšení účinnosti</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zavádění a modernizace systémů měření a regulace,</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modernizace, rekonstrukce stávajících zařízení na výrobu energie pro vlastní spotřebu vedoucí ke zvýšení její účinnosti,</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modernizace soustav osvětlení budov a průmyslových areálů (pouze v případě náhrady zastaralých technologií za nové vysoce efektivní osvětlovací systémy, např. světelných diod (LED),</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využití odpadní energie ve výrobních procesech,</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snižování energetické náročnosti/zvyšování energetické účinnosti výrobních a technologických procesů,</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instalace OZE pro vlastní spotřebu podniku,</w:t>
      </w:r>
    </w:p>
    <w:p w:rsidR="006D67F1" w:rsidRPr="002C224A" w:rsidRDefault="006D67F1" w:rsidP="00D67A40">
      <w:pPr>
        <w:pStyle w:val="Odstavecseseznamem1"/>
        <w:numPr>
          <w:ilvl w:val="0"/>
          <w:numId w:val="30"/>
        </w:numPr>
        <w:overflowPunct/>
        <w:autoSpaceDE/>
        <w:autoSpaceDN/>
        <w:adjustRightInd/>
        <w:spacing w:before="120"/>
        <w:contextualSpacing w:val="0"/>
        <w:jc w:val="left"/>
        <w:textAlignment w:val="auto"/>
      </w:pPr>
      <w:r w:rsidRPr="002C224A">
        <w:t>instalace kogenerační jednotky s maximálním využitím elektrické a tepelné energie pro vlastní spotřebu podniku,</w:t>
      </w:r>
    </w:p>
    <w:p w:rsidR="006D67F1" w:rsidRPr="002C224A" w:rsidRDefault="006D67F1" w:rsidP="00D67A40">
      <w:pPr>
        <w:pStyle w:val="Odstavecseseznamem1"/>
        <w:numPr>
          <w:ilvl w:val="0"/>
          <w:numId w:val="30"/>
        </w:numPr>
        <w:overflowPunct/>
        <w:autoSpaceDE/>
        <w:autoSpaceDN/>
        <w:adjustRightInd/>
        <w:spacing w:line="250" w:lineRule="atLeast"/>
        <w:jc w:val="left"/>
        <w:textAlignment w:val="auto"/>
      </w:pPr>
      <w:r w:rsidRPr="002C224A">
        <w:t xml:space="preserve">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w:t>
      </w:r>
      <w:r w:rsidRPr="002C224A">
        <w:lastRenderedPageBreak/>
        <w:t>pevná částka na jasně měřitelnou veličinu (např. na metr čtvereční energeticky vztažné plochy).</w:t>
      </w:r>
    </w:p>
    <w:p w:rsidR="006D67F1" w:rsidRPr="002C224A" w:rsidRDefault="006D67F1" w:rsidP="00DF6E0B">
      <w:pPr>
        <w:rPr>
          <w:lang w:eastAsia="en-US"/>
        </w:rPr>
      </w:pPr>
    </w:p>
    <w:p w:rsidR="006D67F1" w:rsidRPr="002C224A" w:rsidRDefault="006D67F1" w:rsidP="008674AE">
      <w:pPr>
        <w:pStyle w:val="Neslovannadpisy"/>
      </w:pPr>
      <w:r w:rsidRPr="002C224A">
        <w:t xml:space="preserve">Hlavní cílová skupina: </w:t>
      </w:r>
    </w:p>
    <w:p w:rsidR="006D67F1" w:rsidRPr="002C224A" w:rsidRDefault="006D67F1" w:rsidP="008674AE">
      <w:r w:rsidRPr="002C224A">
        <w:t>Podnikatelské subjekty (malé, střední a případně velké podniky)</w:t>
      </w:r>
    </w:p>
    <w:p w:rsidR="006D67F1" w:rsidRPr="002C224A" w:rsidRDefault="006D67F1" w:rsidP="008674AE">
      <w:pPr>
        <w:pStyle w:val="Neslovannadpisy"/>
      </w:pPr>
    </w:p>
    <w:p w:rsidR="006D67F1" w:rsidRPr="002C224A" w:rsidRDefault="006D67F1" w:rsidP="008674AE">
      <w:pPr>
        <w:pStyle w:val="Neslovannadpisy"/>
      </w:pPr>
      <w:r w:rsidRPr="002C224A">
        <w:t>Cílové území:</w:t>
      </w:r>
    </w:p>
    <w:p w:rsidR="006D67F1" w:rsidRPr="002C224A" w:rsidRDefault="006D67F1" w:rsidP="008674AE">
      <w:r w:rsidRPr="002C224A">
        <w:t>Všechny regiony v ČR kromě hl. m. Prahy</w:t>
      </w:r>
    </w:p>
    <w:p w:rsidR="006D67F1" w:rsidRPr="002C224A" w:rsidRDefault="006D67F1" w:rsidP="008674AE"/>
    <w:p w:rsidR="006D67F1" w:rsidRPr="002C224A" w:rsidRDefault="006D67F1" w:rsidP="005D2279">
      <w:pPr>
        <w:pStyle w:val="Neslovannadpisy"/>
      </w:pPr>
      <w:r w:rsidRPr="002C224A">
        <w:t>Výběr aktivit k posouzení vhodnosti finančního nástroje</w:t>
      </w:r>
    </w:p>
    <w:p w:rsidR="006D67F1" w:rsidRPr="002C224A" w:rsidRDefault="006D67F1" w:rsidP="005D2279">
      <w:r w:rsidRPr="002C224A">
        <w:t>K předběžnému posouzení byly vybrány všechny podporované aktivity cíle SC 3.2. Podporované projekty svým investičním a ziskovým charakterem, dobrou kvantifikovatelností a předvídatelností úspory a výnosů tvoří potenciálně vhodnou oblast pro návratnou formu podpory.</w:t>
      </w:r>
    </w:p>
    <w:p w:rsidR="006D67F1" w:rsidRPr="002C224A" w:rsidRDefault="006D67F1" w:rsidP="008674AE"/>
    <w:p w:rsidR="006D67F1" w:rsidRPr="002C224A" w:rsidRDefault="006D67F1" w:rsidP="002433DA">
      <w:pPr>
        <w:pStyle w:val="Nadpis3"/>
        <w:rPr>
          <w:rFonts w:ascii="Calibri" w:hAnsi="Calibri"/>
          <w:lang w:eastAsia="en-US"/>
        </w:rPr>
      </w:pPr>
      <w:bookmarkStart w:id="876" w:name="_Toc421534302"/>
      <w:r w:rsidRPr="002C224A">
        <w:rPr>
          <w:rFonts w:ascii="Calibri" w:hAnsi="Calibri"/>
          <w:lang w:eastAsia="en-US"/>
        </w:rPr>
        <w:t>Analýza selhání trhu</w:t>
      </w:r>
      <w:bookmarkEnd w:id="876"/>
    </w:p>
    <w:p w:rsidR="006D67F1" w:rsidRPr="002C224A" w:rsidRDefault="006D67F1" w:rsidP="00283266">
      <w:pPr>
        <w:pStyle w:val="Nadpis4"/>
        <w:rPr>
          <w:rFonts w:ascii="Calibri" w:hAnsi="Calibri"/>
        </w:rPr>
      </w:pPr>
      <w:r w:rsidRPr="002C224A">
        <w:rPr>
          <w:rFonts w:ascii="Calibri" w:hAnsi="Calibri"/>
        </w:rPr>
        <w:t>Tržní analýza</w:t>
      </w:r>
    </w:p>
    <w:p w:rsidR="006D67F1" w:rsidRPr="00A50943" w:rsidRDefault="006D67F1" w:rsidP="006F771D">
      <w:pPr>
        <w:rPr>
          <w:lang w:eastAsia="en-US"/>
        </w:rPr>
      </w:pPr>
    </w:p>
    <w:p w:rsidR="006D67F1" w:rsidRDefault="006D67F1" w:rsidP="00DF6E0B">
      <w:pPr>
        <w:rPr>
          <w:lang w:eastAsia="en-US"/>
        </w:rPr>
      </w:pPr>
      <w:r w:rsidRPr="002C224A">
        <w:rPr>
          <w:lang w:eastAsia="en-US"/>
        </w:rPr>
        <w:t xml:space="preserve">Financování projektů energetických úspor je v současné době rostoucím byznysem. Velkého potenciálu technologického rozvoje a energetických úspor využívá řada subjektů na trhu (tzv. energetické servisní společnosti – </w:t>
      </w:r>
      <w:r w:rsidRPr="002C224A">
        <w:rPr>
          <w:b/>
          <w:lang w:eastAsia="en-US"/>
        </w:rPr>
        <w:t>ESCO</w:t>
      </w:r>
      <w:r w:rsidRPr="002C224A">
        <w:rPr>
          <w:lang w:eastAsia="en-US"/>
        </w:rPr>
        <w:t>)</w:t>
      </w:r>
      <w:r w:rsidR="00920393" w:rsidRPr="002C224A">
        <w:rPr>
          <w:lang w:eastAsia="en-US"/>
        </w:rPr>
        <w:t xml:space="preserve"> </w:t>
      </w:r>
      <w:r w:rsidRPr="002C224A">
        <w:rPr>
          <w:lang w:eastAsia="en-US"/>
        </w:rPr>
        <w:t>k realizaci úprav organizačních, technických i stavebních, které vedou ke snížení spotřeby energie a tedy i snížení nákladů pro konečného spotřebitele. Tento rozvoj je zapříčiněn nejen dotační podporou, financování energetických úspor je ekonomicky racionální i na čistě tržním principu.</w:t>
      </w:r>
    </w:p>
    <w:p w:rsidR="00900E1F" w:rsidRDefault="00900E1F" w:rsidP="00DF6E0B">
      <w:pPr>
        <w:rPr>
          <w:szCs w:val="16"/>
        </w:rPr>
      </w:pPr>
    </w:p>
    <w:p w:rsidR="00900E1F" w:rsidRDefault="00900E1F" w:rsidP="00900E1F">
      <w:pPr>
        <w:rPr>
          <w:szCs w:val="16"/>
        </w:rPr>
      </w:pPr>
      <w:r w:rsidRPr="0009702A">
        <w:rPr>
          <w:szCs w:val="16"/>
        </w:rPr>
        <w:t>ČR v souladu se Strategií Evropa 2020 prosazuje využití významného objemu prostředků z budoucího víceletého finančního rámce na energetickou efektivitu a podporu podnikání, která má pomoci zajistit konkurenceschopnost Evropy.</w:t>
      </w:r>
      <w:r>
        <w:rPr>
          <w:szCs w:val="16"/>
        </w:rPr>
        <w:t xml:space="preserve"> </w:t>
      </w:r>
      <w:r w:rsidRPr="0009702A">
        <w:rPr>
          <w:szCs w:val="16"/>
        </w:rPr>
        <w:t>V souvislosti se závazky vyplývajícími s implementací s</w:t>
      </w:r>
      <w:r w:rsidRPr="0009702A">
        <w:t xml:space="preserve">měrnice Evropského parlamentu a Rady 2012/27/EU o energetické účinnosti byl stanoven </w:t>
      </w:r>
      <w:r w:rsidRPr="0009702A">
        <w:rPr>
          <w:b/>
        </w:rPr>
        <w:t>v</w:t>
      </w:r>
      <w:r w:rsidRPr="0009702A">
        <w:rPr>
          <w:b/>
          <w:bCs/>
          <w:szCs w:val="16"/>
        </w:rPr>
        <w:t>nitrostátní orientační cíl České republiky ve výši 47,84 PJ (13,29 TWh) nových úspor v konečné spotřebě energie do roku 2020.</w:t>
      </w:r>
      <w:r w:rsidRPr="0009702A">
        <w:rPr>
          <w:bCs/>
          <w:szCs w:val="16"/>
        </w:rPr>
        <w:t xml:space="preserve"> V souvislosti s uvedeným cílem byla definována patřičná opatření, mezi která patří i </w:t>
      </w:r>
      <w:r w:rsidRPr="0009702A">
        <w:rPr>
          <w:szCs w:val="16"/>
        </w:rPr>
        <w:t>důraz na oblast</w:t>
      </w:r>
      <w:r>
        <w:rPr>
          <w:szCs w:val="16"/>
        </w:rPr>
        <w:t xml:space="preserve">i pokrývané specifickými cíli 3.1, </w:t>
      </w:r>
      <w:smartTag w:uri="urn:schemas-microsoft-com:office:smarttags" w:element="metricconverter">
        <w:smartTagPr>
          <w:attr w:name="ProductID" w:val="3.2 a"/>
        </w:smartTagPr>
        <w:r>
          <w:rPr>
            <w:szCs w:val="16"/>
          </w:rPr>
          <w:t>3.2 a</w:t>
        </w:r>
      </w:smartTag>
      <w:r>
        <w:rPr>
          <w:szCs w:val="16"/>
        </w:rPr>
        <w:t xml:space="preserve"> 3.5 OP PIK</w:t>
      </w:r>
      <w:r w:rsidRPr="0009702A">
        <w:rPr>
          <w:szCs w:val="16"/>
        </w:rPr>
        <w:t>.</w:t>
      </w:r>
    </w:p>
    <w:p w:rsidR="00900E1F" w:rsidRPr="0009702A" w:rsidRDefault="00900E1F" w:rsidP="00900E1F">
      <w:pPr>
        <w:rPr>
          <w:bCs/>
          <w:szCs w:val="16"/>
        </w:rPr>
      </w:pPr>
    </w:p>
    <w:p w:rsidR="00900E1F" w:rsidRPr="0009702A" w:rsidRDefault="00900E1F" w:rsidP="00900E1F">
      <w:pPr>
        <w:rPr>
          <w:szCs w:val="16"/>
        </w:rPr>
      </w:pPr>
      <w:r w:rsidRPr="0009702A">
        <w:rPr>
          <w:b/>
          <w:bCs/>
          <w:szCs w:val="16"/>
        </w:rPr>
        <w:t>Pro naplnění článku 7 předmětné směrnice zvolila Česká republika implementaci souboru jiných politických opatření podle čl. 7 odst. 9 směrnice. Pro účely zavádění nazývá ČR tento způsob „alternativní schéma“.</w:t>
      </w:r>
      <w:r w:rsidRPr="006A68BF">
        <w:rPr>
          <w:rStyle w:val="Znakapoznpodarou"/>
        </w:rPr>
        <w:t xml:space="preserve"> </w:t>
      </w:r>
      <w:r>
        <w:rPr>
          <w:rStyle w:val="Znakapoznpodarou"/>
        </w:rPr>
        <w:footnoteReference w:id="37"/>
      </w:r>
      <w:r w:rsidRPr="0009702A">
        <w:rPr>
          <w:b/>
          <w:bCs/>
          <w:szCs w:val="16"/>
        </w:rPr>
        <w:t xml:space="preserve"> </w:t>
      </w:r>
      <w:r w:rsidRPr="0009702A">
        <w:rPr>
          <w:szCs w:val="16"/>
        </w:rPr>
        <w:t>Z jiných politických opatření nabízených a popsaných směrnicí využije Česká republika systémy a nástroje financování, a odbornou přípravu a vzdělávání včetně programů v oblasti energetického poradenství, které vedou k uplatňování energeticky účinných technologií nebo metod a jejichž výsledkem je snížení spotřeby u konečného uživatele:</w:t>
      </w:r>
    </w:p>
    <w:p w:rsidR="00900E1F" w:rsidRPr="0009702A" w:rsidRDefault="00900E1F" w:rsidP="00900E1F">
      <w:pPr>
        <w:pStyle w:val="Odstavecseseznamem1"/>
        <w:numPr>
          <w:ilvl w:val="0"/>
          <w:numId w:val="93"/>
        </w:numPr>
        <w:overflowPunct/>
        <w:autoSpaceDE/>
        <w:autoSpaceDN/>
        <w:adjustRightInd/>
        <w:spacing w:after="120"/>
        <w:textAlignment w:val="auto"/>
        <w:rPr>
          <w:szCs w:val="16"/>
        </w:rPr>
      </w:pPr>
      <w:r w:rsidRPr="0009702A">
        <w:rPr>
          <w:szCs w:val="16"/>
        </w:rPr>
        <w:t>Nástroje finančního inženýrství;</w:t>
      </w:r>
    </w:p>
    <w:p w:rsidR="00900E1F" w:rsidRPr="0009702A" w:rsidRDefault="00900E1F" w:rsidP="00900E1F">
      <w:pPr>
        <w:pStyle w:val="Odstavecseseznamem1"/>
        <w:numPr>
          <w:ilvl w:val="0"/>
          <w:numId w:val="93"/>
        </w:numPr>
        <w:overflowPunct/>
        <w:autoSpaceDE/>
        <w:autoSpaceDN/>
        <w:adjustRightInd/>
        <w:spacing w:after="120"/>
        <w:textAlignment w:val="auto"/>
        <w:rPr>
          <w:szCs w:val="16"/>
        </w:rPr>
      </w:pPr>
      <w:r w:rsidRPr="0009702A">
        <w:rPr>
          <w:szCs w:val="16"/>
        </w:rPr>
        <w:t>Investiční dotace;</w:t>
      </w:r>
    </w:p>
    <w:p w:rsidR="00900E1F" w:rsidRPr="0009702A" w:rsidRDefault="00900E1F" w:rsidP="00900E1F">
      <w:pPr>
        <w:pStyle w:val="Odstavecseseznamem1"/>
        <w:numPr>
          <w:ilvl w:val="0"/>
          <w:numId w:val="94"/>
        </w:numPr>
        <w:overflowPunct/>
        <w:autoSpaceDE/>
        <w:autoSpaceDN/>
        <w:adjustRightInd/>
        <w:spacing w:after="120"/>
        <w:textAlignment w:val="auto"/>
        <w:rPr>
          <w:szCs w:val="16"/>
        </w:rPr>
      </w:pPr>
      <w:r w:rsidRPr="0009702A">
        <w:rPr>
          <w:szCs w:val="16"/>
        </w:rPr>
        <w:t>Neinvestiční dotace (analýzy vhodnosti využití metody EPC, energetický management, osvěta).</w:t>
      </w:r>
    </w:p>
    <w:p w:rsidR="00900E1F" w:rsidRDefault="00900E1F" w:rsidP="00900E1F">
      <w:r>
        <w:t xml:space="preserve">Problematiku zvyšování energetické účinnosti, resp. snižování energetické náročnosti adresují svým zaměřením celkem čtyři plánované operační programy období 2014 – </w:t>
      </w:r>
      <w:smartTag w:uri="urn:schemas-microsoft-com:office:smarttags" w:element="metricconverter">
        <w:smartTagPr>
          <w:attr w:name="ProductID" w:val="2020, a"/>
        </w:smartTagPr>
        <w:r>
          <w:t>2020, a</w:t>
        </w:r>
      </w:smartTag>
      <w:r>
        <w:t xml:space="preserve"> to </w:t>
      </w:r>
    </w:p>
    <w:p w:rsidR="00900E1F" w:rsidRDefault="00900E1F" w:rsidP="00900E1F">
      <w:pPr>
        <w:pStyle w:val="Odstavecseseznamem1"/>
        <w:numPr>
          <w:ilvl w:val="0"/>
          <w:numId w:val="94"/>
        </w:numPr>
        <w:overflowPunct/>
        <w:autoSpaceDE/>
        <w:autoSpaceDN/>
        <w:adjustRightInd/>
        <w:spacing w:after="120"/>
        <w:textAlignment w:val="auto"/>
      </w:pPr>
      <w:r>
        <w:t>OP ŽP a OP Praha v oblasti veřejných budov;</w:t>
      </w:r>
    </w:p>
    <w:p w:rsidR="00900E1F" w:rsidRDefault="00900E1F" w:rsidP="00900E1F">
      <w:pPr>
        <w:pStyle w:val="Odstavecseseznamem1"/>
        <w:numPr>
          <w:ilvl w:val="0"/>
          <w:numId w:val="94"/>
        </w:numPr>
        <w:overflowPunct/>
        <w:autoSpaceDE/>
        <w:autoSpaceDN/>
        <w:adjustRightInd/>
        <w:spacing w:after="120"/>
        <w:textAlignment w:val="auto"/>
      </w:pPr>
      <w:r>
        <w:t>OP PIK v oblasti podnikatelské sféry;</w:t>
      </w:r>
    </w:p>
    <w:p w:rsidR="00900E1F" w:rsidRDefault="00900E1F" w:rsidP="00900E1F">
      <w:pPr>
        <w:pStyle w:val="Odstavecseseznamem1"/>
        <w:numPr>
          <w:ilvl w:val="0"/>
          <w:numId w:val="94"/>
        </w:numPr>
        <w:overflowPunct/>
        <w:autoSpaceDE/>
        <w:autoSpaceDN/>
        <w:adjustRightInd/>
        <w:spacing w:after="120"/>
        <w:textAlignment w:val="auto"/>
      </w:pPr>
      <w:r>
        <w:lastRenderedPageBreak/>
        <w:t>IROP v oblasti sektoru bydlení – bytové domy.</w:t>
      </w:r>
    </w:p>
    <w:p w:rsidR="00900E1F" w:rsidRDefault="00900E1F" w:rsidP="00900E1F">
      <w:r>
        <w:t xml:space="preserve">V rámci ČR prokazatelně existuje tzv. </w:t>
      </w:r>
      <w:r w:rsidRPr="003A4947">
        <w:rPr>
          <w:b/>
        </w:rPr>
        <w:t>Energy Efficiency Gap</w:t>
      </w:r>
      <w:r>
        <w:t>, neboli jev, kdy není realizován společensky nákladově efektivní potenciál úspor z důvodu existence objektivních tržních selhání a překážek na trhu (viz analytická část zprávy). Dle mezinárodního srovnání ČR vykazuje zaostávání za obecným trendem investic do sledovaných opatření - viz. schéma níže:</w:t>
      </w:r>
    </w:p>
    <w:p w:rsidR="00900E1F" w:rsidRDefault="00900E1F" w:rsidP="00900E1F"/>
    <w:p w:rsidR="00900E1F" w:rsidRDefault="007A3F34" w:rsidP="00900E1F">
      <w:pPr>
        <w:keepNext/>
        <w:jc w:val="center"/>
      </w:pPr>
      <w:r w:rsidRPr="008561A3">
        <w:rPr>
          <w:noProof/>
        </w:rPr>
        <w:drawing>
          <wp:inline distT="0" distB="0" distL="0" distR="0" wp14:anchorId="08027EDB" wp14:editId="62C941AB">
            <wp:extent cx="5191125" cy="2590800"/>
            <wp:effectExtent l="0" t="0" r="9525" b="0"/>
            <wp:docPr id="59"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0">
                      <a:extLst>
                        <a:ext uri="{28A0092B-C50C-407E-A947-70E740481C1C}">
                          <a14:useLocalDpi xmlns:a14="http://schemas.microsoft.com/office/drawing/2010/main" val="0"/>
                        </a:ext>
                      </a:extLst>
                    </a:blip>
                    <a:srcRect t="11977"/>
                    <a:stretch>
                      <a:fillRect/>
                    </a:stretch>
                  </pic:blipFill>
                  <pic:spPr bwMode="auto">
                    <a:xfrm>
                      <a:off x="0" y="0"/>
                      <a:ext cx="5191125" cy="2590800"/>
                    </a:xfrm>
                    <a:prstGeom prst="rect">
                      <a:avLst/>
                    </a:prstGeom>
                    <a:noFill/>
                    <a:ln>
                      <a:noFill/>
                    </a:ln>
                  </pic:spPr>
                </pic:pic>
              </a:graphicData>
            </a:graphic>
          </wp:inline>
        </w:drawing>
      </w:r>
    </w:p>
    <w:p w:rsidR="00900E1F" w:rsidRDefault="00900E1F" w:rsidP="00900E1F">
      <w:pPr>
        <w:pStyle w:val="Titulek"/>
        <w:jc w:val="center"/>
      </w:pPr>
      <w:bookmarkStart w:id="877" w:name="_Toc400358166"/>
      <w:bookmarkStart w:id="878" w:name="_Toc402509592"/>
      <w:r>
        <w:t xml:space="preserve">Obrázek </w:t>
      </w:r>
      <w:r w:rsidR="00646277">
        <w:t>29</w:t>
      </w:r>
      <w:r>
        <w:t>: Změna v indexu energetické efektivity dle srovnávaných zemí, 2000-2009 (roční % změna)</w:t>
      </w:r>
      <w:r>
        <w:rPr>
          <w:rStyle w:val="Znakapoznpodarou"/>
        </w:rPr>
        <w:footnoteReference w:id="38"/>
      </w:r>
      <w:bookmarkEnd w:id="877"/>
      <w:bookmarkEnd w:id="878"/>
    </w:p>
    <w:p w:rsidR="00900E1F" w:rsidRPr="002C224A" w:rsidRDefault="00900E1F" w:rsidP="00DF6E0B">
      <w:pPr>
        <w:rPr>
          <w:lang w:eastAsia="en-US"/>
        </w:rPr>
      </w:pPr>
    </w:p>
    <w:p w:rsidR="006D67F1" w:rsidRPr="002C224A" w:rsidRDefault="006D67F1" w:rsidP="001C365A">
      <w:pPr>
        <w:pStyle w:val="Neslovannadpisy"/>
        <w:rPr>
          <w:lang w:eastAsia="en-US"/>
        </w:rPr>
      </w:pPr>
    </w:p>
    <w:p w:rsidR="006D67F1" w:rsidRPr="002C224A" w:rsidRDefault="006D67F1" w:rsidP="001C365A">
      <w:pPr>
        <w:pStyle w:val="Neslovannadpisy"/>
        <w:rPr>
          <w:lang w:eastAsia="en-US"/>
        </w:rPr>
      </w:pPr>
      <w:r w:rsidRPr="002C224A">
        <w:rPr>
          <w:lang w:eastAsia="en-US"/>
        </w:rPr>
        <w:t>Zdroje financování</w:t>
      </w:r>
    </w:p>
    <w:p w:rsidR="006D67F1" w:rsidRPr="002C224A" w:rsidRDefault="006D67F1" w:rsidP="00E07015">
      <w:pPr>
        <w:rPr>
          <w:lang w:eastAsia="en-US"/>
        </w:rPr>
      </w:pPr>
      <w:r w:rsidRPr="002C224A">
        <w:rPr>
          <w:lang w:eastAsia="en-US"/>
        </w:rPr>
        <w:t xml:space="preserve">Z rozhovorů se zainteresovanými subjekty vyplynulo, že mechanismy financování investic do snížení energetické náročnosti podniků jsou poměrně vyspělé a efektivní, jako například metoda zaručených energetických úspor </w:t>
      </w:r>
      <w:r w:rsidRPr="002C224A">
        <w:rPr>
          <w:b/>
          <w:lang w:eastAsia="en-US"/>
        </w:rPr>
        <w:t>Energy Performance Contracting</w:t>
      </w:r>
      <w:r w:rsidR="00B51760" w:rsidRPr="002C224A">
        <w:rPr>
          <w:b/>
          <w:lang w:eastAsia="en-US"/>
        </w:rPr>
        <w:t xml:space="preserve"> (EPC)</w:t>
      </w:r>
      <w:r w:rsidRPr="002C224A">
        <w:rPr>
          <w:lang w:eastAsia="en-US"/>
        </w:rPr>
        <w:t>, skrze kterou se od přelomu milénia investice na tržním principu financují nejčastěji.</w:t>
      </w:r>
      <w:r w:rsidR="00AD02C0" w:rsidRPr="002C224A">
        <w:rPr>
          <w:lang w:eastAsia="en-US"/>
        </w:rPr>
        <w:t xml:space="preserve"> </w:t>
      </w:r>
      <w:r w:rsidRPr="002C224A">
        <w:rPr>
          <w:lang w:eastAsia="en-US"/>
        </w:rPr>
        <w:t xml:space="preserve">Metoda EPC je nicméně obvyklá především u veřejných subjektů. V podnikatelské oblasti je její rozvoj zatím pomalejší, realizované EPC projekty zde dosáhly od svého rozšíření na přelomu milénia úhrnné výše přibližně </w:t>
      </w:r>
      <w:smartTag w:uri="urn:schemas-microsoft-com:office:smarttags" w:element="metricconverter">
        <w:smartTagPr>
          <w:attr w:name="ProductID" w:val="210 mil"/>
        </w:smartTagPr>
        <w:r w:rsidRPr="002C224A">
          <w:rPr>
            <w:lang w:eastAsia="en-US"/>
          </w:rPr>
          <w:t>210 mil</w:t>
        </w:r>
      </w:smartTag>
      <w:r w:rsidRPr="002C224A">
        <w:rPr>
          <w:lang w:eastAsia="en-US"/>
        </w:rPr>
        <w:t xml:space="preserve">. Kč. </w:t>
      </w:r>
      <w:r w:rsidRPr="002C224A">
        <w:rPr>
          <w:b/>
          <w:lang w:eastAsia="en-US"/>
        </w:rPr>
        <w:t>Experti České Spořitelny odhadují absorpční kapacitu investic MSP do energetických úspor na 18,3 mld. Kč</w:t>
      </w:r>
      <w:r w:rsidRPr="002C224A">
        <w:rPr>
          <w:lang w:eastAsia="en-US"/>
        </w:rPr>
        <w:t xml:space="preserve"> v průběhu příštích pěti let. Klíčová pro reálné investice bude schopnost aktivizace této potenciální poptávky, jelikož v podnikatelském sektoru větší investiční aktivitě brání několik bariér (viz Tržní selhání).</w:t>
      </w:r>
    </w:p>
    <w:p w:rsidR="006D67F1" w:rsidRPr="002C224A" w:rsidRDefault="006D67F1" w:rsidP="00E07015">
      <w:pPr>
        <w:rPr>
          <w:lang w:eastAsia="en-US"/>
        </w:rPr>
      </w:pPr>
    </w:p>
    <w:p w:rsidR="006D67F1" w:rsidRPr="002C224A" w:rsidRDefault="006D67F1" w:rsidP="00E07015">
      <w:pPr>
        <w:rPr>
          <w:lang w:eastAsia="en-US"/>
        </w:rPr>
      </w:pPr>
      <w:r w:rsidRPr="002C224A">
        <w:rPr>
          <w:lang w:eastAsia="en-US"/>
        </w:rPr>
        <w:t xml:space="preserve">Banky jsou s ohledem na rozvoj těchto aktivit na základě energetických auditů otevřené jejich úvěrování. Podobně jako u OZE </w:t>
      </w:r>
      <w:r w:rsidRPr="002C224A">
        <w:rPr>
          <w:b/>
          <w:lang w:eastAsia="en-US"/>
        </w:rPr>
        <w:t>existují u větších bank specializované produkty projektového financování s potřebnou bankovní expertízou a případným napojením na veřejnou podporu</w:t>
      </w:r>
      <w:r w:rsidRPr="002C224A">
        <w:rPr>
          <w:lang w:eastAsia="en-US"/>
        </w:rPr>
        <w:t>.</w:t>
      </w:r>
      <w:r w:rsidR="00B0267C" w:rsidRPr="002C224A">
        <w:rPr>
          <w:lang w:eastAsia="en-US"/>
        </w:rPr>
        <w:t xml:space="preserve"> </w:t>
      </w:r>
      <w:r w:rsidRPr="002C224A">
        <w:rPr>
          <w:lang w:eastAsia="en-US"/>
        </w:rPr>
        <w:t xml:space="preserve">Fungují také </w:t>
      </w:r>
      <w:r w:rsidRPr="002C224A">
        <w:rPr>
          <w:b/>
          <w:lang w:eastAsia="en-US"/>
        </w:rPr>
        <w:t>bankovní faktoringové nástroje na odkup pohledávek za dodavateli ESCO</w:t>
      </w:r>
      <w:r w:rsidRPr="002C224A">
        <w:rPr>
          <w:lang w:eastAsia="en-US"/>
        </w:rPr>
        <w:t xml:space="preserve"> provádějící EPC. Bariérou mohou být v některých případech nestandardní řešení a opatření, na která banky nemají připravený hodnotící mechanizmus, což je nicméně záležitostí spíše menších bank.</w:t>
      </w:r>
    </w:p>
    <w:p w:rsidR="006D67F1" w:rsidRPr="002C224A" w:rsidRDefault="006D67F1" w:rsidP="00E07015">
      <w:pPr>
        <w:rPr>
          <w:lang w:eastAsia="en-US"/>
        </w:rPr>
      </w:pPr>
    </w:p>
    <w:p w:rsidR="00716595" w:rsidRDefault="006D67F1" w:rsidP="00FE277C">
      <w:pPr>
        <w:rPr>
          <w:lang w:eastAsia="en-US"/>
        </w:rPr>
      </w:pPr>
      <w:r w:rsidRPr="002C224A">
        <w:rPr>
          <w:lang w:eastAsia="en-US"/>
        </w:rPr>
        <w:t xml:space="preserve">Na zvýšené nabídce financování má vliv i program EIB pro MSP, prostřednictvím něhož jsou v ČR nabízeny produkty </w:t>
      </w:r>
      <w:r w:rsidRPr="002C224A">
        <w:rPr>
          <w:b/>
          <w:lang w:eastAsia="en-US"/>
        </w:rPr>
        <w:t>Globální úvěr Zelená energie</w:t>
      </w:r>
      <w:r w:rsidRPr="002C224A">
        <w:rPr>
          <w:lang w:eastAsia="en-US"/>
        </w:rPr>
        <w:t xml:space="preserve"> (ČS) a </w:t>
      </w:r>
      <w:r w:rsidRPr="002C224A">
        <w:rPr>
          <w:b/>
          <w:lang w:eastAsia="en-US"/>
        </w:rPr>
        <w:t xml:space="preserve">Zelený úvěr </w:t>
      </w:r>
      <w:r w:rsidRPr="002C224A">
        <w:rPr>
          <w:lang w:eastAsia="en-US"/>
        </w:rPr>
        <w:t>(Raiffeisen Bank),</w:t>
      </w:r>
      <w:r w:rsidR="00053EA4" w:rsidRPr="002C224A">
        <w:rPr>
          <w:lang w:eastAsia="en-US"/>
        </w:rPr>
        <w:t xml:space="preserve"> </w:t>
      </w:r>
      <w:r w:rsidRPr="002C224A">
        <w:rPr>
          <w:lang w:eastAsia="en-US"/>
        </w:rPr>
        <w:t xml:space="preserve">prostřednictvím kterého je možné získat úvěr až </w:t>
      </w:r>
      <w:smartTag w:uri="urn:schemas-microsoft-com:office:smarttags" w:element="metricconverter">
        <w:smartTagPr>
          <w:attr w:name="ProductID" w:val="300 mil"/>
        </w:smartTagPr>
        <w:r w:rsidRPr="002C224A">
          <w:rPr>
            <w:lang w:eastAsia="en-US"/>
          </w:rPr>
          <w:t>300 mil</w:t>
        </w:r>
      </w:smartTag>
      <w:r w:rsidRPr="002C224A">
        <w:rPr>
          <w:lang w:eastAsia="en-US"/>
        </w:rPr>
        <w:t xml:space="preserve">. Kč </w:t>
      </w:r>
      <w:r w:rsidRPr="002C224A">
        <w:rPr>
          <w:b/>
          <w:lang w:eastAsia="en-US"/>
        </w:rPr>
        <w:t>s desetiprocentní dotací EIB</w:t>
      </w:r>
      <w:r w:rsidRPr="002C224A">
        <w:rPr>
          <w:lang w:eastAsia="en-US"/>
        </w:rPr>
        <w:t xml:space="preserve">. Typickými projekty jsou instalace kogenerační jednotek. Za prvních 8 měsíců fungování byly jen v ČS rozpracovány projekty za </w:t>
      </w:r>
      <w:smartTag w:uri="urn:schemas-microsoft-com:office:smarttags" w:element="metricconverter">
        <w:smartTagPr>
          <w:attr w:name="ProductID" w:val="690 mil"/>
        </w:smartTagPr>
        <w:r w:rsidRPr="002C224A">
          <w:rPr>
            <w:lang w:eastAsia="en-US"/>
          </w:rPr>
          <w:t>690 mil</w:t>
        </w:r>
      </w:smartTag>
      <w:r w:rsidRPr="002C224A">
        <w:rPr>
          <w:lang w:eastAsia="en-US"/>
        </w:rPr>
        <w:t xml:space="preserve">. Kč s očekávanou dotací ve výši </w:t>
      </w:r>
      <w:smartTag w:uri="urn:schemas-microsoft-com:office:smarttags" w:element="metricconverter">
        <w:smartTagPr>
          <w:attr w:name="ProductID" w:val="47 mil"/>
        </w:smartTagPr>
        <w:r w:rsidRPr="002C224A">
          <w:rPr>
            <w:lang w:eastAsia="en-US"/>
          </w:rPr>
          <w:t>47 mil</w:t>
        </w:r>
      </w:smartTag>
      <w:r w:rsidRPr="002C224A">
        <w:rPr>
          <w:lang w:eastAsia="en-US"/>
        </w:rPr>
        <w:t>. Kč.</w:t>
      </w:r>
    </w:p>
    <w:p w:rsidR="00716595" w:rsidRDefault="00716595" w:rsidP="00FE277C">
      <w:pPr>
        <w:rPr>
          <w:lang w:eastAsia="en-US"/>
        </w:rPr>
      </w:pPr>
    </w:p>
    <w:p w:rsidR="006D67F1" w:rsidRPr="002C224A" w:rsidRDefault="00716595" w:rsidP="00FE277C">
      <w:pPr>
        <w:rPr>
          <w:lang w:eastAsia="en-US"/>
        </w:rPr>
      </w:pPr>
      <w:r>
        <w:rPr>
          <w:lang w:eastAsia="en-US"/>
        </w:rPr>
        <w:lastRenderedPageBreak/>
        <w:t xml:space="preserve">V novém programovacím období budou moci české banky čerpat výhodné </w:t>
      </w:r>
      <w:r w:rsidRPr="00331BB7">
        <w:rPr>
          <w:b/>
          <w:lang w:eastAsia="en-US"/>
        </w:rPr>
        <w:t>úvěrové linky EIB</w:t>
      </w:r>
      <w:r>
        <w:rPr>
          <w:lang w:eastAsia="en-US"/>
        </w:rPr>
        <w:t xml:space="preserve"> na financování energetických úspor v podnikání např. </w:t>
      </w:r>
      <w:r w:rsidRPr="00331BB7">
        <w:rPr>
          <w:b/>
          <w:lang w:eastAsia="en-US"/>
        </w:rPr>
        <w:t>z evropského programu</w:t>
      </w:r>
      <w:r>
        <w:rPr>
          <w:lang w:eastAsia="en-US"/>
        </w:rPr>
        <w:t xml:space="preserve"> </w:t>
      </w:r>
      <w:r w:rsidRPr="00331BB7">
        <w:rPr>
          <w:b/>
          <w:lang w:eastAsia="en-US"/>
        </w:rPr>
        <w:t>LIFE</w:t>
      </w:r>
      <w:r>
        <w:rPr>
          <w:lang w:eastAsia="en-US"/>
        </w:rPr>
        <w:t xml:space="preserve"> - </w:t>
      </w:r>
      <w:r w:rsidRPr="00331BB7">
        <w:rPr>
          <w:b/>
          <w:lang w:eastAsia="en-US"/>
        </w:rPr>
        <w:t>Private Finance for Energy Efficiency</w:t>
      </w:r>
      <w:r w:rsidRPr="005E0C75">
        <w:rPr>
          <w:lang w:eastAsia="en-US"/>
        </w:rPr>
        <w:t xml:space="preserve">. </w:t>
      </w:r>
    </w:p>
    <w:p w:rsidR="006D67F1" w:rsidRPr="002C224A" w:rsidRDefault="006D67F1" w:rsidP="00FE277C">
      <w:pPr>
        <w:rPr>
          <w:lang w:eastAsia="en-US"/>
        </w:rPr>
      </w:pPr>
    </w:p>
    <w:p w:rsidR="006D67F1" w:rsidRPr="002C224A" w:rsidRDefault="006D67F1" w:rsidP="001C365A">
      <w:pPr>
        <w:rPr>
          <w:lang w:eastAsia="en-US"/>
        </w:rPr>
      </w:pPr>
      <w:r w:rsidRPr="002C224A">
        <w:rPr>
          <w:lang w:eastAsia="en-US"/>
        </w:rPr>
        <w:t>Vzhledem důrazu na energetické úspory ve stávající i chystané nové energetické koncepci ČR i s ohledem na závazný evropský cíl dosáhnout do roku 2020 o 20 % vyšší energetické účinnosti jsou investice do této oblasti důležitým veřejným zájmem, který je podporován na evropské i národní úrovni.</w:t>
      </w:r>
      <w:r w:rsidR="00B0267C" w:rsidRPr="002C224A">
        <w:rPr>
          <w:lang w:eastAsia="en-US"/>
        </w:rPr>
        <w:t xml:space="preserve"> </w:t>
      </w:r>
      <w:r w:rsidRPr="002C224A">
        <w:rPr>
          <w:b/>
          <w:lang w:eastAsia="en-US"/>
        </w:rPr>
        <w:t>Veřejná podpora ve formě dotací znamenala významný zdroj financování projektů energetických úspor v minulém období.</w:t>
      </w:r>
      <w:r w:rsidRPr="002C224A">
        <w:rPr>
          <w:lang w:eastAsia="en-US"/>
        </w:rPr>
        <w:t xml:space="preserve"> Pro projekty OP PIK je nejrelevantnější analogický program podpory v OP PI EKO</w:t>
      </w:r>
      <w:r w:rsidR="006663C9" w:rsidRPr="002C224A">
        <w:rPr>
          <w:lang w:eastAsia="en-US"/>
        </w:rPr>
        <w:t>-</w:t>
      </w:r>
      <w:r w:rsidRPr="002C224A">
        <w:rPr>
          <w:lang w:eastAsia="en-US"/>
        </w:rPr>
        <w:t>ENERGIE.</w:t>
      </w:r>
    </w:p>
    <w:p w:rsidR="006D67F1" w:rsidRPr="002C224A" w:rsidRDefault="006D67F1" w:rsidP="00E07015">
      <w:pPr>
        <w:rPr>
          <w:lang w:eastAsia="en-US"/>
        </w:rPr>
      </w:pPr>
    </w:p>
    <w:p w:rsidR="006D67F1" w:rsidRPr="002C224A" w:rsidRDefault="006D67F1" w:rsidP="00545716">
      <w:pPr>
        <w:rPr>
          <w:lang w:eastAsia="en-US"/>
        </w:rPr>
      </w:pPr>
      <w:r w:rsidRPr="002C224A">
        <w:rPr>
          <w:b/>
          <w:lang w:eastAsia="en-US"/>
        </w:rPr>
        <w:t>OP</w:t>
      </w:r>
      <w:r w:rsidR="00716595">
        <w:rPr>
          <w:b/>
          <w:lang w:eastAsia="en-US"/>
        </w:rPr>
        <w:t xml:space="preserve"> </w:t>
      </w:r>
      <w:r w:rsidRPr="002C224A">
        <w:rPr>
          <w:b/>
          <w:lang w:eastAsia="en-US"/>
        </w:rPr>
        <w:t>PI - Program Eko-energie</w:t>
      </w:r>
    </w:p>
    <w:p w:rsidR="006D67F1" w:rsidRPr="002C224A" w:rsidRDefault="006D67F1" w:rsidP="00545716">
      <w:pPr>
        <w:rPr>
          <w:lang w:eastAsia="en-US"/>
        </w:rPr>
      </w:pPr>
      <w:r w:rsidRPr="002C224A">
        <w:rPr>
          <w:lang w:eastAsia="en-US"/>
        </w:rPr>
        <w:t xml:space="preserve">Energetická úspornost byla podporována prostřednictvím podpory zvyšování účinnosti při výrobě, přenosu a spotřebě energie formou modernizace stávajících zařízení, zavádění nových výrobních a monitorovacích systémů a v neposlední řadě zlepšování tepelných vlastností budov (s výjimkou rodinných a bytových domů), využití odpadní energie v průmyslu, to vše na základě 12% alokace OPPI se zaměřením na MSP. </w:t>
      </w:r>
      <w:r w:rsidRPr="002C224A">
        <w:rPr>
          <w:b/>
          <w:lang w:eastAsia="en-US"/>
        </w:rPr>
        <w:t xml:space="preserve">Celková alokace PO3 počítala s pokrytím způsobilých výdajů na projekty ve výši </w:t>
      </w:r>
      <w:smartTag w:uri="urn:schemas-microsoft-com:office:smarttags" w:element="metricconverter">
        <w:smartTagPr>
          <w:attr w:name="ProductID" w:val="471,5 mil"/>
        </w:smartTagPr>
        <w:r w:rsidRPr="002C224A">
          <w:rPr>
            <w:b/>
            <w:lang w:eastAsia="en-US"/>
          </w:rPr>
          <w:t>471,5 mil</w:t>
        </w:r>
      </w:smartTag>
      <w:r w:rsidRPr="002C224A">
        <w:rPr>
          <w:b/>
          <w:lang w:eastAsia="en-US"/>
        </w:rPr>
        <w:t>. €</w:t>
      </w:r>
      <w:r w:rsidRPr="002C224A">
        <w:rPr>
          <w:lang w:eastAsia="en-US"/>
        </w:rPr>
        <w:t xml:space="preserve"> (příspěvek ERDF </w:t>
      </w:r>
      <w:smartTag w:uri="urn:schemas-microsoft-com:office:smarttags" w:element="metricconverter">
        <w:smartTagPr>
          <w:attr w:name="ProductID" w:val="400 mil"/>
        </w:smartTagPr>
        <w:r w:rsidRPr="002C224A">
          <w:rPr>
            <w:lang w:eastAsia="en-US"/>
          </w:rPr>
          <w:t>400 mil</w:t>
        </w:r>
      </w:smartTag>
      <w:r w:rsidRPr="002C224A">
        <w:rPr>
          <w:lang w:eastAsia="en-US"/>
        </w:rPr>
        <w:t xml:space="preserve">. €). </w:t>
      </w:r>
    </w:p>
    <w:p w:rsidR="006D67F1" w:rsidRPr="002C224A" w:rsidRDefault="006D67F1" w:rsidP="00545716">
      <w:pPr>
        <w:rPr>
          <w:lang w:eastAsia="en-US"/>
        </w:rPr>
      </w:pPr>
    </w:p>
    <w:p w:rsidR="006D67F1" w:rsidRPr="002C224A" w:rsidRDefault="006D67F1" w:rsidP="00545716">
      <w:pPr>
        <w:rPr>
          <w:lang w:eastAsia="en-US"/>
        </w:rPr>
      </w:pPr>
      <w:r w:rsidRPr="002C224A">
        <w:rPr>
          <w:b/>
          <w:lang w:eastAsia="en-US"/>
        </w:rPr>
        <w:t xml:space="preserve">K 30. 6. 2014 bylo přijato 2 177 žádostí o dotace na investiční projekty do energetické efektivnosti. Celková požadovaná suma zdrojů činila </w:t>
      </w:r>
      <w:smartTag w:uri="urn:schemas-microsoft-com:office:smarttags" w:element="metricconverter">
        <w:smartTagPr>
          <w:attr w:name="ProductID" w:val="20 406 mil"/>
        </w:smartTagPr>
        <w:r w:rsidRPr="002C224A">
          <w:rPr>
            <w:b/>
            <w:lang w:eastAsia="en-US"/>
          </w:rPr>
          <w:t>20 406 mil</w:t>
        </w:r>
      </w:smartTag>
      <w:r w:rsidRPr="002C224A">
        <w:rPr>
          <w:b/>
          <w:lang w:eastAsia="en-US"/>
        </w:rPr>
        <w:t>. Kč, což znamená, že poptávka převýšila nabídku zdrojů o téměř 105 %</w:t>
      </w:r>
      <w:r w:rsidRPr="002C224A">
        <w:rPr>
          <w:lang w:eastAsia="en-US"/>
        </w:rPr>
        <w:t xml:space="preserve">. Projekty s vydaným rozhodnutím nebo podepsanou smlouvou, čili schválené žádosti, dosáhly počtu 1 223 projektů při celkové sumě </w:t>
      </w:r>
      <w:smartTag w:uri="urn:schemas-microsoft-com:office:smarttags" w:element="metricconverter">
        <w:smartTagPr>
          <w:attr w:name="ProductID" w:val="9 511 mil"/>
        </w:smartTagPr>
        <w:r w:rsidRPr="002C224A">
          <w:rPr>
            <w:lang w:eastAsia="en-US"/>
          </w:rPr>
          <w:t>9 511 mil</w:t>
        </w:r>
      </w:smartTag>
      <w:r w:rsidRPr="002C224A">
        <w:rPr>
          <w:lang w:eastAsia="en-US"/>
        </w:rPr>
        <w:t xml:space="preserve">. Kč na pokrytí způsobilých nákladů. Vytěžení prioritní osy v programu OPPI po 2. kvartálu v roce 2014 dosahovalo skoro 96 % úrovně. </w:t>
      </w:r>
    </w:p>
    <w:p w:rsidR="006D67F1" w:rsidRPr="002C224A" w:rsidRDefault="006D67F1" w:rsidP="00545716">
      <w:pPr>
        <w:rPr>
          <w:lang w:eastAsia="en-US"/>
        </w:rPr>
      </w:pPr>
    </w:p>
    <w:p w:rsidR="006D67F1" w:rsidRPr="002C224A" w:rsidRDefault="006D67F1" w:rsidP="003315B6">
      <w:pPr>
        <w:jc w:val="left"/>
        <w:rPr>
          <w:lang w:eastAsia="en-US"/>
        </w:rPr>
      </w:pPr>
      <w:r w:rsidRPr="002C224A">
        <w:rPr>
          <w:b/>
          <w:lang w:eastAsia="en-US"/>
        </w:rPr>
        <w:t xml:space="preserve">Na konci roku 2013 byly prostřednictvím PO3 zazávazkovány zdroje v celkové výši </w:t>
      </w:r>
      <w:smartTag w:uri="urn:schemas-microsoft-com:office:smarttags" w:element="metricconverter">
        <w:smartTagPr>
          <w:attr w:name="ProductID" w:val="383 mil"/>
        </w:smartTagPr>
        <w:r w:rsidRPr="002C224A">
          <w:rPr>
            <w:b/>
            <w:lang w:eastAsia="en-US"/>
          </w:rPr>
          <w:t>383 mil</w:t>
        </w:r>
      </w:smartTag>
      <w:r w:rsidRPr="002C224A">
        <w:rPr>
          <w:b/>
          <w:lang w:eastAsia="en-US"/>
        </w:rPr>
        <w:t>. € na 1223 projektů</w:t>
      </w:r>
      <w:r w:rsidRPr="002C224A">
        <w:rPr>
          <w:lang w:eastAsia="en-US"/>
        </w:rPr>
        <w:t xml:space="preserve">. Z alokovaných zdrojů bylo proplaceno </w:t>
      </w:r>
      <w:smartTag w:uri="urn:schemas-microsoft-com:office:smarttags" w:element="metricconverter">
        <w:smartTagPr>
          <w:attr w:name="ProductID" w:val="231 mil"/>
        </w:smartTagPr>
        <w:r w:rsidRPr="002C224A">
          <w:rPr>
            <w:lang w:eastAsia="en-US"/>
          </w:rPr>
          <w:t>231 mil</w:t>
        </w:r>
      </w:smartTag>
      <w:r w:rsidRPr="002C224A">
        <w:rPr>
          <w:lang w:eastAsia="en-US"/>
        </w:rPr>
        <w:t>. € (58</w:t>
      </w:r>
      <w:r w:rsidR="001256CE" w:rsidRPr="002C224A">
        <w:rPr>
          <w:lang w:eastAsia="en-US"/>
        </w:rPr>
        <w:t xml:space="preserve"> </w:t>
      </w:r>
      <w:r w:rsidRPr="002C224A">
        <w:rPr>
          <w:lang w:eastAsia="en-US"/>
        </w:rPr>
        <w:t xml:space="preserve">% alokace), certifikováno </w:t>
      </w:r>
      <w:smartTag w:uri="urn:schemas-microsoft-com:office:smarttags" w:element="metricconverter">
        <w:smartTagPr>
          <w:attr w:name="ProductID" w:val="221 mil"/>
        </w:smartTagPr>
        <w:r w:rsidRPr="002C224A">
          <w:rPr>
            <w:lang w:eastAsia="en-US"/>
          </w:rPr>
          <w:t>221 mil</w:t>
        </w:r>
      </w:smartTag>
      <w:r w:rsidRPr="002C224A">
        <w:rPr>
          <w:lang w:eastAsia="en-US"/>
        </w:rPr>
        <w:t xml:space="preserve">. € (50% alokace). </w:t>
      </w:r>
      <w:r w:rsidRPr="002C224A">
        <w:rPr>
          <w:b/>
          <w:lang w:eastAsia="en-US"/>
        </w:rPr>
        <w:t>V roce 2013 bylo vyřazeno 153 žádostí, z nichž některé byly vyřazeny proto, že projekt vykazoval vnitřní výnosové procento vyšší než 20 %</w:t>
      </w:r>
      <w:r w:rsidRPr="002C224A">
        <w:rPr>
          <w:lang w:eastAsia="en-US"/>
        </w:rPr>
        <w:t xml:space="preserve">. </w:t>
      </w:r>
      <w:r w:rsidRPr="002C224A">
        <w:rPr>
          <w:b/>
          <w:lang w:eastAsia="en-US"/>
        </w:rPr>
        <w:t>Zamítnuto bylo 2287</w:t>
      </w:r>
      <w:r w:rsidR="001256CE" w:rsidRPr="002C224A">
        <w:rPr>
          <w:b/>
          <w:lang w:eastAsia="en-US"/>
        </w:rPr>
        <w:t xml:space="preserve"> </w:t>
      </w:r>
      <w:r w:rsidRPr="002C224A">
        <w:rPr>
          <w:b/>
          <w:lang w:eastAsia="en-US"/>
        </w:rPr>
        <w:t xml:space="preserve">žádostí o úhrnném objemu </w:t>
      </w:r>
      <w:smartTag w:uri="urn:schemas-microsoft-com:office:smarttags" w:element="metricconverter">
        <w:smartTagPr>
          <w:attr w:name="ProductID" w:val="539 mil"/>
        </w:smartTagPr>
        <w:r w:rsidRPr="002C224A">
          <w:rPr>
            <w:b/>
            <w:lang w:eastAsia="en-US"/>
          </w:rPr>
          <w:t>539 mil</w:t>
        </w:r>
      </w:smartTag>
      <w:r w:rsidRPr="002C224A">
        <w:rPr>
          <w:b/>
          <w:lang w:eastAsia="en-US"/>
        </w:rPr>
        <w:t>. €</w:t>
      </w:r>
      <w:r w:rsidRPr="002C224A">
        <w:rPr>
          <w:lang w:eastAsia="en-US"/>
        </w:rPr>
        <w:t>.</w:t>
      </w:r>
    </w:p>
    <w:p w:rsidR="001256CE" w:rsidRPr="002C224A" w:rsidRDefault="001256CE" w:rsidP="003315B6">
      <w:pPr>
        <w:jc w:val="left"/>
        <w:rPr>
          <w:lang w:eastAsia="en-US"/>
        </w:rPr>
      </w:pPr>
    </w:p>
    <w:p w:rsidR="001256CE" w:rsidRPr="002C224A" w:rsidRDefault="001256CE" w:rsidP="003315B6">
      <w:pPr>
        <w:jc w:val="left"/>
        <w:rPr>
          <w:lang w:eastAsia="en-US"/>
        </w:rPr>
      </w:pPr>
      <w:r w:rsidRPr="002C224A">
        <w:t xml:space="preserve">V rámci III. výzvy programu Eko-energie OP PI, ve které byly projekty nad 20% IRR ještě přípustné, bylo registrováno 37 projektů tohoto typu se způsobilými výdaji cca </w:t>
      </w:r>
      <w:smartTag w:uri="urn:schemas-microsoft-com:office:smarttags" w:element="metricconverter">
        <w:smartTagPr>
          <w:attr w:name="ProductID" w:val="600 mil"/>
        </w:smartTagPr>
        <w:r w:rsidRPr="002C224A">
          <w:t>600 mil</w:t>
        </w:r>
      </w:smartTag>
      <w:r w:rsidRPr="002C224A">
        <w:t>. Kč. Naopak Medián IRR u projektů III. výzvy – prodloužené činil 6,67 %, což ukazuje, že větší část opatření, které si hledají veřejnou podporu, vykazuje velmi dlouhou návratnost.</w:t>
      </w:r>
    </w:p>
    <w:p w:rsidR="006D67F1" w:rsidRPr="002C224A" w:rsidRDefault="006D67F1" w:rsidP="00545716">
      <w:pPr>
        <w:rPr>
          <w:lang w:eastAsia="en-US"/>
        </w:rPr>
      </w:pPr>
    </w:p>
    <w:p w:rsidR="006D67F1" w:rsidRPr="002C224A" w:rsidRDefault="006D67F1" w:rsidP="00545716">
      <w:pPr>
        <w:rPr>
          <w:lang w:eastAsia="en-US"/>
        </w:rPr>
      </w:pPr>
      <w:r w:rsidRPr="002C224A">
        <w:rPr>
          <w:b/>
          <w:lang w:eastAsia="en-US"/>
        </w:rPr>
        <w:t>EFEKT</w:t>
      </w:r>
      <w:r w:rsidR="001256CE" w:rsidRPr="002C224A">
        <w:rPr>
          <w:b/>
          <w:lang w:eastAsia="en-US"/>
        </w:rPr>
        <w:t xml:space="preserve"> </w:t>
      </w:r>
      <w:r w:rsidRPr="002C224A">
        <w:rPr>
          <w:lang w:eastAsia="en-US"/>
        </w:rPr>
        <w:t>–</w:t>
      </w:r>
      <w:r w:rsidR="001256CE" w:rsidRPr="002C224A">
        <w:rPr>
          <w:lang w:eastAsia="en-US"/>
        </w:rPr>
        <w:t xml:space="preserve"> </w:t>
      </w:r>
      <w:r w:rsidRPr="002C224A">
        <w:rPr>
          <w:lang w:eastAsia="en-US"/>
        </w:rPr>
        <w:t xml:space="preserve">Národní program EFEKT je vzhledem ke své nízké alokaci a převážně neinvestičnímu zaměření pro nabídku zdrojů v SC 3.2 málo relevantní. I zde byl nicméně zaznamenán </w:t>
      </w:r>
      <w:r w:rsidRPr="002C224A">
        <w:rPr>
          <w:b/>
        </w:rPr>
        <w:t>výrazný převis poptávky</w:t>
      </w:r>
      <w:r w:rsidRPr="002C224A">
        <w:t xml:space="preserve">, kdy bylo z žádaných </w:t>
      </w:r>
      <w:smartTag w:uri="urn:schemas-microsoft-com:office:smarttags" w:element="metricconverter">
        <w:smartTagPr>
          <w:attr w:name="ProductID" w:val="127 mil"/>
        </w:smartTagPr>
        <w:r w:rsidRPr="002C224A">
          <w:t>127 mil</w:t>
        </w:r>
      </w:smartTag>
      <w:r w:rsidRPr="002C224A">
        <w:t xml:space="preserve">. Kč podpořeno pouze </w:t>
      </w:r>
      <w:smartTag w:uri="urn:schemas-microsoft-com:office:smarttags" w:element="metricconverter">
        <w:smartTagPr>
          <w:attr w:name="ProductID" w:val="28 mil"/>
        </w:smartTagPr>
        <w:r w:rsidRPr="002C224A">
          <w:t>28 mil</w:t>
        </w:r>
      </w:smartTag>
      <w:r w:rsidRPr="002C224A">
        <w:t xml:space="preserve">. Kč. </w:t>
      </w:r>
    </w:p>
    <w:p w:rsidR="006D67F1" w:rsidRPr="002C224A" w:rsidRDefault="006D67F1" w:rsidP="00545716">
      <w:pPr>
        <w:pStyle w:val="Neslovannadpisy"/>
        <w:rPr>
          <w:lang w:eastAsia="en-US"/>
        </w:rPr>
      </w:pPr>
    </w:p>
    <w:p w:rsidR="006D67F1" w:rsidRPr="002C224A" w:rsidRDefault="006D67F1" w:rsidP="00554FD3">
      <w:pPr>
        <w:pStyle w:val="Nadpis4"/>
        <w:rPr>
          <w:rFonts w:ascii="Calibri" w:hAnsi="Calibri"/>
          <w:lang w:eastAsia="en-US"/>
        </w:rPr>
      </w:pPr>
      <w:r w:rsidRPr="002C224A">
        <w:rPr>
          <w:rFonts w:ascii="Calibri" w:hAnsi="Calibri"/>
          <w:lang w:eastAsia="en-US"/>
        </w:rPr>
        <w:t>Dotazníkové šetření</w:t>
      </w:r>
    </w:p>
    <w:p w:rsidR="006D67F1" w:rsidRPr="002C224A" w:rsidRDefault="006D67F1" w:rsidP="00F71000">
      <w:r w:rsidRPr="00A50943">
        <w:t>V rámci dotazníkového šetření provedeného mezi více než 15 000 podnikatelskými subjekty byl o</w:t>
      </w:r>
      <w:r w:rsidRPr="002C224A">
        <w:t>bdržen počet 244 odpovědí podniků se záměrem investovat v příštích třech letech do opatření energetické účinnosti.</w:t>
      </w:r>
    </w:p>
    <w:p w:rsidR="006D67F1" w:rsidRPr="002C224A" w:rsidRDefault="00737C66" w:rsidP="00737C66">
      <w:pPr>
        <w:pStyle w:val="Titulek"/>
      </w:pPr>
      <w:r w:rsidRPr="002C224A">
        <w:t xml:space="preserve">Tabulka </w:t>
      </w:r>
      <w:r w:rsidR="00F6076B">
        <w:t>70</w:t>
      </w:r>
      <w:r w:rsidRPr="002C224A">
        <w:t>: skladba respondentů z hlediska velikosti podniku</w:t>
      </w:r>
    </w:p>
    <w:tbl>
      <w:tblPr>
        <w:tblW w:w="3307" w:type="dxa"/>
        <w:tblInd w:w="55" w:type="dxa"/>
        <w:tblCellMar>
          <w:left w:w="70" w:type="dxa"/>
          <w:right w:w="70" w:type="dxa"/>
        </w:tblCellMar>
        <w:tblLook w:val="00A0" w:firstRow="1" w:lastRow="0" w:firstColumn="1" w:lastColumn="0" w:noHBand="0" w:noVBand="0"/>
      </w:tblPr>
      <w:tblGrid>
        <w:gridCol w:w="1387"/>
        <w:gridCol w:w="960"/>
        <w:gridCol w:w="960"/>
      </w:tblGrid>
      <w:tr w:rsidR="006D67F1" w:rsidRPr="002C224A"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Skladba respondentů z hlediska velikosti podniku</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mikropodniky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10,2%</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lastRenderedPageBreak/>
              <w:t>malé podniky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100</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41,0%</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střední podniky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37,7%</w:t>
            </w:r>
          </w:p>
        </w:tc>
      </w:tr>
      <w:tr w:rsidR="006D67F1" w:rsidRPr="002C224A"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velké podniky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21,3%</w:t>
            </w:r>
          </w:p>
        </w:tc>
      </w:tr>
      <w:tr w:rsidR="006D67F1" w:rsidRPr="002C224A" w:rsidTr="00BF0A9E">
        <w:trPr>
          <w:trHeight w:val="255"/>
        </w:trPr>
        <w:tc>
          <w:tcPr>
            <w:tcW w:w="1387"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244</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 w:rsidR="006D67F1" w:rsidRPr="002C224A" w:rsidRDefault="006D67F1" w:rsidP="00F71000">
      <w:r w:rsidRPr="002C224A">
        <w:t>Přes 51 % respondentů s plánem na investice do energetické účinnosti tvořily malé podniky a mikropodniky, což je však nejnižší podíl ze všech specifických cílů. Značnou roli při snižování energetické náročnosti hrají velké podniky s podílem přes 21 %.</w:t>
      </w:r>
    </w:p>
    <w:p w:rsidR="006D67F1" w:rsidRPr="002C224A" w:rsidRDefault="00737C66" w:rsidP="00737C66">
      <w:pPr>
        <w:pStyle w:val="Titulek"/>
      </w:pPr>
      <w:r w:rsidRPr="002C224A">
        <w:t xml:space="preserve">Tabulka </w:t>
      </w:r>
      <w:r w:rsidR="00541B4A">
        <w:t>7</w:t>
      </w:r>
      <w:r w:rsidR="00F6076B">
        <w:t>1</w:t>
      </w:r>
      <w:r w:rsidRPr="002C224A">
        <w:t>: fáze podnikání</w:t>
      </w:r>
    </w:p>
    <w:tbl>
      <w:tblPr>
        <w:tblW w:w="5745" w:type="dxa"/>
        <w:tblInd w:w="55" w:type="dxa"/>
        <w:tblCellMar>
          <w:left w:w="70" w:type="dxa"/>
          <w:right w:w="70" w:type="dxa"/>
        </w:tblCellMar>
        <w:tblLook w:val="00A0" w:firstRow="1" w:lastRow="0" w:firstColumn="1" w:lastColumn="0" w:noHBand="0" w:noVBand="0"/>
      </w:tblPr>
      <w:tblGrid>
        <w:gridCol w:w="3822"/>
        <w:gridCol w:w="963"/>
        <w:gridCol w:w="960"/>
      </w:tblGrid>
      <w:tr w:rsidR="006D67F1" w:rsidRPr="002C224A" w:rsidTr="00BF0A9E">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187</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70,6%</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17,4%</w:t>
            </w:r>
          </w:p>
        </w:tc>
      </w:tr>
      <w:tr w:rsidR="006D67F1" w:rsidRPr="002C224A"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9,8%</w:t>
            </w:r>
          </w:p>
        </w:tc>
      </w:tr>
      <w:tr w:rsidR="006D67F1" w:rsidRPr="002C224A" w:rsidTr="00BF0A9E">
        <w:trPr>
          <w:trHeight w:val="255"/>
        </w:trPr>
        <w:tc>
          <w:tcPr>
            <w:tcW w:w="3822"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265</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r w:rsidRPr="002C224A">
        <w:t>Jednalo se zejména o stabilní společnosti s mediánem stáří 20 let, nejčastěji své podnikání však zařadily do fáze růstu, a to v 70,6 % případů.</w:t>
      </w:r>
    </w:p>
    <w:p w:rsidR="006D67F1" w:rsidRPr="002C224A" w:rsidRDefault="00737C66" w:rsidP="00737C66">
      <w:pPr>
        <w:pStyle w:val="Titulek"/>
      </w:pPr>
      <w:r w:rsidRPr="002C224A">
        <w:t xml:space="preserve">Tabulka </w:t>
      </w:r>
      <w:r w:rsidR="00541B4A">
        <w:t>7</w:t>
      </w:r>
      <w:r w:rsidR="00F6076B">
        <w:t>2</w:t>
      </w:r>
      <w:r w:rsidRPr="002C224A">
        <w:t>: investiční výdaje podniků</w:t>
      </w:r>
    </w:p>
    <w:tbl>
      <w:tblPr>
        <w:tblW w:w="9199" w:type="dxa"/>
        <w:tblInd w:w="55" w:type="dxa"/>
        <w:tblCellMar>
          <w:left w:w="70" w:type="dxa"/>
          <w:right w:w="70" w:type="dxa"/>
        </w:tblCellMar>
        <w:tblLook w:val="00A0" w:firstRow="1" w:lastRow="0" w:firstColumn="1" w:lastColumn="0" w:noHBand="0" w:noVBand="0"/>
      </w:tblPr>
      <w:tblGrid>
        <w:gridCol w:w="5978"/>
        <w:gridCol w:w="1298"/>
        <w:gridCol w:w="963"/>
        <w:gridCol w:w="960"/>
      </w:tblGrid>
      <w:tr w:rsidR="006D67F1" w:rsidRPr="002C224A" w:rsidTr="00BF0A9E">
        <w:trPr>
          <w:trHeight w:val="255"/>
        </w:trPr>
        <w:tc>
          <w:tcPr>
            <w:tcW w:w="727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Investiční výdaje podniků</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5978" w:type="dxa"/>
            <w:vMerge w:val="restart"/>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Investice v předchozích třech letech </w:t>
            </w: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221</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82,2%</w:t>
            </w:r>
          </w:p>
        </w:tc>
      </w:tr>
      <w:tr w:rsidR="006D67F1" w:rsidRPr="002C224A" w:rsidTr="00BF0A9E">
        <w:trPr>
          <w:trHeight w:val="255"/>
        </w:trPr>
        <w:tc>
          <w:tcPr>
            <w:tcW w:w="5978"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13,4%</w:t>
            </w:r>
          </w:p>
        </w:tc>
      </w:tr>
      <w:tr w:rsidR="006D67F1" w:rsidRPr="002C224A" w:rsidTr="00BF0A9E">
        <w:trPr>
          <w:trHeight w:val="255"/>
        </w:trPr>
        <w:tc>
          <w:tcPr>
            <w:tcW w:w="5978"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4,5%</w:t>
            </w:r>
          </w:p>
        </w:tc>
      </w:tr>
      <w:tr w:rsidR="006D67F1" w:rsidRPr="002C224A" w:rsidTr="00BF0A9E">
        <w:trPr>
          <w:trHeight w:val="255"/>
        </w:trPr>
        <w:tc>
          <w:tcPr>
            <w:tcW w:w="597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269</w:t>
            </w:r>
          </w:p>
        </w:tc>
        <w:tc>
          <w:tcPr>
            <w:tcW w:w="963" w:type="dxa"/>
            <w:tcBorders>
              <w:top w:val="nil"/>
              <w:left w:val="nil"/>
              <w:bottom w:val="single" w:sz="4" w:space="0" w:color="auto"/>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c>
          <w:tcPr>
            <w:tcW w:w="960" w:type="dxa"/>
            <w:tcBorders>
              <w:top w:val="nil"/>
              <w:left w:val="nil"/>
              <w:bottom w:val="single" w:sz="4" w:space="0" w:color="auto"/>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r>
      <w:tr w:rsidR="006D67F1" w:rsidRPr="002C224A" w:rsidTr="00BF0A9E">
        <w:trPr>
          <w:trHeight w:val="255"/>
        </w:trPr>
        <w:tc>
          <w:tcPr>
            <w:tcW w:w="5978" w:type="dxa"/>
            <w:vMerge w:val="restart"/>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Plánované investice do energetické účinnosti v příštích třech letech </w:t>
            </w:r>
          </w:p>
        </w:tc>
        <w:tc>
          <w:tcPr>
            <w:tcW w:w="129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do </w:t>
            </w:r>
            <w:smartTag w:uri="urn:schemas-microsoft-com:office:smarttags" w:element="metricconverter">
              <w:smartTagPr>
                <w:attr w:name="ProductID" w:val="10 mil"/>
              </w:smartTagPr>
              <w:r w:rsidRPr="002C224A">
                <w:rPr>
                  <w:rFonts w:cs="Arial"/>
                  <w:sz w:val="20"/>
                </w:rPr>
                <w:t>10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221</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82,2%</w:t>
            </w:r>
          </w:p>
        </w:tc>
      </w:tr>
      <w:tr w:rsidR="006D67F1" w:rsidRPr="002C224A" w:rsidTr="00BF0A9E">
        <w:trPr>
          <w:trHeight w:val="255"/>
        </w:trPr>
        <w:tc>
          <w:tcPr>
            <w:tcW w:w="5978" w:type="dxa"/>
            <w:vMerge/>
            <w:tcBorders>
              <w:top w:val="single" w:sz="4" w:space="0" w:color="auto"/>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10-</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13,4%</w:t>
            </w:r>
          </w:p>
        </w:tc>
      </w:tr>
      <w:tr w:rsidR="006D67F1" w:rsidRPr="002C224A" w:rsidTr="00BF0A9E">
        <w:trPr>
          <w:trHeight w:val="255"/>
        </w:trPr>
        <w:tc>
          <w:tcPr>
            <w:tcW w:w="5978" w:type="dxa"/>
            <w:vMerge/>
            <w:tcBorders>
              <w:top w:val="single" w:sz="4" w:space="0" w:color="auto"/>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nad </w:t>
            </w:r>
            <w:smartTag w:uri="urn:schemas-microsoft-com:office:smarttags" w:element="metricconverter">
              <w:smartTagPr>
                <w:attr w:name="ProductID" w:val="30 mil"/>
              </w:smartTagPr>
              <w:r w:rsidRPr="002C224A">
                <w:rPr>
                  <w:rFonts w:cs="Arial"/>
                  <w:sz w:val="20"/>
                </w:rPr>
                <w:t>30 mil</w:t>
              </w:r>
            </w:smartTag>
            <w:r w:rsidRPr="002C224A">
              <w:rPr>
                <w:rFonts w:cs="Arial"/>
                <w:sz w:val="20"/>
              </w:rPr>
              <w:t>. Kč</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4,5%</w:t>
            </w:r>
          </w:p>
        </w:tc>
      </w:tr>
      <w:tr w:rsidR="006D67F1" w:rsidRPr="002C224A" w:rsidTr="00BF0A9E">
        <w:trPr>
          <w:trHeight w:val="255"/>
        </w:trPr>
        <w:tc>
          <w:tcPr>
            <w:tcW w:w="597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29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269</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r w:rsidRPr="002C224A">
        <w:t xml:space="preserve">Dotazované firmy preferují z hlediska rozsahu svých plánovaných investic do energetické účinnosti spíše menší projekty do </w:t>
      </w:r>
      <w:smartTag w:uri="urn:schemas-microsoft-com:office:smarttags" w:element="metricconverter">
        <w:smartTagPr>
          <w:attr w:name="ProductID" w:val="10 mil"/>
        </w:smartTagPr>
        <w:r w:rsidRPr="002C224A">
          <w:t>10 mil</w:t>
        </w:r>
      </w:smartTag>
      <w:r w:rsidRPr="002C224A">
        <w:t>. Kč, a to dokonce ve více než 82 % případů, což je nejvíce ze všech specifických cílů. Zároveň jde o překvapivý výsledek s ohledem na vysoký podíl velkých podniků mezi respondenty. Bude se tedy jednat zejména o velmi malé projekty dílčích nákupů technologií nebo menších rekonstrukcí budov za účelem zvýšení energetické účinnosti.</w:t>
      </w:r>
    </w:p>
    <w:p w:rsidR="006D67F1" w:rsidRPr="002C224A" w:rsidRDefault="006D67F1" w:rsidP="00F71000"/>
    <w:p w:rsidR="006D67F1" w:rsidRPr="002C224A" w:rsidRDefault="00737C66" w:rsidP="00737C66">
      <w:pPr>
        <w:pStyle w:val="Titulek"/>
      </w:pPr>
      <w:r w:rsidRPr="002C224A">
        <w:t xml:space="preserve">Tabulka </w:t>
      </w:r>
      <w:r w:rsidR="00541B4A">
        <w:t>7</w:t>
      </w:r>
      <w:r w:rsidR="00F6076B">
        <w:t>3</w:t>
      </w:r>
      <w:r w:rsidRPr="002C224A">
        <w:t>: doba návratnosti plánovaných investic</w:t>
      </w:r>
    </w:p>
    <w:tbl>
      <w:tblPr>
        <w:tblW w:w="5088" w:type="dxa"/>
        <w:tblInd w:w="55" w:type="dxa"/>
        <w:tblCellMar>
          <w:left w:w="70" w:type="dxa"/>
          <w:right w:w="70" w:type="dxa"/>
        </w:tblCellMar>
        <w:tblLook w:val="00A0" w:firstRow="1" w:lastRow="0" w:firstColumn="1" w:lastColumn="0" w:noHBand="0" w:noVBand="0"/>
      </w:tblPr>
      <w:tblGrid>
        <w:gridCol w:w="3165"/>
        <w:gridCol w:w="963"/>
        <w:gridCol w:w="960"/>
      </w:tblGrid>
      <w:tr w:rsidR="006D67F1" w:rsidRPr="002C224A"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Odhadovaná doba návratnosti plánovaných investic</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1-3 roky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37</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14,6%</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3-5 let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32,3%</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5-10 let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111</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43,7%</w:t>
            </w:r>
          </w:p>
        </w:tc>
      </w:tr>
      <w:tr w:rsidR="006D67F1" w:rsidRPr="002C224A"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Návratnost v horizontu 10 let a více</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24</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9,4%</w:t>
            </w:r>
          </w:p>
        </w:tc>
      </w:tr>
      <w:tr w:rsidR="006D67F1" w:rsidRPr="002C224A" w:rsidTr="00BF0A9E">
        <w:trPr>
          <w:trHeight w:val="255"/>
        </w:trPr>
        <w:tc>
          <w:tcPr>
            <w:tcW w:w="3165"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254</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9958A6" w:rsidP="00F71000">
      <w:r w:rsidRPr="002C224A">
        <w:t>O</w:t>
      </w:r>
      <w:r w:rsidR="006D67F1" w:rsidRPr="002C224A">
        <w:t>čekávaná doba návratnosti je v průměru 5-6 let</w:t>
      </w:r>
      <w:r w:rsidRPr="002C224A">
        <w:t>, což souzní z obvyklou tržní hranicí realizování tohoto typu projektů v soukromém sektoru, která byla indikována v rozhovorech s dotazovanými experty</w:t>
      </w:r>
      <w:r w:rsidR="006D67F1" w:rsidRPr="002C224A">
        <w:t xml:space="preserve">. </w:t>
      </w:r>
      <w:r w:rsidRPr="002C224A">
        <w:t>E</w:t>
      </w:r>
      <w:r w:rsidR="006D67F1" w:rsidRPr="002C224A">
        <w:t>nergetickou účinnost nepovažují firmy za svou prioritu</w:t>
      </w:r>
      <w:r w:rsidRPr="002C224A">
        <w:t xml:space="preserve"> a požadují rychlou návratnost</w:t>
      </w:r>
      <w:r w:rsidR="006D67F1" w:rsidRPr="002C224A">
        <w:t>.</w:t>
      </w:r>
    </w:p>
    <w:p w:rsidR="006D67F1" w:rsidRPr="002C224A" w:rsidRDefault="006D67F1" w:rsidP="00F71000"/>
    <w:p w:rsidR="006D67F1" w:rsidRPr="002C224A" w:rsidRDefault="006D67F1" w:rsidP="00F71000">
      <w:pPr>
        <w:pStyle w:val="Titulek"/>
        <w:keepNext/>
      </w:pPr>
      <w:r w:rsidRPr="002C224A">
        <w:lastRenderedPageBreak/>
        <w:t>Obrázek</w:t>
      </w:r>
      <w:r w:rsidR="00646277">
        <w:t xml:space="preserve"> 30</w:t>
      </w:r>
      <w:r w:rsidRPr="002C224A">
        <w:t xml:space="preserve">: Očekávaná doba návratnosti plánovaných investic do energetické účinnosti </w:t>
      </w:r>
    </w:p>
    <w:p w:rsidR="006D67F1" w:rsidRPr="00A50943" w:rsidRDefault="007A3F34" w:rsidP="00F71000">
      <w:r w:rsidRPr="00A50943">
        <w:rPr>
          <w:noProof/>
        </w:rPr>
        <w:drawing>
          <wp:inline distT="0" distB="0" distL="0" distR="0" wp14:anchorId="5DE91A1B" wp14:editId="529B679B">
            <wp:extent cx="6057900" cy="3257550"/>
            <wp:effectExtent l="0" t="0" r="0" b="0"/>
            <wp:docPr id="60" name="obráze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D67F1" w:rsidRPr="002C224A" w:rsidRDefault="006D67F1" w:rsidP="00F71000"/>
    <w:p w:rsidR="006D67F1" w:rsidRPr="002C224A" w:rsidRDefault="006D67F1" w:rsidP="00F71000">
      <w:r w:rsidRPr="002C224A">
        <w:t>Následující tabulka podrobně mapuje dostupnost financování pro tyto podniky v období posledních tří let.</w:t>
      </w:r>
    </w:p>
    <w:p w:rsidR="006D67F1" w:rsidRPr="002C224A" w:rsidRDefault="00C00DF0" w:rsidP="00C00DF0">
      <w:pPr>
        <w:pStyle w:val="Titulek"/>
      </w:pPr>
      <w:r w:rsidRPr="002C224A">
        <w:t xml:space="preserve">Tabulka </w:t>
      </w:r>
      <w:r w:rsidR="00541B4A">
        <w:t>7</w:t>
      </w:r>
      <w:r w:rsidR="00F6076B">
        <w:t>4</w:t>
      </w:r>
      <w:r w:rsidRPr="002C224A">
        <w:t xml:space="preserve">: dostupnost financování pro investice </w:t>
      </w:r>
    </w:p>
    <w:tbl>
      <w:tblPr>
        <w:tblW w:w="9157" w:type="dxa"/>
        <w:tblInd w:w="55" w:type="dxa"/>
        <w:tblCellMar>
          <w:left w:w="70" w:type="dxa"/>
          <w:right w:w="70" w:type="dxa"/>
        </w:tblCellMar>
        <w:tblLook w:val="00A0" w:firstRow="1" w:lastRow="0" w:firstColumn="1" w:lastColumn="0" w:noHBand="0" w:noVBand="0"/>
      </w:tblPr>
      <w:tblGrid>
        <w:gridCol w:w="3918"/>
        <w:gridCol w:w="916"/>
        <w:gridCol w:w="1568"/>
        <w:gridCol w:w="984"/>
        <w:gridCol w:w="1771"/>
      </w:tblGrid>
      <w:tr w:rsidR="006D67F1" w:rsidRPr="002C224A" w:rsidTr="00BF0A9E">
        <w:trPr>
          <w:trHeight w:val="255"/>
        </w:trPr>
        <w:tc>
          <w:tcPr>
            <w:tcW w:w="9157" w:type="dxa"/>
            <w:gridSpan w:val="5"/>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Úspěšný</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Neúspěšný nebo částečně úspěšný</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Celkem</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 neúspěšných</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Krátkodobé půjčky, kontokorentní úvěry, kreditní linky</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164</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172</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4,7%</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Dlouhodobé a střednědobé půjčky</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160</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172</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7,0%</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Záruky</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52</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56</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7,1%</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Dotace nebo jiná podpora veřejné instituce</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191</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205</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6,8%</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Energy performance contracting (EPC)</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33,3%</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Rizikový kapitál vč. Business angels</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40,0%</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Private equity</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25,0%</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Mezaninové financování či podřízené dluhy</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25,0%</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Firemní dluhopisy</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xml:space="preserve">Mikrokredit </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66,7%</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Leasing</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125</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128</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Faktoring</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30</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13,3%</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Emise akcií na veřejně obchodovaném trhu (burze)</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Rodina, přátelé a známí</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31</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6,5%</w:t>
            </w:r>
          </w:p>
        </w:tc>
      </w:tr>
      <w:tr w:rsidR="006D67F1" w:rsidRPr="002C224A"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Vlastní zdroje financování</w:t>
            </w:r>
          </w:p>
        </w:tc>
        <w:tc>
          <w:tcPr>
            <w:tcW w:w="916"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164</w:t>
            </w:r>
          </w:p>
        </w:tc>
        <w:tc>
          <w:tcPr>
            <w:tcW w:w="156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w:t>
            </w:r>
          </w:p>
        </w:tc>
        <w:tc>
          <w:tcPr>
            <w:tcW w:w="984"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164</w:t>
            </w:r>
          </w:p>
        </w:tc>
        <w:tc>
          <w:tcPr>
            <w:tcW w:w="1771"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0,0%</w:t>
            </w:r>
          </w:p>
        </w:tc>
      </w:tr>
    </w:tbl>
    <w:p w:rsidR="006D67F1" w:rsidRPr="002C224A" w:rsidRDefault="006D67F1" w:rsidP="00F71000"/>
    <w:p w:rsidR="0005008A" w:rsidRPr="002C224A" w:rsidRDefault="006D67F1" w:rsidP="0005008A">
      <w:r w:rsidRPr="002C224A">
        <w:t xml:space="preserve">Podniky, které v příštích třech letech chtějí investovat do energetické účinnosti, dosud usilovaly zejména o financování prostřednictvím půjček, kde jejich úspěšnost dosahovala v případě středně a dlouhodobých úvěrů 93 %. </w:t>
      </w:r>
      <w:r w:rsidR="0005008A" w:rsidRPr="002C224A">
        <w:t>Alternativní zdroje financování se specificky na tento typ projektů zpravidla nevyužívají. Zajímavým je nicméně velmi malý počet firem, které uvedly využití financování prostřednictvím EPC. Tento výsledek potvrzuje, že v podnikatelském sektoru tato metoda ještě nenašla odpovídající uplatnění.</w:t>
      </w:r>
    </w:p>
    <w:p w:rsidR="006D67F1" w:rsidRPr="002C224A" w:rsidRDefault="006D67F1" w:rsidP="00F71000"/>
    <w:p w:rsidR="006D67F1" w:rsidRPr="002C224A" w:rsidRDefault="006D67F1" w:rsidP="00F71000"/>
    <w:p w:rsidR="00C00DF0" w:rsidRPr="002C224A" w:rsidRDefault="00C00DF0" w:rsidP="00F71000"/>
    <w:p w:rsidR="00C00DF0" w:rsidRPr="002C224A" w:rsidRDefault="00C00DF0" w:rsidP="00F71000"/>
    <w:p w:rsidR="00C00DF0" w:rsidRPr="002C224A" w:rsidRDefault="00C00DF0" w:rsidP="00C00DF0">
      <w:pPr>
        <w:pStyle w:val="Titulek"/>
      </w:pPr>
      <w:r w:rsidRPr="002C224A">
        <w:t>Tabulka 7</w:t>
      </w:r>
      <w:r w:rsidR="00F6076B">
        <w:t>5</w:t>
      </w:r>
      <w:r w:rsidRPr="002C224A">
        <w:t>: dostupnost financování pro investice</w:t>
      </w:r>
    </w:p>
    <w:tbl>
      <w:tblPr>
        <w:tblW w:w="9087" w:type="dxa"/>
        <w:tblInd w:w="55" w:type="dxa"/>
        <w:tblCellMar>
          <w:left w:w="70" w:type="dxa"/>
          <w:right w:w="70" w:type="dxa"/>
        </w:tblCellMar>
        <w:tblLook w:val="00A0" w:firstRow="1" w:lastRow="0" w:firstColumn="1" w:lastColumn="0" w:noHBand="0" w:noVBand="0"/>
      </w:tblPr>
      <w:tblGrid>
        <w:gridCol w:w="6252"/>
        <w:gridCol w:w="1560"/>
        <w:gridCol w:w="1275"/>
      </w:tblGrid>
      <w:tr w:rsidR="006D67F1" w:rsidRPr="002C224A" w:rsidTr="00BF0A9E">
        <w:trPr>
          <w:trHeight w:val="255"/>
        </w:trPr>
        <w:tc>
          <w:tcPr>
            <w:tcW w:w="6252"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Dostupnost financování pro investice v posledních třech letech</w:t>
            </w:r>
          </w:p>
        </w:tc>
        <w:tc>
          <w:tcPr>
            <w:tcW w:w="15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1275"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Bezproblémová – zdroje získáváme poměrně rychle a jednoduše, jednání bývají efektivní a úspěšná</w:t>
            </w:r>
          </w:p>
        </w:tc>
        <w:tc>
          <w:tcPr>
            <w:tcW w:w="15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120</w:t>
            </w:r>
          </w:p>
        </w:tc>
        <w:tc>
          <w:tcPr>
            <w:tcW w:w="1275"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48,2%</w:t>
            </w:r>
          </w:p>
        </w:tc>
      </w:tr>
      <w:tr w:rsidR="006D67F1" w:rsidRPr="002C224A"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 menšími problémy – informací je dostatek a lze nalézt financující subjekt po vícekolovém vyjednávání</w:t>
            </w:r>
          </w:p>
        </w:tc>
        <w:tc>
          <w:tcPr>
            <w:tcW w:w="15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58</w:t>
            </w:r>
          </w:p>
        </w:tc>
        <w:tc>
          <w:tcPr>
            <w:tcW w:w="1275"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23,3%</w:t>
            </w:r>
          </w:p>
        </w:tc>
      </w:tr>
      <w:tr w:rsidR="006D67F1" w:rsidRPr="002C224A"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Dostupnost je pouze dobrá – finanční zdroje zde jsou, ale je obtížně možné je získat</w:t>
            </w:r>
          </w:p>
        </w:tc>
        <w:tc>
          <w:tcPr>
            <w:tcW w:w="15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42</w:t>
            </w:r>
          </w:p>
        </w:tc>
        <w:tc>
          <w:tcPr>
            <w:tcW w:w="1275"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16,9%</w:t>
            </w:r>
          </w:p>
        </w:tc>
      </w:tr>
      <w:tr w:rsidR="006D67F1" w:rsidRPr="002C224A"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Dostupnost je špatná – existuje informační bariéra, banky mají velké požadavky na hodnotu zástavy, apod.</w:t>
            </w:r>
          </w:p>
        </w:tc>
        <w:tc>
          <w:tcPr>
            <w:tcW w:w="15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w:t>
            </w:r>
          </w:p>
        </w:tc>
        <w:tc>
          <w:tcPr>
            <w:tcW w:w="1275"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11,6%</w:t>
            </w:r>
          </w:p>
        </w:tc>
      </w:tr>
      <w:tr w:rsidR="006D67F1" w:rsidRPr="002C224A" w:rsidTr="00BF0A9E">
        <w:trPr>
          <w:trHeight w:val="255"/>
        </w:trPr>
        <w:tc>
          <w:tcPr>
            <w:tcW w:w="6252"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156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249</w:t>
            </w:r>
          </w:p>
        </w:tc>
        <w:tc>
          <w:tcPr>
            <w:tcW w:w="1275"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 w:rsidR="006D67F1" w:rsidRPr="002C224A" w:rsidRDefault="006D67F1" w:rsidP="00F71000">
      <w:r w:rsidRPr="002C224A">
        <w:t>Celkově proto respondenti hodnotili svůj přístup k financování jako ztížený v 28,8 % případů.</w:t>
      </w:r>
    </w:p>
    <w:p w:rsidR="006D67F1" w:rsidRPr="002C224A" w:rsidRDefault="006D67F1" w:rsidP="00F71000">
      <w:pPr>
        <w:pStyle w:val="Titulek"/>
        <w:keepNext/>
      </w:pPr>
    </w:p>
    <w:p w:rsidR="006D67F1" w:rsidRPr="002C224A" w:rsidRDefault="006D67F1" w:rsidP="00F71000">
      <w:pPr>
        <w:pStyle w:val="Titulek"/>
        <w:keepNext/>
      </w:pPr>
      <w:r w:rsidRPr="002C224A">
        <w:t>Obrázek</w:t>
      </w:r>
      <w:r w:rsidR="00646277">
        <w:t xml:space="preserve"> 31</w:t>
      </w:r>
      <w:r w:rsidRPr="002C224A">
        <w:t>: Dostupnost financování respondentů v posledních třech letech</w:t>
      </w:r>
    </w:p>
    <w:p w:rsidR="006D67F1" w:rsidRPr="00A50943" w:rsidRDefault="007A3F34" w:rsidP="00F71000">
      <w:r w:rsidRPr="00A50943">
        <w:rPr>
          <w:noProof/>
        </w:rPr>
        <w:drawing>
          <wp:inline distT="0" distB="0" distL="0" distR="0" wp14:anchorId="2EE2916E" wp14:editId="44F206EC">
            <wp:extent cx="5191125" cy="2495550"/>
            <wp:effectExtent l="0" t="0" r="9525" b="0"/>
            <wp:docPr id="61" name="obráze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67F1" w:rsidRPr="002C224A" w:rsidRDefault="006D67F1" w:rsidP="00F71000"/>
    <w:p w:rsidR="006D67F1" w:rsidRPr="002C224A" w:rsidRDefault="006D67F1" w:rsidP="00F71000">
      <w:r w:rsidRPr="002C224A">
        <w:t xml:space="preserve">Další data opět uvádíme již jen za podniky, které uvedly, že mají ztížený přístup k financování. </w:t>
      </w:r>
    </w:p>
    <w:p w:rsidR="006D67F1" w:rsidRPr="002C224A" w:rsidRDefault="00C00DF0" w:rsidP="00C00DF0">
      <w:pPr>
        <w:pStyle w:val="Titulek"/>
      </w:pPr>
      <w:r w:rsidRPr="002C224A">
        <w:t>Tabulka 7</w:t>
      </w:r>
      <w:r w:rsidR="00F6076B">
        <w:t>6</w:t>
      </w:r>
      <w:r w:rsidRPr="002C224A">
        <w:t>: důvody zhoršeného přístupu k financování</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67F1" w:rsidRPr="002C224A"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23,9%</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28,2%</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23</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32,4%</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36,6%</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12</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16,9%</w:t>
            </w:r>
          </w:p>
        </w:tc>
      </w:tr>
      <w:tr w:rsidR="006D67F1" w:rsidRPr="002C224A"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8,5%</w:t>
            </w:r>
          </w:p>
        </w:tc>
      </w:tr>
      <w:tr w:rsidR="006D67F1" w:rsidRPr="002C224A" w:rsidTr="00BF0A9E">
        <w:trPr>
          <w:trHeight w:val="255"/>
        </w:trPr>
        <w:tc>
          <w:tcPr>
            <w:tcW w:w="2966"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71</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 w:rsidR="006D67F1" w:rsidRPr="002C224A" w:rsidRDefault="006D67F1" w:rsidP="00F71000">
      <w:r w:rsidRPr="002C224A">
        <w:t xml:space="preserve">Mezi hlavní důvody ztíženého přístupu k financování podnikatelských nemovitostí uvedli respondenti zejména </w:t>
      </w:r>
      <w:r w:rsidR="00CF4A64" w:rsidRPr="002C224A">
        <w:t xml:space="preserve">finanční náklady, </w:t>
      </w:r>
      <w:r w:rsidRPr="002C224A">
        <w:t>možnosti zajištění, ale i dobu návratnosti a délku vlastní historie. Nevnímají však tyto problémy tak výrazně jako v některých jiných specifických cílech.</w:t>
      </w:r>
      <w:r w:rsidR="00B0267C" w:rsidRPr="002C224A">
        <w:t xml:space="preserve"> </w:t>
      </w:r>
    </w:p>
    <w:p w:rsidR="006D67F1" w:rsidRPr="002C224A" w:rsidRDefault="00C00DF0" w:rsidP="00C00DF0">
      <w:pPr>
        <w:pStyle w:val="Titulek"/>
      </w:pPr>
      <w:r w:rsidRPr="002C224A">
        <w:t>Tabulka 7</w:t>
      </w:r>
      <w:r w:rsidR="00F6076B">
        <w:t>7</w:t>
      </w:r>
      <w:r w:rsidRPr="002C224A">
        <w:t>: ekonomicky životaschopné projekty se zhoršeným přístupem k financování</w:t>
      </w:r>
    </w:p>
    <w:tbl>
      <w:tblPr>
        <w:tblW w:w="7316" w:type="dxa"/>
        <w:tblInd w:w="55" w:type="dxa"/>
        <w:tblCellMar>
          <w:left w:w="70" w:type="dxa"/>
          <w:right w:w="70" w:type="dxa"/>
        </w:tblCellMar>
        <w:tblLook w:val="00A0" w:firstRow="1" w:lastRow="0" w:firstColumn="1" w:lastColumn="0" w:noHBand="0" w:noVBand="0"/>
      </w:tblPr>
      <w:tblGrid>
        <w:gridCol w:w="2934"/>
        <w:gridCol w:w="3422"/>
        <w:gridCol w:w="960"/>
      </w:tblGrid>
      <w:tr w:rsidR="006D67F1" w:rsidRPr="002C224A"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Potenciálně ekonomicky životaschopné projekty se zhoršeným přístupem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 </w:t>
            </w:r>
          </w:p>
        </w:tc>
      </w:tr>
      <w:tr w:rsidR="006D67F1" w:rsidRPr="002C224A"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86BF2">
            <w:pPr>
              <w:overflowPunct/>
              <w:autoSpaceDE/>
              <w:autoSpaceDN/>
              <w:adjustRightInd/>
              <w:jc w:val="left"/>
              <w:textAlignment w:val="auto"/>
              <w:rPr>
                <w:rFonts w:cs="Arial"/>
                <w:sz w:val="20"/>
              </w:rPr>
            </w:pPr>
            <w:r w:rsidRPr="002C224A">
              <w:rPr>
                <w:rFonts w:cs="Arial"/>
                <w:sz w:val="20"/>
              </w:rPr>
              <w:t xml:space="preserve">Podíl na podnicích plánujících investice do </w:t>
            </w:r>
            <w:r w:rsidR="00CF4A64" w:rsidRPr="002C224A">
              <w:rPr>
                <w:rFonts w:cs="Arial"/>
                <w:sz w:val="20"/>
              </w:rPr>
              <w:t xml:space="preserve">energetické účinnosti </w:t>
            </w:r>
            <w:r w:rsidRPr="002C224A">
              <w:rPr>
                <w:rFonts w:cs="Arial"/>
                <w:sz w:val="20"/>
              </w:rPr>
              <w:t>v příštích třech letech</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19,7%</w:t>
            </w:r>
          </w:p>
        </w:tc>
      </w:tr>
      <w:tr w:rsidR="006D67F1" w:rsidRPr="002C224A"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lastRenderedPageBreak/>
              <w:t>Podíl na projektech se zhoršeným přístupem k financování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74,6%</w:t>
            </w:r>
          </w:p>
        </w:tc>
      </w:tr>
      <w:tr w:rsidR="006D67F1" w:rsidRPr="002C224A" w:rsidTr="00BF0A9E">
        <w:trPr>
          <w:trHeight w:val="255"/>
        </w:trPr>
        <w:tc>
          <w:tcPr>
            <w:tcW w:w="2934" w:type="dxa"/>
            <w:vMerge w:val="restart"/>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center"/>
              <w:textAlignment w:val="auto"/>
              <w:rPr>
                <w:rFonts w:cs="Arial"/>
                <w:sz w:val="20"/>
              </w:rPr>
            </w:pPr>
            <w:r w:rsidRPr="002C224A">
              <w:rPr>
                <w:rFonts w:cs="Arial"/>
                <w:sz w:val="20"/>
              </w:rPr>
              <w:t>Hlavní identifikované bariéry</w:t>
            </w: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54,7%</w:t>
            </w:r>
          </w:p>
        </w:tc>
      </w:tr>
      <w:tr w:rsidR="006D67F1" w:rsidRPr="002C224A"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54,7%</w:t>
            </w:r>
          </w:p>
        </w:tc>
      </w:tr>
      <w:tr w:rsidR="006D67F1" w:rsidRPr="002C224A"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73,6%</w:t>
            </w:r>
          </w:p>
        </w:tc>
      </w:tr>
      <w:tr w:rsidR="006D67F1" w:rsidRPr="002C224A"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2C224A" w:rsidRDefault="006D67F1" w:rsidP="00BF0A9E">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64,2%</w:t>
            </w:r>
          </w:p>
        </w:tc>
      </w:tr>
      <w:tr w:rsidR="006D67F1" w:rsidRPr="002C224A" w:rsidTr="00BF0A9E">
        <w:trPr>
          <w:trHeight w:val="255"/>
        </w:trPr>
        <w:tc>
          <w:tcPr>
            <w:tcW w:w="2934"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n=</w:t>
            </w:r>
          </w:p>
        </w:tc>
        <w:tc>
          <w:tcPr>
            <w:tcW w:w="3422"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64</w:t>
            </w:r>
          </w:p>
        </w:tc>
        <w:tc>
          <w:tcPr>
            <w:tcW w:w="960"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6D67F1" w:rsidRPr="002C224A" w:rsidRDefault="006D67F1" w:rsidP="00F71000">
      <w:pPr>
        <w:rPr>
          <w:b/>
        </w:rPr>
      </w:pPr>
    </w:p>
    <w:p w:rsidR="006D67F1" w:rsidRPr="002C224A" w:rsidRDefault="006D67F1" w:rsidP="00F71000">
      <w:r w:rsidRPr="002C224A">
        <w:rPr>
          <w:b/>
        </w:rPr>
        <w:t>Celkový podíl potenciálně životaschopných firem se ztíženým přístupem financování na počtu respondentů tvořil 19,7 %.</w:t>
      </w:r>
      <w:r w:rsidRPr="002C224A">
        <w:t xml:space="preserve"> Více než 73 % z nich uvedlo, že jejich hlavním problémem jsou omezené možnosti zajištění</w:t>
      </w:r>
      <w:r w:rsidR="00CF4A64" w:rsidRPr="002C224A">
        <w:t xml:space="preserve"> následované finančními náklady</w:t>
      </w:r>
      <w:r w:rsidRPr="002C224A">
        <w:t>. Řešením této suboptimální investiční situace proto může být finanční nástroj poskytující zvýhodněné úvěry nebo též záruční finanční nástroj, v každém případě s kombinací se subvencí úrokové sazby</w:t>
      </w:r>
      <w:r w:rsidR="00433FCD" w:rsidRPr="002C224A">
        <w:t xml:space="preserve"> či repayable assistance (návratné podpory konvertované do nenávratné v případě naplnění cílů projektu)</w:t>
      </w:r>
      <w:r w:rsidRPr="002C224A">
        <w:t>.</w:t>
      </w:r>
    </w:p>
    <w:p w:rsidR="006D67F1" w:rsidRPr="002C224A" w:rsidRDefault="006D67F1" w:rsidP="00F71000"/>
    <w:p w:rsidR="006D67F1" w:rsidRPr="002C224A" w:rsidRDefault="006D67F1" w:rsidP="00F71000">
      <w:pPr>
        <w:pStyle w:val="Titulek"/>
        <w:keepNext/>
      </w:pPr>
      <w:r w:rsidRPr="002C224A">
        <w:t>Obrázek</w:t>
      </w:r>
      <w:r w:rsidR="00646277">
        <w:t xml:space="preserve"> 32</w:t>
      </w:r>
      <w:r w:rsidRPr="002C224A">
        <w:t>: Ekonomicky životaschopné podniky se zhoršeným přístupem k financování a specifikace hlavních důvodů ztíženého přístupu (bylo možné uvést více odpovědí)</w:t>
      </w:r>
    </w:p>
    <w:p w:rsidR="006D67F1" w:rsidRPr="00A50943" w:rsidRDefault="007A3F34" w:rsidP="00F71000">
      <w:pPr>
        <w:rPr>
          <w:sz w:val="24"/>
        </w:rPr>
      </w:pPr>
      <w:r w:rsidRPr="00A50943">
        <w:rPr>
          <w:noProof/>
        </w:rPr>
        <w:drawing>
          <wp:inline distT="0" distB="0" distL="0" distR="0" wp14:anchorId="14005D09" wp14:editId="6CFDD8D1">
            <wp:extent cx="5067300" cy="2524125"/>
            <wp:effectExtent l="0" t="0" r="0" b="9525"/>
            <wp:docPr id="62" name="obráze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67F1" w:rsidRPr="002C224A" w:rsidRDefault="006D67F1" w:rsidP="00F71000">
      <w:pPr>
        <w:rPr>
          <w:sz w:val="24"/>
        </w:rPr>
      </w:pPr>
    </w:p>
    <w:p w:rsidR="006D67F1" w:rsidRPr="002C224A" w:rsidRDefault="006D67F1" w:rsidP="00F71000">
      <w:r w:rsidRPr="002C224A">
        <w:t>Tyto závěry korelují též s odpověďmi respondentů ohledně preferované formy podpory – nejčastěji podniky uváděly získání zvýhodněné úrokové sazby, úhradu úroků za komerční úvěr, zajištění ručení za úvěr a navýšení úvěrového financování. Podniky by také uvítaly snížení administrativních bariér při získávání financování. Nejdůležitějším prvkem je snížení úrokových nákladů, čehož lze dosáhnout prostřednictvím poskytnutím subvence úrokové sazby a zvýhodněného úvěru s nižší sazbou.</w:t>
      </w:r>
    </w:p>
    <w:p w:rsidR="006D67F1" w:rsidRPr="002C224A" w:rsidRDefault="00C00DF0" w:rsidP="00C00DF0">
      <w:pPr>
        <w:pStyle w:val="Titulek"/>
      </w:pPr>
      <w:r w:rsidRPr="002C224A">
        <w:t>Tabulka 7</w:t>
      </w:r>
      <w:r w:rsidR="00F6076B">
        <w:t>8</w:t>
      </w:r>
      <w:r w:rsidRPr="002C224A">
        <w:t>: preferované formy podpory</w:t>
      </w:r>
    </w:p>
    <w:tbl>
      <w:tblPr>
        <w:tblW w:w="9969" w:type="dxa"/>
        <w:tblInd w:w="55" w:type="dxa"/>
        <w:tblCellMar>
          <w:left w:w="70" w:type="dxa"/>
          <w:right w:w="70" w:type="dxa"/>
        </w:tblCellMar>
        <w:tblLook w:val="00A0" w:firstRow="1" w:lastRow="0" w:firstColumn="1" w:lastColumn="0" w:noHBand="0" w:noVBand="0"/>
      </w:tblPr>
      <w:tblGrid>
        <w:gridCol w:w="8298"/>
        <w:gridCol w:w="963"/>
        <w:gridCol w:w="708"/>
      </w:tblGrid>
      <w:tr w:rsidR="006D67F1" w:rsidRPr="002C224A" w:rsidTr="008A7848">
        <w:trPr>
          <w:trHeight w:val="255"/>
        </w:trPr>
        <w:tc>
          <w:tcPr>
            <w:tcW w:w="8298" w:type="dxa"/>
            <w:tcBorders>
              <w:top w:val="single" w:sz="4" w:space="0" w:color="auto"/>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b/>
                <w:bCs/>
                <w:sz w:val="20"/>
              </w:rPr>
            </w:pPr>
            <w:r w:rsidRPr="002C224A">
              <w:rPr>
                <w:rFonts w:cs="Arial"/>
                <w:b/>
                <w:bCs/>
                <w:sz w:val="20"/>
              </w:rPr>
              <w:t>Preferované formy podpory</w:t>
            </w:r>
          </w:p>
        </w:tc>
        <w:tc>
          <w:tcPr>
            <w:tcW w:w="963"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Počet odpovědí</w:t>
            </w:r>
          </w:p>
        </w:tc>
        <w:tc>
          <w:tcPr>
            <w:tcW w:w="708" w:type="dxa"/>
            <w:tcBorders>
              <w:top w:val="single" w:sz="4" w:space="0" w:color="auto"/>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Podíl</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Zajištění ručení za úvěr</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25</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39,1%</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Navýšení úvěrového financování na projekt</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26,6%</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Úhrada úroků hrazených za komerční úvěr</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30</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46,9%</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Získání zvýhodněné úrokové sazby</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32</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50,0%</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Prodloužení doby splatnosti úvěru</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17,2%</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Odklad splátek úvěru</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10</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15,6%</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Odpuštění několika posledních splátek úvěru</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19</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29,7%</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Získání prostředků od investora</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11</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17,2%</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Zlepšení informovanosti o dostupných zdrojích financování</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9</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14,1%</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Snížení administrativní bariéry při získávání financování</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20</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31,3%</w:t>
            </w:r>
          </w:p>
        </w:tc>
      </w:tr>
      <w:tr w:rsidR="006D67F1" w:rsidRPr="002C224A" w:rsidTr="008A7848">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2C224A" w:rsidRDefault="006D67F1" w:rsidP="00BF0A9E">
            <w:pPr>
              <w:overflowPunct/>
              <w:autoSpaceDE/>
              <w:autoSpaceDN/>
              <w:adjustRightInd/>
              <w:jc w:val="left"/>
              <w:textAlignment w:val="auto"/>
              <w:rPr>
                <w:rFonts w:cs="Arial"/>
                <w:sz w:val="20"/>
              </w:rPr>
            </w:pPr>
            <w:r w:rsidRPr="002C224A">
              <w:rPr>
                <w:rFonts w:cs="Arial"/>
                <w:sz w:val="20"/>
              </w:rPr>
              <w:t>Pomoc při přípravě projektu (např. business plán nebo specializované poradenství: financování zpracování projektové dokumentace, energetického auditu apod.)</w:t>
            </w:r>
          </w:p>
        </w:tc>
        <w:tc>
          <w:tcPr>
            <w:tcW w:w="963"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17</w:t>
            </w:r>
          </w:p>
        </w:tc>
        <w:tc>
          <w:tcPr>
            <w:tcW w:w="708" w:type="dxa"/>
            <w:tcBorders>
              <w:top w:val="nil"/>
              <w:left w:val="nil"/>
              <w:bottom w:val="single" w:sz="4" w:space="0" w:color="auto"/>
              <w:right w:val="single" w:sz="4" w:space="0" w:color="auto"/>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26,6%</w:t>
            </w:r>
          </w:p>
        </w:tc>
      </w:tr>
      <w:tr w:rsidR="006D67F1" w:rsidRPr="002C224A" w:rsidTr="008A7848">
        <w:trPr>
          <w:trHeight w:val="255"/>
        </w:trPr>
        <w:tc>
          <w:tcPr>
            <w:tcW w:w="8298"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lastRenderedPageBreak/>
              <w:t>n=</w:t>
            </w:r>
          </w:p>
        </w:tc>
        <w:tc>
          <w:tcPr>
            <w:tcW w:w="963" w:type="dxa"/>
            <w:tcBorders>
              <w:top w:val="nil"/>
              <w:left w:val="nil"/>
              <w:bottom w:val="nil"/>
              <w:right w:val="nil"/>
            </w:tcBorders>
            <w:noWrap/>
            <w:vAlign w:val="bottom"/>
          </w:tcPr>
          <w:p w:rsidR="006D67F1" w:rsidRPr="002C224A" w:rsidRDefault="006D67F1" w:rsidP="00BF0A9E">
            <w:pPr>
              <w:overflowPunct/>
              <w:autoSpaceDE/>
              <w:autoSpaceDN/>
              <w:adjustRightInd/>
              <w:jc w:val="right"/>
              <w:textAlignment w:val="auto"/>
              <w:rPr>
                <w:rFonts w:cs="Arial"/>
                <w:sz w:val="20"/>
              </w:rPr>
            </w:pPr>
            <w:r w:rsidRPr="002C224A">
              <w:rPr>
                <w:rFonts w:cs="Arial"/>
                <w:sz w:val="20"/>
              </w:rPr>
              <w:t>64</w:t>
            </w:r>
          </w:p>
        </w:tc>
        <w:tc>
          <w:tcPr>
            <w:tcW w:w="708" w:type="dxa"/>
            <w:tcBorders>
              <w:top w:val="nil"/>
              <w:left w:val="nil"/>
              <w:bottom w:val="nil"/>
              <w:right w:val="nil"/>
            </w:tcBorders>
            <w:noWrap/>
            <w:vAlign w:val="bottom"/>
          </w:tcPr>
          <w:p w:rsidR="006D67F1" w:rsidRPr="002C224A" w:rsidRDefault="006D67F1" w:rsidP="00BF0A9E">
            <w:pPr>
              <w:overflowPunct/>
              <w:autoSpaceDE/>
              <w:autoSpaceDN/>
              <w:adjustRightInd/>
              <w:jc w:val="left"/>
              <w:textAlignment w:val="auto"/>
              <w:rPr>
                <w:rFonts w:cs="Arial"/>
                <w:sz w:val="20"/>
              </w:rPr>
            </w:pPr>
          </w:p>
        </w:tc>
      </w:tr>
    </w:tbl>
    <w:p w:rsidR="008A7848" w:rsidRPr="002C224A" w:rsidRDefault="008A7848" w:rsidP="008A7848">
      <w:pPr>
        <w:rPr>
          <w:lang w:eastAsia="en-US"/>
        </w:rPr>
      </w:pPr>
    </w:p>
    <w:p w:rsidR="008A7848" w:rsidRPr="002C224A" w:rsidRDefault="008A7848" w:rsidP="008A7848">
      <w:pPr>
        <w:rPr>
          <w:lang w:eastAsia="en-US"/>
        </w:rPr>
      </w:pPr>
    </w:p>
    <w:p w:rsidR="002624AC" w:rsidRPr="002C224A" w:rsidRDefault="002624AC" w:rsidP="002624AC">
      <w:pPr>
        <w:pStyle w:val="Nadpis4"/>
        <w:rPr>
          <w:rFonts w:ascii="Calibri" w:hAnsi="Calibri"/>
        </w:rPr>
      </w:pPr>
      <w:r w:rsidRPr="002C224A">
        <w:rPr>
          <w:rFonts w:ascii="Calibri" w:hAnsi="Calibri"/>
        </w:rPr>
        <w:t>Odhad absorpční kapacity veřejné podpory a finančního nástroje</w:t>
      </w:r>
    </w:p>
    <w:p w:rsidR="006D67F1" w:rsidRPr="002C224A" w:rsidRDefault="006D67F1" w:rsidP="0061378A">
      <w:pPr>
        <w:rPr>
          <w:lang w:eastAsia="en-US"/>
        </w:rPr>
      </w:pPr>
      <w:r w:rsidRPr="00A50943">
        <w:rPr>
          <w:lang w:eastAsia="en-US"/>
        </w:rPr>
        <w:t>Rámcovou představu o aktuální investič</w:t>
      </w:r>
      <w:r w:rsidRPr="002C224A">
        <w:rPr>
          <w:lang w:eastAsia="en-US"/>
        </w:rPr>
        <w:t xml:space="preserve">ní potřebě po financování poskytuje poptávka po minulé podpoře v rámci programů Eko-energie a Efekt 2013.  </w:t>
      </w:r>
      <w:r w:rsidRPr="002C224A">
        <w:rPr>
          <w:b/>
          <w:lang w:eastAsia="en-US"/>
        </w:rPr>
        <w:t>Studie společnosti Seven</w:t>
      </w:r>
      <w:r w:rsidRPr="002C224A">
        <w:rPr>
          <w:rStyle w:val="Znakapoznpodarou"/>
          <w:rFonts w:ascii="Calibri" w:hAnsi="Calibri"/>
          <w:b/>
        </w:rPr>
        <w:footnoteReference w:id="39"/>
      </w:r>
      <w:r w:rsidRPr="00A50943">
        <w:rPr>
          <w:b/>
          <w:lang w:eastAsia="en-US"/>
        </w:rPr>
        <w:t xml:space="preserve"> odhaduje absorpční kapacitu na základě projektů realizovaných v minulém programovém období na 20 mld. Kč</w:t>
      </w:r>
      <w:r w:rsidRPr="002C224A">
        <w:rPr>
          <w:lang w:eastAsia="en-US"/>
        </w:rPr>
        <w:t>.</w:t>
      </w:r>
    </w:p>
    <w:p w:rsidR="006D67F1" w:rsidRPr="002C224A" w:rsidRDefault="006D67F1" w:rsidP="0061378A">
      <w:pPr>
        <w:rPr>
          <w:lang w:eastAsia="en-US"/>
        </w:rPr>
      </w:pPr>
    </w:p>
    <w:p w:rsidR="006D67F1" w:rsidRPr="002C224A" w:rsidRDefault="006D67F1" w:rsidP="0061378A">
      <w:pPr>
        <w:rPr>
          <w:lang w:eastAsia="en-US"/>
        </w:rPr>
      </w:pPr>
      <w:r w:rsidRPr="002C224A">
        <w:rPr>
          <w:lang w:eastAsia="en-US"/>
        </w:rPr>
        <w:t>Tento odhad relativně koresponduje se zmiňovaným odhadem České Spořitelny pro EPC (18 mld. Kč v příštích pěti letech), který se též týká podnikatelských projektů – byť pouze v kategorii vhodné pro EPC.</w:t>
      </w:r>
    </w:p>
    <w:p w:rsidR="008A7848" w:rsidRPr="002C224A" w:rsidRDefault="008A7848" w:rsidP="0061378A">
      <w:pPr>
        <w:rPr>
          <w:lang w:eastAsia="en-US"/>
        </w:rPr>
      </w:pPr>
    </w:p>
    <w:p w:rsidR="007707B5" w:rsidRPr="002C224A" w:rsidRDefault="008A7848" w:rsidP="008A7848">
      <w:pPr>
        <w:rPr>
          <w:lang w:eastAsia="en-US"/>
        </w:rPr>
      </w:pPr>
      <w:r w:rsidRPr="002C224A">
        <w:rPr>
          <w:lang w:eastAsia="en-US"/>
        </w:rPr>
        <w:t>Celkové připravené investice do energetické účinnosti dosáhly u došlých odpovědí dotazníkového šetření přibližné hodnoty 2 mld. Kč. Při extrapolaci tohoto vzorku</w:t>
      </w:r>
      <w:r w:rsidR="007707B5" w:rsidRPr="002C224A">
        <w:rPr>
          <w:lang w:eastAsia="en-US"/>
        </w:rPr>
        <w:t xml:space="preserve"> na celorepublikovou úroveň (odhad reprezentativnosti 9-12,5 %)</w:t>
      </w:r>
      <w:r w:rsidRPr="002C224A">
        <w:rPr>
          <w:lang w:eastAsia="en-US"/>
        </w:rPr>
        <w:t xml:space="preserve"> </w:t>
      </w:r>
      <w:r w:rsidRPr="002C224A">
        <w:rPr>
          <w:b/>
          <w:lang w:eastAsia="en-US"/>
        </w:rPr>
        <w:t xml:space="preserve">odhaduje Deloitte Advisory, s.r.o. celkovou absorpční kapacitu </w:t>
      </w:r>
      <w:r w:rsidR="007707B5" w:rsidRPr="002C224A">
        <w:rPr>
          <w:b/>
          <w:lang w:eastAsia="en-US"/>
        </w:rPr>
        <w:t xml:space="preserve">investic do energetické účinnosti v SC 2.3 </w:t>
      </w:r>
      <w:r w:rsidRPr="002C224A">
        <w:rPr>
          <w:b/>
          <w:lang w:eastAsia="en-US"/>
        </w:rPr>
        <w:t xml:space="preserve">na </w:t>
      </w:r>
      <w:r w:rsidR="007707B5" w:rsidRPr="002C224A">
        <w:rPr>
          <w:b/>
          <w:lang w:eastAsia="en-US"/>
        </w:rPr>
        <w:t>16-24</w:t>
      </w:r>
      <w:r w:rsidRPr="002C224A">
        <w:rPr>
          <w:b/>
          <w:lang w:eastAsia="en-US"/>
        </w:rPr>
        <w:t xml:space="preserve"> mld. Kč</w:t>
      </w:r>
      <w:r w:rsidRPr="002C224A">
        <w:rPr>
          <w:lang w:eastAsia="en-US"/>
        </w:rPr>
        <w:t>.</w:t>
      </w:r>
      <w:r w:rsidR="007707B5" w:rsidRPr="002C224A">
        <w:rPr>
          <w:lang w:eastAsia="en-US"/>
        </w:rPr>
        <w:t xml:space="preserve"> Vzhledem k dalším uvedeným odhadům se jeví toto rozmezí pro příští období realistickým.</w:t>
      </w:r>
      <w:r w:rsidRPr="002C224A">
        <w:rPr>
          <w:lang w:eastAsia="en-US"/>
        </w:rPr>
        <w:t xml:space="preserve"> </w:t>
      </w:r>
    </w:p>
    <w:p w:rsidR="007707B5" w:rsidRPr="002C224A" w:rsidRDefault="007707B5" w:rsidP="008A7848">
      <w:pPr>
        <w:rPr>
          <w:lang w:eastAsia="en-US"/>
        </w:rPr>
      </w:pPr>
    </w:p>
    <w:p w:rsidR="007707B5" w:rsidRPr="002C224A" w:rsidRDefault="008A7848" w:rsidP="008A7848">
      <w:pPr>
        <w:rPr>
          <w:b/>
          <w:lang w:eastAsia="en-US"/>
        </w:rPr>
      </w:pPr>
      <w:r w:rsidRPr="002C224A">
        <w:rPr>
          <w:lang w:eastAsia="en-US"/>
        </w:rPr>
        <w:t>Při zachování</w:t>
      </w:r>
      <w:r w:rsidR="007707B5" w:rsidRPr="002C224A">
        <w:rPr>
          <w:lang w:eastAsia="en-US"/>
        </w:rPr>
        <w:t xml:space="preserve"> podílu potenciálně životaschopných firem se ztíženým přístupem k financování zjištěného v dotazníku (19,7 %) by mohla </w:t>
      </w:r>
      <w:r w:rsidR="007707B5" w:rsidRPr="002C224A">
        <w:rPr>
          <w:b/>
          <w:lang w:eastAsia="en-US"/>
        </w:rPr>
        <w:t xml:space="preserve">podpora úvěrovým nástrojem efektivně pomoci realizaci 3-5 mld. projektů. </w:t>
      </w:r>
    </w:p>
    <w:p w:rsidR="007707B5" w:rsidRPr="002C224A" w:rsidRDefault="007707B5" w:rsidP="008A7848">
      <w:pPr>
        <w:rPr>
          <w:lang w:eastAsia="en-US"/>
        </w:rPr>
      </w:pPr>
    </w:p>
    <w:p w:rsidR="008A7848" w:rsidRPr="002C224A" w:rsidRDefault="007707B5" w:rsidP="008A7848">
      <w:pPr>
        <w:rPr>
          <w:lang w:eastAsia="en-US"/>
        </w:rPr>
      </w:pPr>
      <w:r w:rsidRPr="002C224A">
        <w:rPr>
          <w:lang w:eastAsia="en-US"/>
        </w:rPr>
        <w:t>Druhou stranou posuzování absorpční kapacity je řešení problému dlouhé návratnosti projektů. Výše jmenované zkušenosti z OP PI</w:t>
      </w:r>
      <w:r w:rsidR="00AD7560" w:rsidRPr="002C224A">
        <w:rPr>
          <w:lang w:eastAsia="en-US"/>
        </w:rPr>
        <w:t xml:space="preserve"> nicméně ukazují, že potenciál absorpční kapacity pro FN je i z tohoto pohledu významný.</w:t>
      </w:r>
    </w:p>
    <w:p w:rsidR="008A7848" w:rsidRPr="002C224A" w:rsidRDefault="008A7848" w:rsidP="0061378A">
      <w:pPr>
        <w:rPr>
          <w:lang w:eastAsia="en-US"/>
        </w:rPr>
      </w:pPr>
    </w:p>
    <w:p w:rsidR="006D67F1" w:rsidRPr="002C224A" w:rsidRDefault="006D67F1" w:rsidP="00283266">
      <w:pPr>
        <w:pStyle w:val="Nadpis4"/>
        <w:rPr>
          <w:rFonts w:ascii="Calibri" w:hAnsi="Calibri"/>
        </w:rPr>
      </w:pPr>
      <w:bookmarkStart w:id="879" w:name="_Toc416800460"/>
      <w:r w:rsidRPr="002C224A">
        <w:rPr>
          <w:rFonts w:ascii="Calibri" w:hAnsi="Calibri"/>
        </w:rPr>
        <w:t>Identifikace selhání trhu a suboptimálních investičních situací</w:t>
      </w:r>
    </w:p>
    <w:p w:rsidR="006D67F1" w:rsidRPr="00A50943" w:rsidRDefault="006D67F1" w:rsidP="00F61ADE">
      <w:pPr>
        <w:rPr>
          <w:lang w:eastAsia="en-US"/>
        </w:rPr>
      </w:pPr>
    </w:p>
    <w:bookmarkEnd w:id="879"/>
    <w:p w:rsidR="006D67F1" w:rsidRPr="002C224A" w:rsidRDefault="006D67F1" w:rsidP="00F61ADE">
      <w:pPr>
        <w:rPr>
          <w:lang w:eastAsia="en-US"/>
        </w:rPr>
      </w:pPr>
      <w:r w:rsidRPr="002C224A">
        <w:rPr>
          <w:lang w:eastAsia="en-US"/>
        </w:rPr>
        <w:t>Oblast energetických úspor je v posledních letech charakteristická vysokým stupněm tržního rozvoje v ČR, a to i v oblasti bankovního financování a energetických služeb. Investiční aktivita však přesto neodpovídá dosud velikému potenciálu v podnikové oblasti a vytyčeným evropským cílům a závazkům ČR.</w:t>
      </w:r>
    </w:p>
    <w:p w:rsidR="006D67F1" w:rsidRPr="002C224A" w:rsidRDefault="006D67F1" w:rsidP="00F61ADE">
      <w:pPr>
        <w:rPr>
          <w:lang w:eastAsia="en-US"/>
        </w:rPr>
      </w:pPr>
    </w:p>
    <w:p w:rsidR="006D67F1" w:rsidRPr="002C224A" w:rsidRDefault="006D67F1" w:rsidP="001B3C63">
      <w:pPr>
        <w:rPr>
          <w:lang w:eastAsia="en-US"/>
        </w:rPr>
      </w:pPr>
      <w:r w:rsidRPr="002C224A">
        <w:rPr>
          <w:lang w:eastAsia="en-US"/>
        </w:rPr>
        <w:t xml:space="preserve">Přes ziskový profil investic do snížení energetické náročnosti firem nelze předpokládat, že by měly prioritu v investičním plánu podniku, zejména pokud se tento nachází v růstové fázi. Pro toto období životního cyklu firmy jsou </w:t>
      </w:r>
      <w:r w:rsidRPr="002C224A">
        <w:rPr>
          <w:b/>
          <w:lang w:eastAsia="en-US"/>
        </w:rPr>
        <w:t>typické investice do rozšiřování výroby, které jsou z velké části financovány dluhově, a podniky budou tedy často čelit problémům se zajištěním či přeúvěrováním</w:t>
      </w:r>
      <w:r w:rsidRPr="002C224A">
        <w:rPr>
          <w:lang w:eastAsia="en-US"/>
        </w:rPr>
        <w:t>. Rostoucí podnik pak nebude ochoten do investice fixovat nákladné vlastní zdroje.</w:t>
      </w:r>
    </w:p>
    <w:p w:rsidR="006D67F1" w:rsidRPr="002C224A" w:rsidRDefault="006D67F1" w:rsidP="001B3C63">
      <w:pPr>
        <w:rPr>
          <w:lang w:eastAsia="en-US"/>
        </w:rPr>
      </w:pPr>
    </w:p>
    <w:p w:rsidR="006D67F1" w:rsidRPr="002C224A" w:rsidRDefault="006D67F1" w:rsidP="00F61ADE">
      <w:pPr>
        <w:rPr>
          <w:lang w:eastAsia="en-US"/>
        </w:rPr>
      </w:pPr>
      <w:r w:rsidRPr="002C224A">
        <w:rPr>
          <w:lang w:eastAsia="en-US"/>
        </w:rPr>
        <w:t xml:space="preserve">Pokud už podnik přistoupí k investicím do úspory energií, </w:t>
      </w:r>
      <w:r w:rsidRPr="002C224A">
        <w:rPr>
          <w:b/>
          <w:lang w:eastAsia="en-US"/>
        </w:rPr>
        <w:t>vyhledává za tržních podmínek zejména rychlonávratné aktivity</w:t>
      </w:r>
      <w:r w:rsidRPr="002C224A">
        <w:rPr>
          <w:lang w:eastAsia="en-US"/>
        </w:rPr>
        <w:t>, nikoli komplexní nákladné projekty s celkově vyšším potenciálem úspor. Ty se vyznačují v porovnání s jednoduchými technickými inovacemi (LED osvětlení) delší návratností a vyššími náklady na přípravu projektu. To je v současné době i jedna z bariér většího využívání metody EPC v podnikatelském sektoru. Potenciál klasického EPC je podnikatelském sféře oproti veřejným subjektům nižší z důvodu vyšších rizik na straně podniků a často též hůře predikovatelné úrovni spotřeby, která je závislá na výrobě.</w:t>
      </w:r>
    </w:p>
    <w:p w:rsidR="006D67F1" w:rsidRPr="002C224A" w:rsidRDefault="006D67F1" w:rsidP="00F61ADE">
      <w:pPr>
        <w:rPr>
          <w:lang w:eastAsia="en-US"/>
        </w:rPr>
      </w:pPr>
    </w:p>
    <w:p w:rsidR="006D67F1" w:rsidRPr="002C224A" w:rsidRDefault="006D67F1" w:rsidP="00F61ADE">
      <w:pPr>
        <w:rPr>
          <w:lang w:eastAsia="en-US"/>
        </w:rPr>
      </w:pPr>
      <w:r w:rsidRPr="002C224A">
        <w:rPr>
          <w:lang w:eastAsia="en-US"/>
        </w:rPr>
        <w:t xml:space="preserve">Provedené rozhovory každopádně potvrzují, že </w:t>
      </w:r>
      <w:r w:rsidRPr="002C224A">
        <w:rPr>
          <w:b/>
          <w:lang w:eastAsia="en-US"/>
        </w:rPr>
        <w:t xml:space="preserve">v podnikatelské sféře jsou v této oblasti neakceptovatelné projekty s vyšší dobou návratnosti jak 5 let. </w:t>
      </w:r>
      <w:r w:rsidRPr="002C224A">
        <w:rPr>
          <w:lang w:eastAsia="en-US"/>
        </w:rPr>
        <w:t xml:space="preserve">Z tohoto hlediska je tedy v mnoha </w:t>
      </w:r>
      <w:r w:rsidRPr="002C224A">
        <w:rPr>
          <w:lang w:eastAsia="en-US"/>
        </w:rPr>
        <w:lastRenderedPageBreak/>
        <w:t xml:space="preserve">případech nutné motivovat podniky k investicím do rozsáhlejších úsporných opatření veřejnou podporou, která je zvýhodní v investičním plánu podniku. Rizikem rozsáhlé dotační podpory minulých let je nicméně přizpůsobení chování trhu těmto stimulům. Vzniká tak </w:t>
      </w:r>
      <w:r w:rsidRPr="002C224A">
        <w:rPr>
          <w:b/>
          <w:lang w:eastAsia="en-US"/>
        </w:rPr>
        <w:t>vysoká zadržená investiční poptávka, která čeká na vyhlášení další dotační výzvy</w:t>
      </w:r>
      <w:r w:rsidRPr="002C224A">
        <w:rPr>
          <w:lang w:eastAsia="en-US"/>
        </w:rPr>
        <w:t>. Výrazný převis poptávky nad nabídkou v minulých programech podpory v tomto ohledu indikuje významné tržní selhání.</w:t>
      </w:r>
    </w:p>
    <w:p w:rsidR="006D67F1" w:rsidRPr="002C224A" w:rsidDel="001B3C63" w:rsidRDefault="006D67F1" w:rsidP="00F61ADE">
      <w:pPr>
        <w:rPr>
          <w:lang w:eastAsia="en-US"/>
        </w:rPr>
      </w:pPr>
    </w:p>
    <w:p w:rsidR="006D67F1" w:rsidRPr="002C224A" w:rsidRDefault="006D67F1" w:rsidP="00F61ADE">
      <w:pPr>
        <w:rPr>
          <w:lang w:eastAsia="en-US"/>
        </w:rPr>
      </w:pPr>
    </w:p>
    <w:p w:rsidR="006D67F1" w:rsidRPr="002C224A" w:rsidRDefault="006D67F1" w:rsidP="00F61ADE">
      <w:pPr>
        <w:rPr>
          <w:lang w:eastAsia="en-US"/>
        </w:rPr>
      </w:pPr>
      <w:r w:rsidRPr="002C224A">
        <w:rPr>
          <w:lang w:eastAsia="en-US"/>
        </w:rPr>
        <w:t xml:space="preserve">Častou </w:t>
      </w:r>
      <w:r w:rsidRPr="002C224A">
        <w:rPr>
          <w:b/>
          <w:lang w:eastAsia="en-US"/>
        </w:rPr>
        <w:t>překážkou realizace ekonomicky smysluplného projektu jsou také počáteční náklady</w:t>
      </w:r>
      <w:r w:rsidRPr="002C224A">
        <w:rPr>
          <w:lang w:eastAsia="en-US"/>
        </w:rPr>
        <w:t>, které mohou od úvah nad provedením investice výrazně odrazovat. Nákladné jsou i samotné energetické audity, které jsou předpokladem podpory úsporných opatření i samotné kvantifikace úsporného potenciálu. Mezi počáteční náklady můžeme řadit i časový náklad na získání informací. Úsporný potenciál, a tedy i atraktivitu úsporných investic snižuje i aktuální pokles cen elektřiny –</w:t>
      </w:r>
      <w:r w:rsidR="00053EA4" w:rsidRPr="002C224A">
        <w:rPr>
          <w:lang w:eastAsia="en-US"/>
        </w:rPr>
        <w:t xml:space="preserve"> </w:t>
      </w:r>
      <w:r w:rsidRPr="002C224A">
        <w:rPr>
          <w:lang w:eastAsia="en-US"/>
        </w:rPr>
        <w:t>které se však drží z důvodů poplatků na OZE stále na poměrně vysoké úrovni, stejně jako i ceny ostatních energií.</w:t>
      </w:r>
    </w:p>
    <w:p w:rsidR="006D67F1" w:rsidRPr="002C224A" w:rsidRDefault="006D67F1" w:rsidP="00F61ADE">
      <w:pPr>
        <w:rPr>
          <w:lang w:eastAsia="en-US"/>
        </w:rPr>
      </w:pPr>
    </w:p>
    <w:p w:rsidR="006D67F1" w:rsidRPr="002C224A" w:rsidRDefault="006D67F1" w:rsidP="00F61ADE">
      <w:pPr>
        <w:rPr>
          <w:lang w:eastAsia="en-US"/>
        </w:rPr>
      </w:pPr>
      <w:r w:rsidRPr="002C224A">
        <w:rPr>
          <w:lang w:eastAsia="en-US"/>
        </w:rPr>
        <w:t>Investice do snížení energetické náročnosti firem jsou v porovnání se zavedenými typy projektů pro některé bankovní domy hůře uchopitelné a ty jim proto přiřazují horší rizikové skóre a tedy i horší podmínky financování – v dnešní době se to však týká spíše pouze menších bank. MSP mohou mít nicméně z hlediska rizika defaultu stále poněkud obtížnější přístup k úvěrům a vyšší náklady na ně, než velké podniky – i v případě projektových úvěrů.</w:t>
      </w:r>
    </w:p>
    <w:p w:rsidR="006D67F1" w:rsidRPr="002C224A" w:rsidRDefault="006D67F1" w:rsidP="00F61ADE">
      <w:pPr>
        <w:rPr>
          <w:lang w:eastAsia="en-US"/>
        </w:rPr>
      </w:pPr>
    </w:p>
    <w:p w:rsidR="006D67F1" w:rsidRPr="002C224A" w:rsidRDefault="006D67F1" w:rsidP="00283266">
      <w:pPr>
        <w:pStyle w:val="Nadpis4"/>
        <w:rPr>
          <w:rFonts w:ascii="Calibri" w:hAnsi="Calibri"/>
        </w:rPr>
      </w:pPr>
      <w:bookmarkStart w:id="880" w:name="_Toc416383861"/>
      <w:bookmarkStart w:id="881" w:name="_Toc416447860"/>
      <w:bookmarkStart w:id="882" w:name="_Toc416383862"/>
      <w:bookmarkStart w:id="883" w:name="_Toc416447861"/>
      <w:bookmarkStart w:id="884" w:name="_Toc416800461"/>
      <w:bookmarkEnd w:id="880"/>
      <w:bookmarkEnd w:id="881"/>
      <w:bookmarkEnd w:id="882"/>
      <w:bookmarkEnd w:id="883"/>
      <w:r w:rsidRPr="002C224A">
        <w:rPr>
          <w:rFonts w:ascii="Calibri" w:hAnsi="Calibri"/>
        </w:rPr>
        <w:t>Návrh řešení identifikovaných tržních selhání</w:t>
      </w:r>
    </w:p>
    <w:p w:rsidR="006D67F1" w:rsidRPr="00A50943" w:rsidRDefault="006D67F1" w:rsidP="00605487">
      <w:pPr>
        <w:rPr>
          <w:lang w:eastAsia="en-US"/>
        </w:rPr>
      </w:pPr>
    </w:p>
    <w:bookmarkEnd w:id="884"/>
    <w:p w:rsidR="006D67F1" w:rsidRPr="002C224A" w:rsidRDefault="006D67F1" w:rsidP="00605487">
      <w:pPr>
        <w:rPr>
          <w:lang w:eastAsia="en-US"/>
        </w:rPr>
      </w:pPr>
      <w:r w:rsidRPr="002C224A">
        <w:rPr>
          <w:lang w:eastAsia="en-US"/>
        </w:rPr>
        <w:t xml:space="preserve">Ziskový potenciál je u investic do snížení energetické náročnosti zřejmý, avšak doba návratnosti těchto projektů se pohybuje na poměrně velké škále. Rovněž je nutno vzít v potaz pozitivní externalitu, kdy kromě přímého komerčního benefitu pro žadatele má realizace investice pozitivní dopad v podobě celospolečenského užitku. </w:t>
      </w:r>
    </w:p>
    <w:p w:rsidR="006D67F1" w:rsidRPr="002C224A" w:rsidRDefault="006D67F1" w:rsidP="00605487">
      <w:pPr>
        <w:rPr>
          <w:lang w:eastAsia="en-US"/>
        </w:rPr>
      </w:pPr>
    </w:p>
    <w:p w:rsidR="006D67F1" w:rsidRPr="002C224A" w:rsidRDefault="005464D2" w:rsidP="00605487">
      <w:pPr>
        <w:rPr>
          <w:lang w:eastAsia="en-US"/>
        </w:rPr>
      </w:pPr>
      <w:r w:rsidRPr="002C224A">
        <w:rPr>
          <w:lang w:eastAsia="en-US"/>
        </w:rPr>
        <w:t>V rámci projektů OP PI žádaly o podporu projekty s extrémně vysokým rozptylem výnosnosti, od – 15 až do 40 % IRR.</w:t>
      </w:r>
      <w:r w:rsidR="006D67F1" w:rsidRPr="002C224A">
        <w:rPr>
          <w:lang w:eastAsia="en-US"/>
        </w:rPr>
        <w:t xml:space="preserve"> Vzhledem k tržně akceptovatelné době návratnosti kolem </w:t>
      </w:r>
      <w:r w:rsidRPr="002C224A">
        <w:rPr>
          <w:lang w:eastAsia="en-US"/>
        </w:rPr>
        <w:t>5-6</w:t>
      </w:r>
      <w:r w:rsidR="006D67F1" w:rsidRPr="002C224A">
        <w:rPr>
          <w:lang w:eastAsia="en-US"/>
        </w:rPr>
        <w:t xml:space="preserve"> let je tedy optimální část rychleji návratných projektů podporovat formou </w:t>
      </w:r>
      <w:r w:rsidR="006D67F1" w:rsidRPr="002C224A">
        <w:rPr>
          <w:b/>
          <w:lang w:eastAsia="en-US"/>
        </w:rPr>
        <w:t>úvěrového finančního nástroje v kombinaci s finančním příspěvkem na úhradu úroků a zpracování energetického auditu, který by firmy motivoval ke splnění cílů projektu a dosažení nejvyšších možných úspor</w:t>
      </w:r>
      <w:r w:rsidRPr="002C224A">
        <w:rPr>
          <w:b/>
          <w:lang w:eastAsia="en-US"/>
        </w:rPr>
        <w:t>.</w:t>
      </w:r>
      <w:r w:rsidRPr="002C224A">
        <w:rPr>
          <w:lang w:eastAsia="en-US"/>
        </w:rPr>
        <w:t xml:space="preserve"> </w:t>
      </w:r>
      <w:r w:rsidR="006D67F1" w:rsidRPr="002C224A">
        <w:rPr>
          <w:lang w:eastAsia="en-US"/>
        </w:rPr>
        <w:t>Je naopak zřejmé, že u některých déle návratných projektů, které se však vyznačují vyššími úsporami a tedy i vyšší pozitivní externalitou, je vhodné ponechat dotační podporu.</w:t>
      </w:r>
    </w:p>
    <w:p w:rsidR="006D67F1" w:rsidRPr="002C224A" w:rsidRDefault="006D67F1" w:rsidP="00605487">
      <w:pPr>
        <w:rPr>
          <w:lang w:eastAsia="en-US"/>
        </w:rPr>
      </w:pPr>
    </w:p>
    <w:p w:rsidR="006D67F1" w:rsidRPr="002C224A" w:rsidRDefault="006D67F1" w:rsidP="00605487">
      <w:pPr>
        <w:rPr>
          <w:lang w:eastAsia="en-US"/>
        </w:rPr>
      </w:pPr>
      <w:r w:rsidRPr="002C224A">
        <w:rPr>
          <w:lang w:eastAsia="en-US"/>
        </w:rPr>
        <w:t xml:space="preserve">Dotazníkové šetření navíc ukázalo, že právě zpřístupnění úvěru a zmírnění jeho podmínek potenciální žadatelé o podporu často preferují. </w:t>
      </w:r>
    </w:p>
    <w:p w:rsidR="006D67F1" w:rsidRPr="002C224A" w:rsidRDefault="006D67F1" w:rsidP="00605487">
      <w:pPr>
        <w:rPr>
          <w:lang w:eastAsia="en-US"/>
        </w:rPr>
      </w:pPr>
    </w:p>
    <w:p w:rsidR="006D67F1" w:rsidRPr="002C224A" w:rsidRDefault="006D67F1" w:rsidP="0035620F">
      <w:pPr>
        <w:rPr>
          <w:lang w:eastAsia="en-US"/>
        </w:rPr>
      </w:pPr>
      <w:r w:rsidRPr="002C224A">
        <w:rPr>
          <w:lang w:eastAsia="en-US"/>
        </w:rPr>
        <w:t>Širší možnosti aplikace zvýhodněných úvěrů z hlediska limitu požadované návratnosti by umožnila kombinace zvýhodněného úvěru s dotací na odlišné způsobilé náklady</w:t>
      </w:r>
      <w:r w:rsidR="00433FCD" w:rsidRPr="002C224A">
        <w:rPr>
          <w:lang w:eastAsia="en-US"/>
        </w:rPr>
        <w:t xml:space="preserve"> </w:t>
      </w:r>
      <w:r w:rsidR="00433FCD" w:rsidRPr="002C224A">
        <w:t>či repayable assistance (návratné podpory konvertované do nenávratné v případě naplnění cílů projektu)</w:t>
      </w:r>
      <w:r w:rsidRPr="002C224A">
        <w:rPr>
          <w:lang w:eastAsia="en-US"/>
        </w:rPr>
        <w:t>. Technickou proveditelnost a složitost tohoto způsobu opatření v daných legislativních omezeních strukturálních fondů je však třeba dále zvážit.</w:t>
      </w:r>
    </w:p>
    <w:p w:rsidR="006D67F1" w:rsidRPr="002C224A" w:rsidRDefault="006D67F1" w:rsidP="0035620F">
      <w:pPr>
        <w:rPr>
          <w:lang w:eastAsia="en-US"/>
        </w:rPr>
      </w:pPr>
    </w:p>
    <w:p w:rsidR="006D67F1" w:rsidRPr="002C224A" w:rsidRDefault="006D67F1" w:rsidP="00605487">
      <w:pPr>
        <w:rPr>
          <w:lang w:eastAsia="en-US"/>
        </w:rPr>
      </w:pPr>
      <w:r w:rsidRPr="002C224A">
        <w:rPr>
          <w:lang w:eastAsia="en-US"/>
        </w:rPr>
        <w:t xml:space="preserve">Při výběru projektů a rozdělení dotační a úvěrové podpory doporučujeme nastavit taková kritéria, která budou subjekty motivovat k realizaci co nejkomplexnějších a nejúspornějších projektů. V této souvislosti lze uvažovat např. o </w:t>
      </w:r>
      <w:r w:rsidRPr="002C224A">
        <w:rPr>
          <w:b/>
          <w:lang w:eastAsia="en-US"/>
        </w:rPr>
        <w:t>kritériu IRR projektů</w:t>
      </w:r>
      <w:r w:rsidR="00590466" w:rsidRPr="002C224A">
        <w:rPr>
          <w:lang w:eastAsia="en-US"/>
        </w:rPr>
        <w:t>.</w:t>
      </w:r>
    </w:p>
    <w:p w:rsidR="006D67F1" w:rsidRPr="002C224A" w:rsidRDefault="006D67F1" w:rsidP="006F42A5">
      <w:pPr>
        <w:rPr>
          <w:b/>
          <w:lang w:eastAsia="en-US"/>
        </w:rPr>
      </w:pPr>
    </w:p>
    <w:p w:rsidR="006D67F1" w:rsidRPr="002C224A" w:rsidRDefault="006D67F1" w:rsidP="002433DA">
      <w:pPr>
        <w:pStyle w:val="Nadpis3"/>
        <w:rPr>
          <w:rFonts w:ascii="Calibri" w:hAnsi="Calibri"/>
          <w:lang w:eastAsia="en-US"/>
        </w:rPr>
      </w:pPr>
      <w:bookmarkStart w:id="885" w:name="_Toc416800462"/>
      <w:bookmarkStart w:id="886" w:name="_Toc421534303"/>
      <w:r w:rsidRPr="002C224A">
        <w:rPr>
          <w:rFonts w:ascii="Calibri" w:hAnsi="Calibri"/>
          <w:lang w:eastAsia="en-US"/>
        </w:rPr>
        <w:lastRenderedPageBreak/>
        <w:t>Posouzení přidané hodnoty finančních nástrojů</w:t>
      </w:r>
      <w:bookmarkEnd w:id="885"/>
      <w:bookmarkEnd w:id="886"/>
    </w:p>
    <w:p w:rsidR="006D67F1" w:rsidRPr="002C224A" w:rsidRDefault="006D67F1" w:rsidP="00283266">
      <w:pPr>
        <w:pStyle w:val="Nadpis4"/>
        <w:rPr>
          <w:rFonts w:ascii="Calibri" w:hAnsi="Calibri"/>
        </w:rPr>
      </w:pPr>
      <w:r w:rsidRPr="002C224A">
        <w:rPr>
          <w:rFonts w:ascii="Calibri" w:hAnsi="Calibri"/>
        </w:rPr>
        <w:t>Představení typových projektů</w:t>
      </w:r>
    </w:p>
    <w:p w:rsidR="00AB0114" w:rsidRPr="002C224A" w:rsidRDefault="00AB0114" w:rsidP="00BD1BBA">
      <w:r w:rsidRPr="00A50943">
        <w:t>Projekty SC 3.2 mohou zahrnout celou řadu úsporných opatření s různou dobou návra</w:t>
      </w:r>
      <w:r w:rsidRPr="002C224A">
        <w:t>tnosti. Pro ilust</w:t>
      </w:r>
      <w:r w:rsidR="000B06CA" w:rsidRPr="002C224A">
        <w:t>r</w:t>
      </w:r>
      <w:r w:rsidRPr="002C224A">
        <w:t>aci jsou uvedeny 2 příklady. 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w:t>
      </w:r>
    </w:p>
    <w:p w:rsidR="006D67F1" w:rsidRPr="002C224A" w:rsidRDefault="006D67F1" w:rsidP="00BD1BBA"/>
    <w:p w:rsidR="006D67F1" w:rsidRPr="002C224A" w:rsidRDefault="006D67F1" w:rsidP="00BD1BBA">
      <w:r w:rsidRPr="002C224A">
        <w:t xml:space="preserve">Žadatelem o úvěr byl výrobní podnik, který měl záměr investovat do snížení energetické náročnosti jednopatrové výrobní haly o výměře </w:t>
      </w:r>
      <w:smartTag w:uri="urn:schemas-microsoft-com:office:smarttags" w:element="metricconverter">
        <w:smartTagPr>
          <w:attr w:name="ProductID" w:val="672 m2"/>
        </w:smartTagPr>
        <w:r w:rsidRPr="002C224A">
          <w:t>672 m2</w:t>
        </w:r>
      </w:smartTag>
      <w:r w:rsidRPr="002C224A">
        <w:t>. Jednalo se o vylepšení izolačních vlastností podlahy, střechy i obvodu budovy, včetně oken, vchodů a vjezdů. Energetický audit prokázal fyzickou úsporu energie 74 %.</w:t>
      </w:r>
    </w:p>
    <w:p w:rsidR="006D67F1" w:rsidRPr="002C224A" w:rsidRDefault="006D67F1" w:rsidP="00BD1BBA"/>
    <w:tbl>
      <w:tblPr>
        <w:tblW w:w="8922" w:type="dxa"/>
        <w:tblInd w:w="55" w:type="dxa"/>
        <w:tblCellMar>
          <w:left w:w="0" w:type="dxa"/>
          <w:right w:w="0" w:type="dxa"/>
        </w:tblCellMar>
        <w:tblLook w:val="00A0" w:firstRow="1" w:lastRow="0" w:firstColumn="1" w:lastColumn="0" w:noHBand="0" w:noVBand="0"/>
      </w:tblPr>
      <w:tblGrid>
        <w:gridCol w:w="2388"/>
        <w:gridCol w:w="1562"/>
        <w:gridCol w:w="1570"/>
        <w:gridCol w:w="1732"/>
        <w:gridCol w:w="1710"/>
      </w:tblGrid>
      <w:tr w:rsidR="006D67F1" w:rsidRPr="002C224A" w:rsidTr="00AC4E40">
        <w:trPr>
          <w:trHeight w:val="20"/>
        </w:trPr>
        <w:tc>
          <w:tcPr>
            <w:tcW w:w="2380" w:type="dxa"/>
            <w:tcBorders>
              <w:top w:val="single" w:sz="4" w:space="0" w:color="002776"/>
              <w:left w:val="single" w:sz="4" w:space="0" w:color="002776"/>
              <w:bottom w:val="nil"/>
              <w:right w:val="nil"/>
            </w:tcBorders>
            <w:shd w:val="clear" w:color="000000" w:fill="002776"/>
            <w:noWrap/>
            <w:vAlign w:val="center"/>
          </w:tcPr>
          <w:p w:rsidR="006D67F1" w:rsidRPr="002C224A" w:rsidRDefault="006D67F1" w:rsidP="00AC4E40">
            <w:pPr>
              <w:jc w:val="center"/>
              <w:rPr>
                <w:b/>
                <w:bCs/>
                <w:color w:val="FFFFFF"/>
                <w:sz w:val="18"/>
                <w:szCs w:val="18"/>
              </w:rPr>
            </w:pPr>
            <w:r w:rsidRPr="002C224A">
              <w:rPr>
                <w:b/>
                <w:bCs/>
                <w:color w:val="FFFFFF"/>
                <w:sz w:val="18"/>
                <w:szCs w:val="18"/>
              </w:rPr>
              <w:t>SC 3.2, projekty snižování energetické náročnosti</w:t>
            </w:r>
          </w:p>
        </w:tc>
        <w:tc>
          <w:tcPr>
            <w:tcW w:w="1554" w:type="dxa"/>
            <w:tcBorders>
              <w:top w:val="single" w:sz="4" w:space="0" w:color="002776"/>
              <w:left w:val="nil"/>
              <w:bottom w:val="nil"/>
              <w:right w:val="nil"/>
            </w:tcBorders>
            <w:shd w:val="clear" w:color="000000" w:fill="002776"/>
            <w:noWrap/>
            <w:vAlign w:val="bottom"/>
          </w:tcPr>
          <w:p w:rsidR="006D67F1" w:rsidRPr="002C224A" w:rsidRDefault="006D67F1" w:rsidP="00AC4E40">
            <w:pPr>
              <w:jc w:val="left"/>
              <w:rPr>
                <w:b/>
                <w:bCs/>
                <w:color w:val="FFFFFF"/>
                <w:sz w:val="18"/>
                <w:szCs w:val="18"/>
              </w:rPr>
            </w:pPr>
            <w:r w:rsidRPr="002C224A">
              <w:rPr>
                <w:b/>
                <w:bCs/>
                <w:color w:val="FFFFFF"/>
                <w:sz w:val="18"/>
                <w:szCs w:val="18"/>
              </w:rPr>
              <w:t> </w:t>
            </w:r>
          </w:p>
        </w:tc>
        <w:tc>
          <w:tcPr>
            <w:tcW w:w="1562" w:type="dxa"/>
            <w:tcBorders>
              <w:top w:val="single" w:sz="4" w:space="0" w:color="002776"/>
              <w:left w:val="nil"/>
              <w:bottom w:val="nil"/>
              <w:right w:val="nil"/>
            </w:tcBorders>
            <w:shd w:val="clear" w:color="000000" w:fill="002776"/>
            <w:noWrap/>
            <w:vAlign w:val="bottom"/>
          </w:tcPr>
          <w:p w:rsidR="006D67F1" w:rsidRPr="002C224A" w:rsidRDefault="006D67F1" w:rsidP="00AC4E40">
            <w:pPr>
              <w:jc w:val="left"/>
              <w:rPr>
                <w:b/>
                <w:bCs/>
                <w:color w:val="FFFFFF"/>
                <w:sz w:val="18"/>
                <w:szCs w:val="18"/>
              </w:rPr>
            </w:pPr>
            <w:r w:rsidRPr="002C224A">
              <w:rPr>
                <w:b/>
                <w:bCs/>
                <w:color w:val="FFFFFF"/>
                <w:sz w:val="18"/>
                <w:szCs w:val="18"/>
              </w:rPr>
              <w:t> </w:t>
            </w:r>
          </w:p>
        </w:tc>
        <w:tc>
          <w:tcPr>
            <w:tcW w:w="3426" w:type="dxa"/>
            <w:gridSpan w:val="2"/>
            <w:tcBorders>
              <w:top w:val="single" w:sz="4" w:space="0" w:color="002776"/>
              <w:left w:val="nil"/>
              <w:bottom w:val="single" w:sz="4" w:space="0" w:color="FFFFFF"/>
              <w:right w:val="single" w:sz="4" w:space="0" w:color="002776"/>
            </w:tcBorders>
            <w:shd w:val="clear" w:color="000000" w:fill="002776"/>
            <w:vAlign w:val="bottom"/>
          </w:tcPr>
          <w:p w:rsidR="006D67F1" w:rsidRPr="002C224A" w:rsidRDefault="006D67F1" w:rsidP="00AC4E40">
            <w:pPr>
              <w:ind w:left="-678"/>
              <w:jc w:val="right"/>
              <w:rPr>
                <w:b/>
                <w:bCs/>
                <w:i/>
                <w:iCs/>
                <w:color w:val="FFFFFF"/>
                <w:sz w:val="18"/>
                <w:szCs w:val="18"/>
              </w:rPr>
            </w:pPr>
            <w:r w:rsidRPr="002C224A">
              <w:rPr>
                <w:b/>
                <w:bCs/>
                <w:i/>
                <w:iCs/>
                <w:color w:val="FFFFFF"/>
                <w:sz w:val="18"/>
                <w:szCs w:val="18"/>
              </w:rPr>
              <w:t xml:space="preserve">Investice: 2 555 984 Kč </w:t>
            </w:r>
            <w:r w:rsidRPr="002C224A">
              <w:rPr>
                <w:b/>
                <w:bCs/>
                <w:i/>
                <w:iCs/>
                <w:color w:val="FFFFFF"/>
                <w:sz w:val="18"/>
                <w:szCs w:val="18"/>
              </w:rPr>
              <w:br/>
              <w:t>Roční výnos/úspora: 277 386 Kč</w:t>
            </w:r>
            <w:r w:rsidRPr="002C224A">
              <w:rPr>
                <w:b/>
                <w:bCs/>
                <w:i/>
                <w:iCs/>
                <w:color w:val="FFFFFF"/>
                <w:sz w:val="18"/>
                <w:szCs w:val="18"/>
              </w:rPr>
              <w:br/>
              <w:t xml:space="preserve">Komerční úvěr - úroková sazba: 2,50 % Zvýhodněný úvěr- úroková sazba: 1,50 % </w:t>
            </w:r>
          </w:p>
        </w:tc>
      </w:tr>
      <w:tr w:rsidR="006D67F1" w:rsidRPr="002C224A" w:rsidTr="00AC4E40">
        <w:trPr>
          <w:trHeight w:val="20"/>
        </w:trPr>
        <w:tc>
          <w:tcPr>
            <w:tcW w:w="2380" w:type="dxa"/>
            <w:tcBorders>
              <w:top w:val="nil"/>
              <w:left w:val="single" w:sz="4" w:space="0" w:color="002776"/>
              <w:bottom w:val="single" w:sz="4" w:space="0" w:color="002776"/>
              <w:right w:val="nil"/>
            </w:tcBorders>
            <w:shd w:val="clear" w:color="000000" w:fill="002776"/>
            <w:noWrap/>
            <w:vAlign w:val="center"/>
          </w:tcPr>
          <w:p w:rsidR="006D67F1" w:rsidRPr="002C224A" w:rsidRDefault="006D67F1" w:rsidP="00AC4E40">
            <w:pPr>
              <w:jc w:val="left"/>
              <w:rPr>
                <w:b/>
                <w:bCs/>
                <w:color w:val="FFFFFF"/>
                <w:sz w:val="18"/>
                <w:szCs w:val="18"/>
              </w:rPr>
            </w:pPr>
            <w:r w:rsidRPr="002C224A">
              <w:rPr>
                <w:b/>
                <w:bCs/>
                <w:color w:val="FFFFFF"/>
                <w:sz w:val="18"/>
                <w:szCs w:val="18"/>
              </w:rPr>
              <w:t> </w:t>
            </w:r>
          </w:p>
        </w:tc>
        <w:tc>
          <w:tcPr>
            <w:tcW w:w="1554" w:type="dxa"/>
            <w:tcBorders>
              <w:top w:val="single" w:sz="4" w:space="0" w:color="FFFFFF"/>
              <w:left w:val="nil"/>
              <w:bottom w:val="single" w:sz="4" w:space="0" w:color="002776"/>
              <w:right w:val="nil"/>
            </w:tcBorders>
            <w:shd w:val="clear" w:color="000000" w:fill="002776"/>
            <w:noWrap/>
            <w:vAlign w:val="center"/>
          </w:tcPr>
          <w:p w:rsidR="006D67F1" w:rsidRPr="002C224A" w:rsidRDefault="006D67F1" w:rsidP="00AC4E40">
            <w:pPr>
              <w:jc w:val="center"/>
              <w:rPr>
                <w:b/>
                <w:bCs/>
                <w:color w:val="FFFFFF"/>
                <w:sz w:val="18"/>
                <w:szCs w:val="18"/>
              </w:rPr>
            </w:pPr>
            <w:r w:rsidRPr="002C224A">
              <w:rPr>
                <w:b/>
                <w:bCs/>
                <w:color w:val="FFFFFF"/>
                <w:sz w:val="18"/>
                <w:szCs w:val="18"/>
              </w:rPr>
              <w:t>100 % tržní úvěr</w:t>
            </w:r>
          </w:p>
        </w:tc>
        <w:tc>
          <w:tcPr>
            <w:tcW w:w="1562" w:type="dxa"/>
            <w:tcBorders>
              <w:top w:val="single" w:sz="4" w:space="0" w:color="FFFFFF"/>
              <w:left w:val="nil"/>
              <w:bottom w:val="single" w:sz="4" w:space="0" w:color="002776"/>
              <w:right w:val="nil"/>
            </w:tcBorders>
            <w:shd w:val="clear" w:color="000000" w:fill="002776"/>
            <w:vAlign w:val="center"/>
          </w:tcPr>
          <w:p w:rsidR="006D67F1" w:rsidRPr="002C224A" w:rsidRDefault="006D67F1" w:rsidP="00AC4E40">
            <w:pPr>
              <w:jc w:val="center"/>
              <w:rPr>
                <w:b/>
                <w:bCs/>
                <w:color w:val="FFFFFF"/>
                <w:sz w:val="18"/>
                <w:szCs w:val="18"/>
              </w:rPr>
            </w:pPr>
            <w:r w:rsidRPr="002C224A">
              <w:rPr>
                <w:b/>
                <w:bCs/>
                <w:color w:val="FFFFFF"/>
                <w:sz w:val="18"/>
                <w:szCs w:val="18"/>
              </w:rPr>
              <w:t>50 % tržní úvěr, 50 % dotace</w:t>
            </w:r>
          </w:p>
        </w:tc>
        <w:tc>
          <w:tcPr>
            <w:tcW w:w="1724" w:type="dxa"/>
            <w:tcBorders>
              <w:top w:val="nil"/>
              <w:left w:val="nil"/>
              <w:bottom w:val="single" w:sz="4" w:space="0" w:color="002776"/>
              <w:right w:val="nil"/>
            </w:tcBorders>
            <w:shd w:val="clear" w:color="000000" w:fill="002776"/>
            <w:vAlign w:val="center"/>
          </w:tcPr>
          <w:p w:rsidR="006D67F1" w:rsidRPr="002C224A" w:rsidRDefault="006D67F1" w:rsidP="00AC4E40">
            <w:pPr>
              <w:jc w:val="center"/>
              <w:rPr>
                <w:b/>
                <w:bCs/>
                <w:color w:val="FFFFFF"/>
                <w:sz w:val="18"/>
                <w:szCs w:val="18"/>
              </w:rPr>
            </w:pPr>
            <w:r w:rsidRPr="002C224A">
              <w:rPr>
                <w:b/>
                <w:bCs/>
                <w:color w:val="FFFFFF"/>
                <w:sz w:val="18"/>
                <w:szCs w:val="18"/>
              </w:rPr>
              <w:t>20 % dotace, 80 % zvýhodněný úvěr</w:t>
            </w:r>
          </w:p>
        </w:tc>
        <w:tc>
          <w:tcPr>
            <w:tcW w:w="1702" w:type="dxa"/>
            <w:tcBorders>
              <w:top w:val="nil"/>
              <w:left w:val="nil"/>
              <w:bottom w:val="single" w:sz="4" w:space="0" w:color="002776"/>
              <w:right w:val="single" w:sz="4" w:space="0" w:color="002776"/>
            </w:tcBorders>
            <w:shd w:val="clear" w:color="000000" w:fill="002776"/>
            <w:vAlign w:val="center"/>
          </w:tcPr>
          <w:p w:rsidR="006D67F1" w:rsidRPr="002C224A" w:rsidRDefault="006D67F1" w:rsidP="00AC4E40">
            <w:pPr>
              <w:jc w:val="center"/>
              <w:rPr>
                <w:b/>
                <w:bCs/>
                <w:color w:val="FFFFFF"/>
                <w:sz w:val="18"/>
                <w:szCs w:val="18"/>
              </w:rPr>
            </w:pPr>
            <w:r w:rsidRPr="002C224A">
              <w:rPr>
                <w:b/>
                <w:bCs/>
                <w:color w:val="FFFFFF"/>
                <w:sz w:val="18"/>
                <w:szCs w:val="18"/>
              </w:rPr>
              <w:t>100 % zvýhodněný úvěr</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jc w:val="left"/>
              <w:rPr>
                <w:color w:val="000000"/>
                <w:sz w:val="18"/>
                <w:szCs w:val="18"/>
              </w:rPr>
            </w:pPr>
            <w:r w:rsidRPr="002C224A">
              <w:rPr>
                <w:color w:val="000000"/>
                <w:sz w:val="18"/>
                <w:szCs w:val="18"/>
              </w:rPr>
              <w:t>Vnitřní výnosové procento (IRR)</w:t>
            </w:r>
          </w:p>
        </w:tc>
        <w:tc>
          <w:tcPr>
            <w:tcW w:w="155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8,87%</w:t>
            </w:r>
          </w:p>
        </w:tc>
        <w:tc>
          <w:tcPr>
            <w:tcW w:w="1562"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21,24%</w:t>
            </w:r>
          </w:p>
        </w:tc>
        <w:tc>
          <w:tcPr>
            <w:tcW w:w="172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12,21%</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jc w:val="center"/>
              <w:rPr>
                <w:color w:val="000000"/>
                <w:sz w:val="18"/>
                <w:szCs w:val="18"/>
              </w:rPr>
            </w:pPr>
            <w:r w:rsidRPr="002C224A">
              <w:rPr>
                <w:color w:val="000000"/>
                <w:szCs w:val="19"/>
              </w:rPr>
              <w:t>8,87%</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jc w:val="left"/>
              <w:rPr>
                <w:color w:val="000000"/>
                <w:sz w:val="18"/>
                <w:szCs w:val="18"/>
              </w:rPr>
            </w:pPr>
            <w:r w:rsidRPr="002C224A">
              <w:rPr>
                <w:color w:val="000000"/>
                <w:sz w:val="18"/>
                <w:szCs w:val="18"/>
              </w:rPr>
              <w:t>Čistá současná hodnota (NPV v Kč)</w:t>
            </w:r>
          </w:p>
        </w:tc>
        <w:tc>
          <w:tcPr>
            <w:tcW w:w="155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1 725 103</w:t>
            </w:r>
          </w:p>
        </w:tc>
        <w:tc>
          <w:tcPr>
            <w:tcW w:w="1562"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2 971 925</w:t>
            </w:r>
          </w:p>
        </w:tc>
        <w:tc>
          <w:tcPr>
            <w:tcW w:w="172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2 677 392</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jc w:val="center"/>
              <w:rPr>
                <w:color w:val="000000"/>
                <w:sz w:val="18"/>
                <w:szCs w:val="18"/>
              </w:rPr>
            </w:pPr>
            <w:r w:rsidRPr="002C224A">
              <w:rPr>
                <w:color w:val="000000"/>
                <w:szCs w:val="19"/>
              </w:rPr>
              <w:t>2 173 749</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jc w:val="left"/>
              <w:rPr>
                <w:color w:val="000000"/>
                <w:sz w:val="18"/>
                <w:szCs w:val="18"/>
              </w:rPr>
            </w:pPr>
            <w:r w:rsidRPr="002C224A">
              <w:rPr>
                <w:color w:val="000000"/>
                <w:sz w:val="18"/>
                <w:szCs w:val="18"/>
              </w:rPr>
              <w:t>Prostá doba návratnosti (roky)</w:t>
            </w:r>
          </w:p>
        </w:tc>
        <w:tc>
          <w:tcPr>
            <w:tcW w:w="155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9,21</w:t>
            </w:r>
          </w:p>
        </w:tc>
        <w:tc>
          <w:tcPr>
            <w:tcW w:w="1562"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4,61</w:t>
            </w:r>
          </w:p>
        </w:tc>
        <w:tc>
          <w:tcPr>
            <w:tcW w:w="172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7,37</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jc w:val="center"/>
              <w:rPr>
                <w:color w:val="000000"/>
                <w:sz w:val="18"/>
                <w:szCs w:val="18"/>
              </w:rPr>
            </w:pPr>
            <w:r w:rsidRPr="002C224A">
              <w:rPr>
                <w:color w:val="000000"/>
                <w:szCs w:val="19"/>
              </w:rPr>
              <w:t>9,21</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jc w:val="left"/>
              <w:rPr>
                <w:color w:val="000000"/>
                <w:sz w:val="18"/>
                <w:szCs w:val="18"/>
              </w:rPr>
            </w:pPr>
            <w:r w:rsidRPr="002C224A">
              <w:rPr>
                <w:color w:val="000000"/>
                <w:sz w:val="18"/>
                <w:szCs w:val="18"/>
              </w:rPr>
              <w:t>Diskontovaná doba návratnosti (roky)</w:t>
            </w:r>
          </w:p>
        </w:tc>
        <w:tc>
          <w:tcPr>
            <w:tcW w:w="155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10,6</w:t>
            </w:r>
          </w:p>
        </w:tc>
        <w:tc>
          <w:tcPr>
            <w:tcW w:w="1562"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4,9</w:t>
            </w:r>
          </w:p>
        </w:tc>
        <w:tc>
          <w:tcPr>
            <w:tcW w:w="1724" w:type="dxa"/>
            <w:tcBorders>
              <w:top w:val="nil"/>
              <w:left w:val="nil"/>
              <w:bottom w:val="single" w:sz="4" w:space="0" w:color="002776"/>
              <w:right w:val="nil"/>
            </w:tcBorders>
            <w:noWrap/>
            <w:vAlign w:val="center"/>
          </w:tcPr>
          <w:p w:rsidR="006D67F1" w:rsidRPr="002C224A" w:rsidRDefault="006D67F1" w:rsidP="00AC4E40">
            <w:pPr>
              <w:jc w:val="center"/>
              <w:rPr>
                <w:color w:val="000000"/>
                <w:sz w:val="18"/>
                <w:szCs w:val="18"/>
              </w:rPr>
            </w:pPr>
            <w:r w:rsidRPr="002C224A">
              <w:rPr>
                <w:color w:val="000000"/>
                <w:szCs w:val="19"/>
              </w:rPr>
              <w:t>7,9</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jc w:val="center"/>
              <w:rPr>
                <w:color w:val="000000"/>
                <w:sz w:val="18"/>
                <w:szCs w:val="18"/>
              </w:rPr>
            </w:pPr>
            <w:r w:rsidRPr="002C224A">
              <w:rPr>
                <w:color w:val="000000"/>
                <w:szCs w:val="19"/>
              </w:rPr>
              <w:t>9,99</w:t>
            </w:r>
          </w:p>
        </w:tc>
      </w:tr>
    </w:tbl>
    <w:p w:rsidR="006D67F1" w:rsidRPr="002C224A" w:rsidRDefault="006D67F1" w:rsidP="00BD1BBA">
      <w:pPr>
        <w:pStyle w:val="Titulek"/>
        <w:jc w:val="center"/>
      </w:pPr>
      <w:r w:rsidRPr="002C224A">
        <w:t xml:space="preserve">Tabulka </w:t>
      </w:r>
      <w:r w:rsidR="00C00DF0" w:rsidRPr="002C224A">
        <w:t>7</w:t>
      </w:r>
      <w:r w:rsidR="00F6076B">
        <w:t>9</w:t>
      </w:r>
      <w:r w:rsidRPr="002C224A">
        <w:t xml:space="preserve"> - Vliv podpory na ekonomiku projektu</w:t>
      </w:r>
    </w:p>
    <w:p w:rsidR="00AB0114" w:rsidRPr="00A50943" w:rsidRDefault="00AB0114" w:rsidP="00BD1BBA"/>
    <w:p w:rsidR="00AB0114" w:rsidRPr="002C224A" w:rsidRDefault="00AB0114" w:rsidP="00AB0114">
      <w:pPr>
        <w:pStyle w:val="BodyText1"/>
        <w:jc w:val="both"/>
        <w:rPr>
          <w:rFonts w:ascii="Calibri" w:hAnsi="Calibri"/>
        </w:rPr>
      </w:pPr>
      <w:r w:rsidRPr="002C224A">
        <w:rPr>
          <w:rFonts w:ascii="Calibri" w:hAnsi="Calibri"/>
        </w:rPr>
        <w:t>Předmětem typového projektu č. 2 je využití odpadního tepla pecí pro přípravu teplé užitkové vody a pro vytápění provozu v dvojpodlažní cihlové budov</w:t>
      </w:r>
      <w:r w:rsidR="004B6B9D" w:rsidRPr="002C224A">
        <w:rPr>
          <w:rFonts w:ascii="Calibri" w:hAnsi="Calibri"/>
        </w:rPr>
        <w:t>ě podpořený v OP PI</w:t>
      </w:r>
      <w:r w:rsidRPr="002C224A">
        <w:rPr>
          <w:rFonts w:ascii="Calibri" w:hAnsi="Calibri"/>
        </w:rPr>
        <w:t xml:space="preserve">. Společnost působící v nemovitosti </w:t>
      </w:r>
      <w:r w:rsidR="00D82695" w:rsidRPr="002C224A">
        <w:rPr>
          <w:rFonts w:ascii="Calibri" w:hAnsi="Calibri"/>
        </w:rPr>
        <w:t>je středním podnikem, jež se zabývá pekárenskou výrobou.</w:t>
      </w:r>
      <w:r w:rsidRPr="002C224A">
        <w:rPr>
          <w:rFonts w:ascii="Calibri" w:hAnsi="Calibri"/>
        </w:rPr>
        <w:t xml:space="preserve"> Investice počítá se snížením spotřeby energií o 8,38 %, co přinese úsporu 178 200 Kč/ročně a snížení emisí o 25 t ročně. Způsobilé výdaje na realizaci jsou </w:t>
      </w:r>
      <w:smartTag w:uri="urn:schemas-microsoft-com:office:smarttags" w:element="metricconverter">
        <w:smartTagPr>
          <w:attr w:name="ProductID" w:val="1,37 mil"/>
        </w:smartTagPr>
        <w:r w:rsidRPr="002C224A">
          <w:rPr>
            <w:rFonts w:ascii="Calibri" w:hAnsi="Calibri"/>
          </w:rPr>
          <w:t>1,37 mil</w:t>
        </w:r>
      </w:smartTag>
      <w:r w:rsidRPr="002C224A">
        <w:rPr>
          <w:rFonts w:ascii="Calibri" w:hAnsi="Calibri"/>
        </w:rPr>
        <w:t xml:space="preserve">. Kč. Celkové náklady včetně DPH, energetického auditu (40 000 Kč) a poradenských služeb (39 000 Kč) dosahují téměř </w:t>
      </w:r>
      <w:smartTag w:uri="urn:schemas-microsoft-com:office:smarttags" w:element="metricconverter">
        <w:smartTagPr>
          <w:attr w:name="ProductID" w:val="1,74 mil"/>
        </w:smartTagPr>
        <w:r w:rsidRPr="002C224A">
          <w:rPr>
            <w:rFonts w:ascii="Calibri" w:hAnsi="Calibri"/>
          </w:rPr>
          <w:t>1,74 mil</w:t>
        </w:r>
      </w:smartTag>
      <w:r w:rsidRPr="002C224A">
        <w:rPr>
          <w:rFonts w:ascii="Calibri" w:hAnsi="Calibri"/>
        </w:rPr>
        <w:t>. Kč. Výše dotace byla vyplacená po zrealizování investice ve výši 40 % ze způsobilých nákladů, zbytek si hradil koncový příjemce z vlastních zdrojů a bankovního úvěru.</w:t>
      </w:r>
    </w:p>
    <w:p w:rsidR="00AB0114" w:rsidRPr="002C224A" w:rsidRDefault="00AB0114" w:rsidP="00AB0114">
      <w:pPr>
        <w:pStyle w:val="BodyText1"/>
        <w:jc w:val="both"/>
        <w:rPr>
          <w:rFonts w:ascii="Calibri" w:hAnsi="Calibri"/>
        </w:rPr>
      </w:pPr>
    </w:p>
    <w:tbl>
      <w:tblPr>
        <w:tblW w:w="9025" w:type="dxa"/>
        <w:tblInd w:w="55" w:type="dxa"/>
        <w:tblCellMar>
          <w:left w:w="0" w:type="dxa"/>
          <w:right w:w="0" w:type="dxa"/>
        </w:tblCellMar>
        <w:tblLook w:val="04A0" w:firstRow="1" w:lastRow="0" w:firstColumn="1" w:lastColumn="0" w:noHBand="0" w:noVBand="1"/>
      </w:tblPr>
      <w:tblGrid>
        <w:gridCol w:w="2411"/>
        <w:gridCol w:w="1584"/>
        <w:gridCol w:w="1584"/>
        <w:gridCol w:w="1754"/>
        <w:gridCol w:w="1732"/>
      </w:tblGrid>
      <w:tr w:rsidR="00AB0114" w:rsidRPr="002C224A" w:rsidTr="006C69C1">
        <w:trPr>
          <w:trHeight w:val="1080"/>
        </w:trPr>
        <w:tc>
          <w:tcPr>
            <w:tcW w:w="2403" w:type="dxa"/>
            <w:tcBorders>
              <w:top w:val="single" w:sz="4" w:space="0" w:color="002776"/>
              <w:left w:val="single" w:sz="4" w:space="0" w:color="002776"/>
              <w:bottom w:val="nil"/>
              <w:right w:val="nil"/>
            </w:tcBorders>
            <w:shd w:val="clear" w:color="000000" w:fill="002776"/>
            <w:noWrap/>
            <w:vAlign w:val="center"/>
          </w:tcPr>
          <w:p w:rsidR="00AB0114" w:rsidRPr="00A50943" w:rsidRDefault="00AB0114" w:rsidP="00A706C8">
            <w:pPr>
              <w:keepNext/>
              <w:keepLines/>
              <w:jc w:val="center"/>
              <w:rPr>
                <w:b/>
                <w:bCs/>
                <w:color w:val="FFFFFF"/>
                <w:sz w:val="18"/>
                <w:szCs w:val="18"/>
              </w:rPr>
            </w:pPr>
            <w:r w:rsidRPr="00A50943">
              <w:rPr>
                <w:b/>
                <w:bCs/>
                <w:color w:val="FFFFFF"/>
                <w:sz w:val="18"/>
                <w:szCs w:val="18"/>
              </w:rPr>
              <w:t>Energetická účinnost – využití odpadního tepla</w:t>
            </w:r>
          </w:p>
        </w:tc>
        <w:tc>
          <w:tcPr>
            <w:tcW w:w="6622" w:type="dxa"/>
            <w:gridSpan w:val="4"/>
            <w:tcBorders>
              <w:top w:val="single" w:sz="4" w:space="0" w:color="002776"/>
              <w:left w:val="nil"/>
              <w:bottom w:val="single" w:sz="4" w:space="0" w:color="FFFFFF"/>
              <w:right w:val="single" w:sz="4" w:space="0" w:color="002776"/>
            </w:tcBorders>
            <w:shd w:val="clear" w:color="000000" w:fill="002776"/>
            <w:noWrap/>
            <w:vAlign w:val="bottom"/>
          </w:tcPr>
          <w:p w:rsidR="00AB0114" w:rsidRPr="002C224A" w:rsidRDefault="00AB0114" w:rsidP="00A706C8">
            <w:pPr>
              <w:keepNext/>
              <w:keepLines/>
              <w:jc w:val="left"/>
              <w:rPr>
                <w:b/>
                <w:bCs/>
                <w:color w:val="FFFFFF"/>
                <w:sz w:val="18"/>
                <w:szCs w:val="18"/>
              </w:rPr>
            </w:pPr>
          </w:p>
          <w:p w:rsidR="00AB0114" w:rsidRPr="002C224A" w:rsidRDefault="00AB0114" w:rsidP="00A706C8">
            <w:pPr>
              <w:keepNext/>
              <w:keepLines/>
              <w:jc w:val="right"/>
              <w:rPr>
                <w:b/>
                <w:bCs/>
                <w:i/>
                <w:iCs/>
                <w:color w:val="FFFFFF"/>
                <w:sz w:val="18"/>
                <w:szCs w:val="18"/>
              </w:rPr>
            </w:pPr>
            <w:r w:rsidRPr="002C224A">
              <w:rPr>
                <w:b/>
                <w:bCs/>
                <w:i/>
                <w:iCs/>
                <w:color w:val="FFFFFF"/>
                <w:sz w:val="18"/>
                <w:szCs w:val="18"/>
              </w:rPr>
              <w:t xml:space="preserve">Investice: 1 370 000 Kč </w:t>
            </w:r>
            <w:r w:rsidRPr="002C224A">
              <w:rPr>
                <w:b/>
                <w:bCs/>
                <w:i/>
                <w:iCs/>
                <w:color w:val="FFFFFF"/>
                <w:sz w:val="18"/>
                <w:szCs w:val="18"/>
              </w:rPr>
              <w:br/>
              <w:t>Roční provozní výnos/úspora: 178 200 Kč</w:t>
            </w:r>
            <w:r w:rsidRPr="002C224A">
              <w:rPr>
                <w:b/>
                <w:bCs/>
                <w:i/>
                <w:iCs/>
                <w:color w:val="FFFFFF"/>
                <w:sz w:val="18"/>
                <w:szCs w:val="18"/>
              </w:rPr>
              <w:br/>
              <w:t xml:space="preserve">Komerční úvěr - úroková sazba: 4,0 % </w:t>
            </w:r>
          </w:p>
          <w:p w:rsidR="00AB0114" w:rsidRPr="002C224A" w:rsidRDefault="00AB0114" w:rsidP="00A706C8">
            <w:pPr>
              <w:keepNext/>
              <w:keepLines/>
              <w:jc w:val="right"/>
              <w:rPr>
                <w:b/>
                <w:bCs/>
                <w:i/>
                <w:iCs/>
                <w:color w:val="FFFFFF"/>
                <w:sz w:val="18"/>
                <w:szCs w:val="18"/>
              </w:rPr>
            </w:pPr>
            <w:r w:rsidRPr="002C224A">
              <w:rPr>
                <w:b/>
                <w:bCs/>
                <w:i/>
                <w:iCs/>
                <w:color w:val="FFFFFF"/>
                <w:sz w:val="18"/>
                <w:szCs w:val="18"/>
              </w:rPr>
              <w:t xml:space="preserve">Zvýhodněný úvěr: úroková sazba: 1,0 %  </w:t>
            </w:r>
          </w:p>
        </w:tc>
      </w:tr>
      <w:tr w:rsidR="00AB0114" w:rsidRPr="002C224A" w:rsidTr="006C69C1">
        <w:trPr>
          <w:trHeight w:val="20"/>
        </w:trPr>
        <w:tc>
          <w:tcPr>
            <w:tcW w:w="2403" w:type="dxa"/>
            <w:tcBorders>
              <w:top w:val="nil"/>
              <w:left w:val="single" w:sz="4" w:space="0" w:color="002776"/>
              <w:bottom w:val="single" w:sz="4" w:space="0" w:color="002776"/>
              <w:right w:val="nil"/>
            </w:tcBorders>
            <w:shd w:val="clear" w:color="000000" w:fill="002776"/>
            <w:noWrap/>
            <w:vAlign w:val="center"/>
          </w:tcPr>
          <w:p w:rsidR="00AB0114" w:rsidRPr="002C224A" w:rsidRDefault="00AB0114" w:rsidP="00A706C8">
            <w:pPr>
              <w:keepNext/>
              <w:keepLines/>
              <w:jc w:val="left"/>
              <w:rPr>
                <w:b/>
                <w:bCs/>
                <w:color w:val="FFFFFF"/>
                <w:sz w:val="18"/>
                <w:szCs w:val="18"/>
              </w:rPr>
            </w:pPr>
            <w:r w:rsidRPr="002C224A">
              <w:rPr>
                <w:b/>
                <w:bCs/>
                <w:color w:val="FFFFFF"/>
                <w:sz w:val="18"/>
                <w:szCs w:val="18"/>
              </w:rPr>
              <w:t> </w:t>
            </w:r>
          </w:p>
        </w:tc>
        <w:tc>
          <w:tcPr>
            <w:tcW w:w="1576" w:type="dxa"/>
            <w:tcBorders>
              <w:top w:val="single" w:sz="4" w:space="0" w:color="FFFFFF"/>
              <w:left w:val="nil"/>
              <w:bottom w:val="single" w:sz="4" w:space="0" w:color="002776"/>
              <w:right w:val="nil"/>
            </w:tcBorders>
            <w:shd w:val="clear" w:color="000000" w:fill="002776"/>
            <w:noWrap/>
            <w:vAlign w:val="center"/>
          </w:tcPr>
          <w:p w:rsidR="00AB0114" w:rsidRPr="002C224A" w:rsidRDefault="00AB0114" w:rsidP="00A706C8">
            <w:pPr>
              <w:keepNext/>
              <w:keepLines/>
              <w:jc w:val="center"/>
              <w:rPr>
                <w:b/>
                <w:bCs/>
                <w:color w:val="FFFFFF"/>
                <w:sz w:val="18"/>
                <w:szCs w:val="18"/>
              </w:rPr>
            </w:pPr>
            <w:r w:rsidRPr="002C224A">
              <w:rPr>
                <w:b/>
                <w:bCs/>
                <w:color w:val="FFFFFF"/>
                <w:sz w:val="18"/>
                <w:szCs w:val="18"/>
              </w:rPr>
              <w:t>100 % tržní úvěr</w:t>
            </w:r>
          </w:p>
        </w:tc>
        <w:tc>
          <w:tcPr>
            <w:tcW w:w="1576" w:type="dxa"/>
            <w:tcBorders>
              <w:top w:val="single" w:sz="4" w:space="0" w:color="FFFFFF"/>
              <w:left w:val="nil"/>
              <w:bottom w:val="single" w:sz="4" w:space="0" w:color="002776"/>
              <w:right w:val="nil"/>
            </w:tcBorders>
            <w:shd w:val="clear" w:color="000000" w:fill="002776"/>
            <w:vAlign w:val="center"/>
          </w:tcPr>
          <w:p w:rsidR="00AB0114" w:rsidRPr="002C224A" w:rsidRDefault="00AB0114" w:rsidP="00A706C8">
            <w:pPr>
              <w:keepNext/>
              <w:keepLines/>
              <w:jc w:val="center"/>
              <w:rPr>
                <w:b/>
                <w:bCs/>
                <w:color w:val="FFFFFF"/>
                <w:sz w:val="18"/>
                <w:szCs w:val="18"/>
              </w:rPr>
            </w:pPr>
            <w:r w:rsidRPr="002C224A">
              <w:rPr>
                <w:b/>
                <w:bCs/>
                <w:color w:val="FFFFFF"/>
                <w:sz w:val="18"/>
                <w:szCs w:val="18"/>
              </w:rPr>
              <w:t>50 % tržní úvěr, 50 % dotace</w:t>
            </w:r>
          </w:p>
        </w:tc>
        <w:tc>
          <w:tcPr>
            <w:tcW w:w="1746" w:type="dxa"/>
            <w:tcBorders>
              <w:top w:val="single" w:sz="4" w:space="0" w:color="FFFFFF"/>
              <w:left w:val="nil"/>
              <w:bottom w:val="single" w:sz="4" w:space="0" w:color="002776"/>
              <w:right w:val="nil"/>
            </w:tcBorders>
            <w:shd w:val="clear" w:color="000000" w:fill="002776"/>
            <w:vAlign w:val="center"/>
          </w:tcPr>
          <w:p w:rsidR="00AB0114" w:rsidRPr="002C224A" w:rsidRDefault="00AB0114" w:rsidP="00A706C8">
            <w:pPr>
              <w:keepNext/>
              <w:keepLines/>
              <w:jc w:val="center"/>
              <w:rPr>
                <w:b/>
                <w:bCs/>
                <w:color w:val="FFFFFF"/>
                <w:sz w:val="18"/>
                <w:szCs w:val="18"/>
              </w:rPr>
            </w:pPr>
            <w:r w:rsidRPr="002C224A">
              <w:rPr>
                <w:b/>
                <w:bCs/>
                <w:color w:val="FFFFFF"/>
                <w:sz w:val="18"/>
                <w:szCs w:val="18"/>
              </w:rPr>
              <w:t>20 % dotace, 80 % zvýhodněný úvěr</w:t>
            </w:r>
          </w:p>
        </w:tc>
        <w:tc>
          <w:tcPr>
            <w:tcW w:w="1724" w:type="dxa"/>
            <w:tcBorders>
              <w:top w:val="single" w:sz="4" w:space="0" w:color="FFFFFF"/>
              <w:left w:val="nil"/>
              <w:bottom w:val="single" w:sz="4" w:space="0" w:color="002776"/>
              <w:right w:val="single" w:sz="4" w:space="0" w:color="002776"/>
            </w:tcBorders>
            <w:shd w:val="clear" w:color="000000" w:fill="002776"/>
            <w:vAlign w:val="center"/>
          </w:tcPr>
          <w:p w:rsidR="00AB0114" w:rsidRPr="002C224A" w:rsidRDefault="00AB0114" w:rsidP="00A706C8">
            <w:pPr>
              <w:keepNext/>
              <w:keepLines/>
              <w:jc w:val="center"/>
              <w:rPr>
                <w:b/>
                <w:bCs/>
                <w:color w:val="FFFFFF"/>
                <w:sz w:val="18"/>
                <w:szCs w:val="18"/>
              </w:rPr>
            </w:pPr>
            <w:r w:rsidRPr="002C224A">
              <w:rPr>
                <w:b/>
                <w:bCs/>
                <w:color w:val="FFFFFF"/>
                <w:sz w:val="18"/>
                <w:szCs w:val="18"/>
              </w:rPr>
              <w:t>100 % zvýhodněný úvěr</w:t>
            </w:r>
          </w:p>
        </w:tc>
      </w:tr>
      <w:tr w:rsidR="00AB0114" w:rsidRPr="002C224A" w:rsidTr="00A706C8">
        <w:trPr>
          <w:trHeight w:val="20"/>
        </w:trPr>
        <w:tc>
          <w:tcPr>
            <w:tcW w:w="2403" w:type="dxa"/>
            <w:tcBorders>
              <w:top w:val="nil"/>
              <w:left w:val="single" w:sz="4" w:space="0" w:color="002776"/>
              <w:bottom w:val="single" w:sz="4" w:space="0" w:color="002776"/>
              <w:right w:val="nil"/>
            </w:tcBorders>
            <w:shd w:val="clear" w:color="auto" w:fill="auto"/>
            <w:noWrap/>
            <w:vAlign w:val="center"/>
          </w:tcPr>
          <w:p w:rsidR="00AB0114" w:rsidRPr="002C224A" w:rsidRDefault="00AB0114" w:rsidP="00A706C8">
            <w:pPr>
              <w:keepNext/>
              <w:keepLines/>
              <w:jc w:val="left"/>
              <w:rPr>
                <w:color w:val="000000"/>
                <w:sz w:val="18"/>
                <w:szCs w:val="18"/>
              </w:rPr>
            </w:pPr>
            <w:r w:rsidRPr="002C224A">
              <w:rPr>
                <w:color w:val="000000"/>
                <w:sz w:val="18"/>
                <w:szCs w:val="18"/>
              </w:rPr>
              <w:t>Vnitřní výnosové procento (IRR)</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11,54%</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25,75%</w:t>
            </w:r>
          </w:p>
        </w:tc>
        <w:tc>
          <w:tcPr>
            <w:tcW w:w="174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15,32%</w:t>
            </w:r>
          </w:p>
        </w:tc>
        <w:tc>
          <w:tcPr>
            <w:tcW w:w="1724" w:type="dxa"/>
            <w:tcBorders>
              <w:top w:val="nil"/>
              <w:left w:val="nil"/>
              <w:bottom w:val="single" w:sz="4" w:space="0" w:color="002776"/>
              <w:right w:val="single" w:sz="4" w:space="0" w:color="002776"/>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11,54%</w:t>
            </w:r>
          </w:p>
        </w:tc>
      </w:tr>
      <w:tr w:rsidR="00AB0114" w:rsidRPr="002C224A" w:rsidTr="00A706C8">
        <w:trPr>
          <w:trHeight w:val="20"/>
        </w:trPr>
        <w:tc>
          <w:tcPr>
            <w:tcW w:w="2403" w:type="dxa"/>
            <w:tcBorders>
              <w:top w:val="nil"/>
              <w:left w:val="single" w:sz="4" w:space="0" w:color="002776"/>
              <w:bottom w:val="single" w:sz="4" w:space="0" w:color="002776"/>
              <w:right w:val="nil"/>
            </w:tcBorders>
            <w:shd w:val="clear" w:color="auto" w:fill="auto"/>
            <w:noWrap/>
            <w:vAlign w:val="center"/>
          </w:tcPr>
          <w:p w:rsidR="00AB0114" w:rsidRPr="002C224A" w:rsidRDefault="00AB0114" w:rsidP="00A706C8">
            <w:pPr>
              <w:keepNext/>
              <w:keepLines/>
              <w:jc w:val="left"/>
              <w:rPr>
                <w:color w:val="000000"/>
                <w:sz w:val="18"/>
                <w:szCs w:val="18"/>
              </w:rPr>
            </w:pPr>
            <w:r w:rsidRPr="002C224A">
              <w:rPr>
                <w:color w:val="000000"/>
                <w:sz w:val="18"/>
                <w:szCs w:val="18"/>
              </w:rPr>
              <w:t>Čistá současná hodnota (NPV v Kč)</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1 011 342</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1 669 996</w:t>
            </w:r>
          </w:p>
        </w:tc>
        <w:tc>
          <w:tcPr>
            <w:tcW w:w="174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2 098 730</w:t>
            </w:r>
          </w:p>
        </w:tc>
        <w:tc>
          <w:tcPr>
            <w:tcW w:w="1724" w:type="dxa"/>
            <w:tcBorders>
              <w:top w:val="nil"/>
              <w:left w:val="nil"/>
              <w:bottom w:val="single" w:sz="4" w:space="0" w:color="002776"/>
              <w:right w:val="single" w:sz="4" w:space="0" w:color="002776"/>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1 827 443</w:t>
            </w:r>
          </w:p>
        </w:tc>
      </w:tr>
      <w:tr w:rsidR="00AB0114" w:rsidRPr="002C224A" w:rsidTr="00A706C8">
        <w:trPr>
          <w:trHeight w:val="20"/>
        </w:trPr>
        <w:tc>
          <w:tcPr>
            <w:tcW w:w="2403" w:type="dxa"/>
            <w:tcBorders>
              <w:top w:val="nil"/>
              <w:left w:val="single" w:sz="4" w:space="0" w:color="002776"/>
              <w:bottom w:val="single" w:sz="4" w:space="0" w:color="002776"/>
              <w:right w:val="nil"/>
            </w:tcBorders>
            <w:shd w:val="clear" w:color="auto" w:fill="auto"/>
            <w:noWrap/>
            <w:vAlign w:val="center"/>
          </w:tcPr>
          <w:p w:rsidR="00AB0114" w:rsidRPr="002C224A" w:rsidRDefault="00AB0114" w:rsidP="00A706C8">
            <w:pPr>
              <w:keepNext/>
              <w:keepLines/>
              <w:jc w:val="left"/>
              <w:rPr>
                <w:color w:val="000000"/>
                <w:sz w:val="18"/>
                <w:szCs w:val="18"/>
              </w:rPr>
            </w:pPr>
            <w:r w:rsidRPr="002C224A">
              <w:rPr>
                <w:color w:val="000000"/>
                <w:sz w:val="18"/>
                <w:szCs w:val="18"/>
              </w:rPr>
              <w:t>Prostá doba návratnosti (roky)</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7,69</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3,84</w:t>
            </w:r>
          </w:p>
        </w:tc>
        <w:tc>
          <w:tcPr>
            <w:tcW w:w="174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6,15</w:t>
            </w:r>
          </w:p>
        </w:tc>
        <w:tc>
          <w:tcPr>
            <w:tcW w:w="1724" w:type="dxa"/>
            <w:tcBorders>
              <w:top w:val="nil"/>
              <w:left w:val="nil"/>
              <w:bottom w:val="single" w:sz="4" w:space="0" w:color="002776"/>
              <w:right w:val="single" w:sz="4" w:space="0" w:color="002776"/>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7,69</w:t>
            </w:r>
          </w:p>
        </w:tc>
      </w:tr>
      <w:tr w:rsidR="00AB0114" w:rsidRPr="002C224A" w:rsidTr="00A706C8">
        <w:trPr>
          <w:trHeight w:val="20"/>
        </w:trPr>
        <w:tc>
          <w:tcPr>
            <w:tcW w:w="2403" w:type="dxa"/>
            <w:tcBorders>
              <w:top w:val="nil"/>
              <w:left w:val="single" w:sz="4" w:space="0" w:color="002776"/>
              <w:bottom w:val="single" w:sz="4" w:space="0" w:color="002776"/>
              <w:right w:val="nil"/>
            </w:tcBorders>
            <w:shd w:val="clear" w:color="auto" w:fill="auto"/>
            <w:noWrap/>
            <w:vAlign w:val="center"/>
          </w:tcPr>
          <w:p w:rsidR="00AB0114" w:rsidRPr="002C224A" w:rsidRDefault="00AB0114" w:rsidP="00A706C8">
            <w:pPr>
              <w:keepNext/>
              <w:keepLines/>
              <w:jc w:val="left"/>
              <w:rPr>
                <w:color w:val="000000"/>
                <w:sz w:val="18"/>
                <w:szCs w:val="18"/>
              </w:rPr>
            </w:pPr>
            <w:r w:rsidRPr="002C224A">
              <w:rPr>
                <w:color w:val="000000"/>
                <w:sz w:val="18"/>
                <w:szCs w:val="18"/>
              </w:rPr>
              <w:t>Diskontovaná doba návratnosti (roky)</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10,4</w:t>
            </w:r>
          </w:p>
        </w:tc>
        <w:tc>
          <w:tcPr>
            <w:tcW w:w="157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5,3</w:t>
            </w:r>
          </w:p>
        </w:tc>
        <w:tc>
          <w:tcPr>
            <w:tcW w:w="1746" w:type="dxa"/>
            <w:tcBorders>
              <w:top w:val="nil"/>
              <w:left w:val="nil"/>
              <w:bottom w:val="single" w:sz="4" w:space="0" w:color="002776"/>
              <w:right w:val="nil"/>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7,4</w:t>
            </w:r>
          </w:p>
        </w:tc>
        <w:tc>
          <w:tcPr>
            <w:tcW w:w="1724" w:type="dxa"/>
            <w:tcBorders>
              <w:top w:val="nil"/>
              <w:left w:val="nil"/>
              <w:bottom w:val="single" w:sz="4" w:space="0" w:color="002776"/>
              <w:right w:val="single" w:sz="4" w:space="0" w:color="002776"/>
            </w:tcBorders>
            <w:shd w:val="clear" w:color="auto" w:fill="auto"/>
            <w:noWrap/>
            <w:vAlign w:val="center"/>
          </w:tcPr>
          <w:p w:rsidR="00AB0114" w:rsidRPr="002C224A" w:rsidRDefault="00AB0114" w:rsidP="00A706C8">
            <w:pPr>
              <w:keepNext/>
              <w:keepLines/>
              <w:jc w:val="right"/>
              <w:rPr>
                <w:color w:val="000000"/>
                <w:sz w:val="18"/>
                <w:szCs w:val="18"/>
              </w:rPr>
            </w:pPr>
            <w:r w:rsidRPr="002C224A">
              <w:rPr>
                <w:sz w:val="18"/>
                <w:szCs w:val="18"/>
              </w:rPr>
              <w:t>9,0</w:t>
            </w:r>
          </w:p>
        </w:tc>
      </w:tr>
    </w:tbl>
    <w:p w:rsidR="00AB0114" w:rsidRPr="002C224A" w:rsidRDefault="00AB0114" w:rsidP="00AB0114">
      <w:pPr>
        <w:pStyle w:val="Titulek"/>
        <w:jc w:val="center"/>
      </w:pPr>
      <w:r w:rsidRPr="002C224A">
        <w:t>Tabulka</w:t>
      </w:r>
      <w:r w:rsidR="00F6076B">
        <w:t xml:space="preserve"> 80</w:t>
      </w:r>
      <w:r w:rsidRPr="002C224A">
        <w:t>: Vliv podpory na ekonomiku projektu</w:t>
      </w:r>
    </w:p>
    <w:p w:rsidR="00AB0114" w:rsidRPr="00A50943" w:rsidRDefault="00AB0114" w:rsidP="00AB0114"/>
    <w:p w:rsidR="004B6B9D" w:rsidRPr="002C224A" w:rsidRDefault="004B6B9D" w:rsidP="004B6B9D">
      <w:r w:rsidRPr="002C224A">
        <w:t>Oba projekty jsou charakteristické poměrně malým rozsahem a diskontovanou dobou návratnosti přesahující 10 let, která je činí obtížně realizovatelnými tržním způsobem. Dotační podpora v tomto případě může k jeho realizování výrazně pomoci, lze zde uvažovat i o menší míře dotace v </w:t>
      </w:r>
      <w:r w:rsidR="00433FCD" w:rsidRPr="002C224A">
        <w:t>či repayable assistance (návratné podpory konvertované do nenávratné v případě naplnění cílů projektu)v</w:t>
      </w:r>
      <w:r w:rsidRPr="002C224A">
        <w:t>i se zvýhodněným úvěrem.</w:t>
      </w:r>
    </w:p>
    <w:p w:rsidR="004B6B9D" w:rsidRPr="002C224A" w:rsidRDefault="004B6B9D" w:rsidP="004B6B9D"/>
    <w:p w:rsidR="004B6B9D" w:rsidRPr="002C224A" w:rsidRDefault="004B6B9D" w:rsidP="004B6B9D">
      <w:r w:rsidRPr="002C224A">
        <w:lastRenderedPageBreak/>
        <w:t>Výsledky výzev OP PI Eko-energie ukazují nezanedbatelný počet projektů s</w:t>
      </w:r>
      <w:r w:rsidR="00BA4E66" w:rsidRPr="002C224A">
        <w:t> IRR přesahujícím i bez podpory 15 %, které se z hlediska své návratnosti hodí lépe k podpoře pouze samotným zvýhodněným úvěrem.</w:t>
      </w:r>
    </w:p>
    <w:p w:rsidR="006D67F1" w:rsidRPr="002C224A" w:rsidRDefault="006D67F1" w:rsidP="00283266"/>
    <w:p w:rsidR="006D67F1" w:rsidRPr="002C224A" w:rsidRDefault="006D67F1" w:rsidP="00283266">
      <w:pPr>
        <w:pStyle w:val="Nadpis4"/>
        <w:rPr>
          <w:rFonts w:ascii="Calibri" w:hAnsi="Calibri"/>
        </w:rPr>
      </w:pPr>
      <w:r w:rsidRPr="002C224A">
        <w:rPr>
          <w:rFonts w:ascii="Calibri" w:hAnsi="Calibri"/>
        </w:rPr>
        <w:t>Přidaná hodnota finančního nástroje, problémy, rizika a srovnání s jinými formami podpory</w:t>
      </w:r>
    </w:p>
    <w:p w:rsidR="006D67F1" w:rsidRPr="002C224A" w:rsidRDefault="006D67F1" w:rsidP="00DE0CB4">
      <w:r w:rsidRPr="002C224A">
        <w:t>V rámci tabulek níže je uveden přehled přidané hodnoty, problémů a rizik z pohledu konečného příjemce a ŘO (tabulka č. 2) a z pohledu celkového dopadu na absorpční kapacitu a dosažení cílů SC 3.2, se zohledněním dopadů na tržní prostředí. Porovnány jsou nástroje formou záruk, zvýhodněných úvěrů a dotací.</w:t>
      </w:r>
    </w:p>
    <w:p w:rsidR="006D67F1" w:rsidRPr="002C224A" w:rsidRDefault="006D67F1" w:rsidP="00DE0CB4"/>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67F1" w:rsidRPr="002C224A" w:rsidTr="002E3AE9">
        <w:trPr>
          <w:trHeight w:val="315"/>
        </w:trPr>
        <w:tc>
          <w:tcPr>
            <w:tcW w:w="960" w:type="dxa"/>
            <w:shd w:val="clear" w:color="auto" w:fill="365F91"/>
            <w:noWrap/>
            <w:vAlign w:val="bottom"/>
          </w:tcPr>
          <w:p w:rsidR="006D67F1" w:rsidRPr="002C224A" w:rsidRDefault="006D67F1" w:rsidP="002E3AE9">
            <w:pPr>
              <w:jc w:val="left"/>
              <w:rPr>
                <w:sz w:val="24"/>
                <w:szCs w:val="24"/>
              </w:rPr>
            </w:pPr>
          </w:p>
        </w:tc>
        <w:tc>
          <w:tcPr>
            <w:tcW w:w="960" w:type="dxa"/>
            <w:shd w:val="clear" w:color="auto" w:fill="365F91"/>
            <w:noWrap/>
            <w:vAlign w:val="bottom"/>
          </w:tcPr>
          <w:p w:rsidR="006D67F1" w:rsidRPr="002C224A" w:rsidRDefault="006D67F1" w:rsidP="002E3AE9">
            <w:pPr>
              <w:jc w:val="left"/>
              <w:rPr>
                <w:color w:val="000000"/>
                <w:sz w:val="24"/>
                <w:szCs w:val="24"/>
              </w:rPr>
            </w:pPr>
            <w:r w:rsidRPr="002C224A">
              <w:rPr>
                <w:color w:val="000000"/>
                <w:sz w:val="24"/>
                <w:szCs w:val="24"/>
              </w:rPr>
              <w:t> </w:t>
            </w:r>
          </w:p>
        </w:tc>
        <w:tc>
          <w:tcPr>
            <w:tcW w:w="4744" w:type="dxa"/>
            <w:gridSpan w:val="2"/>
            <w:shd w:val="clear" w:color="auto" w:fill="365F91"/>
            <w:noWrap/>
            <w:vAlign w:val="center"/>
          </w:tcPr>
          <w:p w:rsidR="006D67F1" w:rsidRPr="00A50943" w:rsidRDefault="006D67F1" w:rsidP="002E3AE9">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2E3AE9">
            <w:pPr>
              <w:jc w:val="center"/>
              <w:rPr>
                <w:b/>
                <w:bCs/>
                <w:color w:val="FFFFFF"/>
                <w:sz w:val="24"/>
                <w:szCs w:val="24"/>
              </w:rPr>
            </w:pPr>
            <w:r w:rsidRPr="002C224A">
              <w:rPr>
                <w:b/>
                <w:bCs/>
                <w:color w:val="FFFFFF"/>
                <w:sz w:val="24"/>
                <w:szCs w:val="24"/>
              </w:rPr>
              <w:t>Dotace</w:t>
            </w:r>
          </w:p>
        </w:tc>
      </w:tr>
      <w:tr w:rsidR="006D67F1" w:rsidRPr="002C224A" w:rsidTr="002E3AE9">
        <w:trPr>
          <w:trHeight w:val="315"/>
        </w:trPr>
        <w:tc>
          <w:tcPr>
            <w:tcW w:w="960" w:type="dxa"/>
            <w:shd w:val="clear" w:color="auto" w:fill="365F91"/>
            <w:noWrap/>
            <w:vAlign w:val="center"/>
          </w:tcPr>
          <w:p w:rsidR="006D67F1" w:rsidRPr="002C224A" w:rsidRDefault="006D67F1" w:rsidP="002E3AE9">
            <w:pPr>
              <w:jc w:val="center"/>
              <w:rPr>
                <w:b/>
                <w:bCs/>
                <w:color w:val="000000"/>
                <w:sz w:val="24"/>
                <w:szCs w:val="24"/>
              </w:rPr>
            </w:pPr>
          </w:p>
        </w:tc>
        <w:tc>
          <w:tcPr>
            <w:tcW w:w="960" w:type="dxa"/>
            <w:shd w:val="clear" w:color="auto" w:fill="365F91"/>
            <w:noWrap/>
            <w:vAlign w:val="center"/>
          </w:tcPr>
          <w:p w:rsidR="006D67F1" w:rsidRPr="002C224A" w:rsidRDefault="006D67F1" w:rsidP="002E3AE9">
            <w:pPr>
              <w:jc w:val="left"/>
              <w:rPr>
                <w:color w:val="000000"/>
                <w:sz w:val="24"/>
                <w:szCs w:val="24"/>
              </w:rPr>
            </w:pPr>
            <w:r w:rsidRPr="002C224A">
              <w:rPr>
                <w:color w:val="000000"/>
                <w:sz w:val="24"/>
                <w:szCs w:val="24"/>
              </w:rPr>
              <w:t> </w:t>
            </w:r>
          </w:p>
        </w:tc>
        <w:tc>
          <w:tcPr>
            <w:tcW w:w="2414" w:type="dxa"/>
            <w:shd w:val="clear" w:color="auto" w:fill="365F91"/>
            <w:vAlign w:val="center"/>
          </w:tcPr>
          <w:p w:rsidR="006D67F1" w:rsidRPr="002C224A" w:rsidRDefault="006D67F1" w:rsidP="002E3AE9">
            <w:pPr>
              <w:jc w:val="center"/>
              <w:rPr>
                <w:b/>
                <w:bCs/>
                <w:color w:val="FFFFFF"/>
                <w:sz w:val="24"/>
                <w:szCs w:val="24"/>
              </w:rPr>
            </w:pPr>
            <w:r w:rsidRPr="002C224A">
              <w:rPr>
                <w:b/>
                <w:bCs/>
                <w:color w:val="FFFFFF"/>
                <w:sz w:val="24"/>
                <w:szCs w:val="24"/>
              </w:rPr>
              <w:t>Záruční nástroj</w:t>
            </w:r>
          </w:p>
        </w:tc>
        <w:tc>
          <w:tcPr>
            <w:tcW w:w="2330" w:type="dxa"/>
            <w:shd w:val="clear" w:color="auto" w:fill="365F91"/>
            <w:vAlign w:val="center"/>
          </w:tcPr>
          <w:p w:rsidR="006D67F1" w:rsidRPr="002C224A" w:rsidRDefault="006D67F1" w:rsidP="002E3AE9">
            <w:pPr>
              <w:jc w:val="center"/>
              <w:rPr>
                <w:b/>
                <w:bCs/>
                <w:color w:val="FFFFFF"/>
                <w:sz w:val="24"/>
                <w:szCs w:val="24"/>
              </w:rPr>
            </w:pPr>
            <w:r w:rsidRPr="002C224A">
              <w:rPr>
                <w:b/>
                <w:bCs/>
                <w:color w:val="FFFFFF"/>
                <w:sz w:val="24"/>
                <w:szCs w:val="24"/>
              </w:rPr>
              <w:t>Zvýhodněný úvěr</w:t>
            </w:r>
          </w:p>
        </w:tc>
        <w:tc>
          <w:tcPr>
            <w:tcW w:w="2330" w:type="dxa"/>
            <w:shd w:val="clear" w:color="auto" w:fill="365F91"/>
          </w:tcPr>
          <w:p w:rsidR="006D67F1" w:rsidRPr="002C224A" w:rsidRDefault="006D67F1" w:rsidP="002E3AE9">
            <w:pPr>
              <w:jc w:val="center"/>
              <w:rPr>
                <w:b/>
                <w:bCs/>
                <w:color w:val="FFFFFF"/>
                <w:sz w:val="24"/>
                <w:szCs w:val="24"/>
              </w:rPr>
            </w:pPr>
          </w:p>
        </w:tc>
      </w:tr>
      <w:tr w:rsidR="006D67F1" w:rsidRPr="002C224A" w:rsidTr="002E3AE9">
        <w:trPr>
          <w:trHeight w:val="720"/>
        </w:trPr>
        <w:tc>
          <w:tcPr>
            <w:tcW w:w="960" w:type="dxa"/>
            <w:vMerge w:val="restart"/>
            <w:shd w:val="clear" w:color="auto" w:fill="8DB3E2"/>
            <w:noWrap/>
            <w:textDirection w:val="btLr"/>
            <w:vAlign w:val="center"/>
          </w:tcPr>
          <w:p w:rsidR="006D67F1" w:rsidRPr="002C224A" w:rsidRDefault="003D7EB1" w:rsidP="002E3AE9">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Konečný příjemce</w:t>
            </w: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Zpřístupnění nedosažitelného financování</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Zpřístupnění vyšší míry externího financování</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Nevratný příspěvek na projekt</w:t>
            </w:r>
          </w:p>
        </w:tc>
      </w:tr>
      <w:tr w:rsidR="006D67F1" w:rsidRPr="002C224A" w:rsidTr="002E3AE9">
        <w:trPr>
          <w:trHeight w:val="48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Částečné snížení úrokové sazby snížením rizikové přirážky</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Snížení úrokové sazby</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 xml:space="preserve">Vysoce snížená doba návratnosti </w:t>
            </w:r>
          </w:p>
        </w:tc>
      </w:tr>
      <w:tr w:rsidR="006D67F1" w:rsidRPr="002C224A" w:rsidTr="002E3AE9">
        <w:trPr>
          <w:trHeight w:val="72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Snížení nároků na zástavu podniku</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Snazší opatření úvěru na zbytek nákladů projektu</w:t>
            </w:r>
          </w:p>
        </w:tc>
      </w:tr>
      <w:tr w:rsidR="006D67F1" w:rsidRPr="002C224A" w:rsidTr="002E3AE9">
        <w:trPr>
          <w:trHeight w:val="478"/>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noWrap/>
            <w:vAlign w:val="center"/>
          </w:tcPr>
          <w:p w:rsidR="006D67F1" w:rsidRPr="002C224A" w:rsidRDefault="006D67F1" w:rsidP="002E3AE9">
            <w:pPr>
              <w:jc w:val="center"/>
              <w:rPr>
                <w:b/>
                <w:color w:val="FFFFFF"/>
                <w:sz w:val="20"/>
              </w:rPr>
            </w:pP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Snížená doba návratnosti</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Možnost investovat nadměrný zisk do dalších investic</w:t>
            </w:r>
          </w:p>
        </w:tc>
      </w:tr>
      <w:tr w:rsidR="006D67F1" w:rsidRPr="002C224A" w:rsidTr="002E3AE9">
        <w:trPr>
          <w:trHeight w:val="68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Platba v předstihu v podobě úvěru</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2E3AE9">
            <w:pPr>
              <w:jc w:val="center"/>
              <w:rPr>
                <w:b/>
                <w:color w:val="FFFFFF"/>
                <w:sz w:val="20"/>
              </w:rPr>
            </w:pPr>
          </w:p>
        </w:tc>
      </w:tr>
      <w:tr w:rsidR="006D67F1" w:rsidRPr="002C224A" w:rsidTr="002E3AE9">
        <w:trPr>
          <w:trHeight w:val="69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Nižší administrativní náročnost</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2E3AE9">
            <w:pPr>
              <w:jc w:val="left"/>
              <w:rPr>
                <w:b/>
                <w:color w:val="FFFFFF"/>
                <w:sz w:val="20"/>
              </w:rPr>
            </w:pPr>
          </w:p>
        </w:tc>
      </w:tr>
      <w:tr w:rsidR="006D67F1" w:rsidRPr="002C224A" w:rsidTr="002E3AE9">
        <w:trPr>
          <w:trHeight w:val="735"/>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val="restart"/>
            <w:shd w:val="clear" w:color="auto" w:fill="8DB3E2"/>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ŘO</w:t>
            </w: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Vysoký pákový efekt a širší objem podpořených projektů a investic</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Vysoký revolvingový efekt a podpoření projektů v dalších cyklech</w:t>
            </w:r>
          </w:p>
        </w:tc>
        <w:tc>
          <w:tcPr>
            <w:tcW w:w="2330" w:type="dxa"/>
            <w:shd w:val="clear" w:color="auto" w:fill="8DB3E2"/>
          </w:tcPr>
          <w:p w:rsidR="006D67F1" w:rsidRPr="002C224A" w:rsidRDefault="006D67F1" w:rsidP="002E3AE9">
            <w:pPr>
              <w:rPr>
                <w:b/>
                <w:color w:val="FFFFFF"/>
                <w:sz w:val="20"/>
              </w:rPr>
            </w:pPr>
            <w:r w:rsidRPr="002C224A">
              <w:rPr>
                <w:b/>
                <w:color w:val="FFFFFF"/>
                <w:sz w:val="20"/>
              </w:rPr>
              <w:t>Vysoká absorpční kapacita</w:t>
            </w:r>
          </w:p>
        </w:tc>
      </w:tr>
      <w:tr w:rsidR="006D67F1" w:rsidRPr="002C224A" w:rsidTr="002E3AE9">
        <w:trPr>
          <w:trHeight w:val="735"/>
        </w:trPr>
        <w:tc>
          <w:tcPr>
            <w:tcW w:w="960" w:type="dxa"/>
            <w:vMerge/>
            <w:shd w:val="clear" w:color="auto" w:fill="8DB3E2"/>
            <w:vAlign w:val="center"/>
          </w:tcPr>
          <w:p w:rsidR="006D67F1" w:rsidRPr="002C224A"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2E3AE9">
            <w:pPr>
              <w:jc w:val="center"/>
              <w:rPr>
                <w:b/>
                <w:bCs/>
                <w:color w:val="FFFFFF"/>
                <w:sz w:val="18"/>
                <w:szCs w:val="18"/>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Možnost revolvingu v závislosti na rizikové strategii</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Motivace subjektů k investicím v této oblasti</w:t>
            </w:r>
          </w:p>
        </w:tc>
      </w:tr>
      <w:tr w:rsidR="006D67F1" w:rsidRPr="002C224A" w:rsidTr="002E3AE9">
        <w:trPr>
          <w:trHeight w:val="311"/>
        </w:trPr>
        <w:tc>
          <w:tcPr>
            <w:tcW w:w="960" w:type="dxa"/>
            <w:vMerge/>
            <w:shd w:val="clear" w:color="auto" w:fill="8DB3E2"/>
            <w:vAlign w:val="center"/>
          </w:tcPr>
          <w:p w:rsidR="006D67F1" w:rsidRPr="002C224A"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2E3AE9">
            <w:pPr>
              <w:jc w:val="center"/>
              <w:rPr>
                <w:b/>
                <w:bCs/>
                <w:color w:val="FFFFFF"/>
                <w:sz w:val="18"/>
                <w:szCs w:val="18"/>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Rychlé čerpání</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Rychlé čerpání</w:t>
            </w:r>
          </w:p>
        </w:tc>
        <w:tc>
          <w:tcPr>
            <w:tcW w:w="2330" w:type="dxa"/>
            <w:shd w:val="clear" w:color="auto" w:fill="8DB3E2"/>
          </w:tcPr>
          <w:p w:rsidR="006D67F1" w:rsidRPr="002C224A" w:rsidRDefault="006D67F1" w:rsidP="002E3AE9">
            <w:pPr>
              <w:jc w:val="center"/>
              <w:rPr>
                <w:b/>
                <w:color w:val="FFFFFF"/>
                <w:sz w:val="20"/>
              </w:rPr>
            </w:pPr>
          </w:p>
        </w:tc>
      </w:tr>
      <w:tr w:rsidR="006D67F1" w:rsidRPr="002C224A" w:rsidTr="002E3AE9">
        <w:trPr>
          <w:trHeight w:val="735"/>
        </w:trPr>
        <w:tc>
          <w:tcPr>
            <w:tcW w:w="960" w:type="dxa"/>
            <w:vMerge w:val="restart"/>
            <w:shd w:val="clear" w:color="auto" w:fill="FF0000"/>
            <w:textDirection w:val="btLr"/>
            <w:vAlign w:val="center"/>
          </w:tcPr>
          <w:p w:rsidR="006D67F1" w:rsidRPr="002C224A" w:rsidRDefault="006D67F1" w:rsidP="002E3AE9">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Konečný příjemce</w:t>
            </w: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Nedostává peníze, musí splácet</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Nedostává peníze, musí splácet</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Vysoká administrativní náročnost</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Malý efekt na snížení úroků</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efekt na návratnost projektu v porovnání s dotací</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Regulovaná výběrová řízení na dodavatele – vyšší náklady</w:t>
            </w:r>
          </w:p>
        </w:tc>
      </w:tr>
      <w:tr w:rsidR="006D67F1" w:rsidRPr="002C224A" w:rsidTr="002E3AE9">
        <w:trPr>
          <w:trHeight w:val="456"/>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efekt zpřístupnění financování pro velmi rizikové projekty</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Nutnost předfinancování – platba ex post</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Riziko dodatečného odebrání dotace z důvodu chyb v projektu a nesplnění podmínek</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val="restart"/>
            <w:shd w:val="clear" w:color="auto" w:fill="FF0000"/>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ŘO</w:t>
            </w: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Velmi nízký revolvingový efekt</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pákový efekt než záruky</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Nenávratné výdaje</w:t>
            </w:r>
          </w:p>
        </w:tc>
      </w:tr>
      <w:tr w:rsidR="006D67F1" w:rsidRPr="002C224A" w:rsidTr="002E3AE9">
        <w:trPr>
          <w:trHeight w:val="566"/>
        </w:trPr>
        <w:tc>
          <w:tcPr>
            <w:tcW w:w="960" w:type="dxa"/>
            <w:vMerge/>
            <w:shd w:val="clear" w:color="auto" w:fill="FF0000"/>
            <w:vAlign w:val="center"/>
          </w:tcPr>
          <w:p w:rsidR="006D67F1" w:rsidRPr="002C224A"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18"/>
                <w:szCs w:val="18"/>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Malý efekt na investiční aktivitu</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Revolving omezují poplatky zprostředkovatelskému subjektu</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Počet podpořených projektů přímo omezen alokací</w:t>
            </w:r>
          </w:p>
        </w:tc>
      </w:tr>
      <w:tr w:rsidR="006D67F1" w:rsidRPr="002C224A" w:rsidTr="002E3AE9">
        <w:trPr>
          <w:trHeight w:val="264"/>
        </w:trPr>
        <w:tc>
          <w:tcPr>
            <w:tcW w:w="960" w:type="dxa"/>
            <w:vMerge/>
            <w:shd w:val="clear" w:color="auto" w:fill="FF0000"/>
            <w:vAlign w:val="center"/>
          </w:tcPr>
          <w:p w:rsidR="006D67F1" w:rsidRPr="002C224A"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18"/>
                <w:szCs w:val="18"/>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Hrazení poplatků příjemci</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Hrazení poplatků příjemci</w:t>
            </w:r>
          </w:p>
        </w:tc>
        <w:tc>
          <w:tcPr>
            <w:tcW w:w="2330" w:type="dxa"/>
            <w:shd w:val="clear" w:color="auto" w:fill="FF0000"/>
          </w:tcPr>
          <w:p w:rsidR="006D67F1" w:rsidRPr="002C224A" w:rsidRDefault="006D67F1" w:rsidP="002E3AE9">
            <w:pPr>
              <w:keepNext/>
              <w:jc w:val="center"/>
              <w:rPr>
                <w:b/>
                <w:color w:val="FFFFFF"/>
                <w:sz w:val="20"/>
              </w:rPr>
            </w:pPr>
            <w:r w:rsidRPr="002C224A">
              <w:rPr>
                <w:b/>
                <w:color w:val="FFFFFF"/>
                <w:sz w:val="20"/>
              </w:rPr>
              <w:t>Pomalejší čerpání</w:t>
            </w:r>
          </w:p>
        </w:tc>
      </w:tr>
    </w:tbl>
    <w:p w:rsidR="006D67F1" w:rsidRPr="002C224A" w:rsidRDefault="006D67F1" w:rsidP="00DE0CB4">
      <w:pPr>
        <w:pStyle w:val="Titulek"/>
      </w:pPr>
      <w:r w:rsidRPr="002C224A">
        <w:t>Tabulka</w:t>
      </w:r>
      <w:r w:rsidR="00F6076B">
        <w:t xml:space="preserve"> 81</w:t>
      </w:r>
      <w:r w:rsidRPr="002C224A">
        <w:t>: Přidaná hodnota, Nevýhody, problémy a rizika veřejné podpory pro příjemce a ŘO</w:t>
      </w:r>
    </w:p>
    <w:p w:rsidR="006D67F1" w:rsidRPr="00A50943" w:rsidRDefault="006D67F1" w:rsidP="00DE0CB4">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67F1" w:rsidRPr="002C224A" w:rsidTr="002E3AE9">
        <w:tc>
          <w:tcPr>
            <w:tcW w:w="1729" w:type="dxa"/>
            <w:shd w:val="clear" w:color="auto" w:fill="548DD4"/>
          </w:tcPr>
          <w:p w:rsidR="006D67F1" w:rsidRPr="002C224A" w:rsidRDefault="006D67F1" w:rsidP="002E3AE9">
            <w:pPr>
              <w:pStyle w:val="Highlight2"/>
              <w:shd w:val="clear" w:color="auto" w:fill="8DB3E2"/>
              <w:jc w:val="center"/>
              <w:rPr>
                <w:rFonts w:ascii="Calibri" w:hAnsi="Calibri" w:cs="Calibri"/>
                <w:color w:val="FFFFFF"/>
                <w:sz w:val="22"/>
                <w:szCs w:val="22"/>
              </w:rPr>
            </w:pPr>
            <w:r w:rsidRPr="002C224A">
              <w:rPr>
                <w:rFonts w:ascii="Calibri" w:hAnsi="Calibri" w:cs="Calibri"/>
                <w:color w:val="FFFFFF"/>
                <w:sz w:val="22"/>
                <w:szCs w:val="22"/>
                <w:lang w:eastAsia="cs-CZ"/>
              </w:rPr>
              <w:t>Tržní selhání</w:t>
            </w:r>
          </w:p>
        </w:tc>
        <w:tc>
          <w:tcPr>
            <w:tcW w:w="2694" w:type="dxa"/>
            <w:shd w:val="clear" w:color="auto" w:fill="548DD4"/>
          </w:tcPr>
          <w:p w:rsidR="006D67F1" w:rsidRPr="002C224A" w:rsidRDefault="006D67F1" w:rsidP="002E3AE9">
            <w:pPr>
              <w:pStyle w:val="Highlight2"/>
              <w:shd w:val="clear" w:color="auto" w:fill="8DB3E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Záruční nástroj</w:t>
            </w:r>
          </w:p>
        </w:tc>
        <w:tc>
          <w:tcPr>
            <w:tcW w:w="2268" w:type="dxa"/>
            <w:shd w:val="clear" w:color="auto" w:fill="548DD4"/>
          </w:tcPr>
          <w:p w:rsidR="006D67F1" w:rsidRPr="002C224A" w:rsidRDefault="006D67F1" w:rsidP="002E3AE9">
            <w:pPr>
              <w:pStyle w:val="Highlight2"/>
              <w:shd w:val="clear" w:color="auto" w:fill="8DB3E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268" w:type="dxa"/>
            <w:shd w:val="clear" w:color="auto" w:fill="548DD4"/>
          </w:tcPr>
          <w:p w:rsidR="006D67F1" w:rsidRPr="002C224A" w:rsidRDefault="006D67F1" w:rsidP="002E3AE9">
            <w:pPr>
              <w:pStyle w:val="Highlight2"/>
              <w:shd w:val="clear" w:color="auto" w:fill="8DB3E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2E3AE9">
        <w:trPr>
          <w:trHeight w:val="793"/>
        </w:trPr>
        <w:tc>
          <w:tcPr>
            <w:tcW w:w="1729" w:type="dxa"/>
          </w:tcPr>
          <w:p w:rsidR="006D67F1" w:rsidRPr="002C224A" w:rsidRDefault="006D67F1" w:rsidP="002E3AE9">
            <w:pPr>
              <w:pStyle w:val="Highlight2"/>
              <w:jc w:val="left"/>
              <w:rPr>
                <w:rFonts w:ascii="Calibri" w:hAnsi="Calibri" w:cs="Calibri"/>
              </w:rPr>
            </w:pPr>
            <w:r w:rsidRPr="002C224A">
              <w:rPr>
                <w:rFonts w:ascii="Calibri" w:hAnsi="Calibri" w:cs="Calibri"/>
                <w:color w:val="auto"/>
                <w:szCs w:val="20"/>
              </w:rPr>
              <w:t>Náklady projektu a návratnost</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auto"/>
                <w:szCs w:val="20"/>
              </w:rPr>
              <w:t>Nemá velký vliv na snížení nákladů projektu a jeho návratnost</w:t>
            </w:r>
          </w:p>
        </w:tc>
        <w:tc>
          <w:tcPr>
            <w:tcW w:w="2268" w:type="dxa"/>
          </w:tcPr>
          <w:p w:rsidR="006D67F1" w:rsidRPr="002C224A" w:rsidRDefault="006D67F1" w:rsidP="002E3AE9">
            <w:pPr>
              <w:pStyle w:val="Highlight2"/>
              <w:jc w:val="center"/>
              <w:rPr>
                <w:rFonts w:ascii="Calibri" w:hAnsi="Calibri" w:cs="Calibri"/>
                <w:b w:val="0"/>
              </w:rPr>
            </w:pPr>
            <w:r w:rsidRPr="002C224A">
              <w:rPr>
                <w:rFonts w:ascii="Calibri" w:hAnsi="Calibri" w:cs="Calibri"/>
                <w:b w:val="0"/>
                <w:color w:val="auto"/>
                <w:szCs w:val="20"/>
              </w:rPr>
              <w:t xml:space="preserve">Částečně snižuje úrokové náklady a počáteční náklady na přípravu, radikálně však </w:t>
            </w:r>
            <w:r w:rsidRPr="002C224A">
              <w:rPr>
                <w:rFonts w:ascii="Calibri" w:hAnsi="Calibri" w:cs="Calibri"/>
                <w:b w:val="0"/>
                <w:color w:val="auto"/>
                <w:szCs w:val="20"/>
              </w:rPr>
              <w:lastRenderedPageBreak/>
              <w:t>nemění parametry návratnosti</w:t>
            </w:r>
          </w:p>
        </w:tc>
        <w:tc>
          <w:tcPr>
            <w:tcW w:w="2268"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auto"/>
                <w:szCs w:val="20"/>
              </w:rPr>
              <w:lastRenderedPageBreak/>
              <w:t>Výrazně snižuje náklady pro žadatele a vylepšuje tedy i návratnost projektu.</w:t>
            </w:r>
          </w:p>
        </w:tc>
      </w:tr>
      <w:tr w:rsidR="006D67F1" w:rsidRPr="002C224A" w:rsidTr="002E3AE9">
        <w:trPr>
          <w:trHeight w:val="1521"/>
        </w:trPr>
        <w:tc>
          <w:tcPr>
            <w:tcW w:w="1729" w:type="dxa"/>
          </w:tcPr>
          <w:p w:rsidR="006D67F1" w:rsidRPr="002C224A" w:rsidRDefault="006D67F1" w:rsidP="002E3AE9">
            <w:pPr>
              <w:pStyle w:val="Highlight2"/>
              <w:jc w:val="left"/>
              <w:rPr>
                <w:rFonts w:ascii="Calibri" w:hAnsi="Calibri" w:cs="Calibri"/>
                <w:bCs/>
                <w:color w:val="000000"/>
                <w:szCs w:val="20"/>
                <w:lang w:eastAsia="cs-CZ"/>
              </w:rPr>
            </w:pPr>
            <w:r w:rsidRPr="002C224A">
              <w:rPr>
                <w:rFonts w:ascii="Calibri" w:hAnsi="Calibri" w:cs="Calibri"/>
                <w:bCs/>
                <w:color w:val="000000"/>
                <w:szCs w:val="20"/>
                <w:lang w:eastAsia="cs-CZ"/>
              </w:rPr>
              <w:lastRenderedPageBreak/>
              <w:t>Riziko projektu</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Z pohledu úvěrování </w:t>
            </w:r>
            <w:r w:rsidR="003D7EB1">
              <w:rPr>
                <w:rFonts w:ascii="Calibri" w:hAnsi="Calibri" w:cs="Calibri"/>
                <w:b w:val="0"/>
                <w:color w:val="000000"/>
                <w:lang w:eastAsia="cs-CZ"/>
              </w:rPr>
              <w:t>Rozděluje riziko mezi konečného příjemce, banku a FN.</w:t>
            </w:r>
            <w:r w:rsidRPr="002C224A">
              <w:rPr>
                <w:rFonts w:ascii="Calibri" w:hAnsi="Calibri" w:cs="Calibri"/>
                <w:b w:val="0"/>
                <w:color w:val="000000"/>
                <w:lang w:eastAsia="cs-CZ"/>
              </w:rPr>
              <w:t xml:space="preserve"> Likvidnější zástava, výrazné snížení rizika pro úvěrující instituci</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 příjemce zůstává</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p>
        </w:tc>
        <w:tc>
          <w:tcPr>
            <w:tcW w:w="2268" w:type="dxa"/>
          </w:tcPr>
          <w:p w:rsidR="006D67F1" w:rsidRPr="002C224A" w:rsidRDefault="003D7EB1" w:rsidP="002E3AE9">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 příjemce zůstává</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p>
        </w:tc>
        <w:tc>
          <w:tcPr>
            <w:tcW w:w="2268" w:type="dxa"/>
          </w:tcPr>
          <w:p w:rsidR="006D67F1" w:rsidRPr="002C224A" w:rsidRDefault="00031A1C" w:rsidP="002E3AE9">
            <w:pPr>
              <w:pStyle w:val="Highlight2"/>
              <w:jc w:val="center"/>
              <w:rPr>
                <w:rFonts w:ascii="Calibri" w:hAnsi="Calibri" w:cs="Calibri"/>
                <w:b w:val="0"/>
                <w:color w:val="000000"/>
                <w:lang w:eastAsia="cs-CZ"/>
              </w:rPr>
            </w:pPr>
            <w:r>
              <w:rPr>
                <w:rFonts w:ascii="Calibri" w:hAnsi="Calibri" w:cs="Calibri"/>
                <w:b w:val="0"/>
                <w:color w:val="000000"/>
                <w:lang w:eastAsia="cs-CZ"/>
              </w:rPr>
              <w:t>Dotace části nákladů snižuje rizika konečného příjemce</w:t>
            </w:r>
            <w:r w:rsidR="006D67F1" w:rsidRPr="002C224A">
              <w:rPr>
                <w:rFonts w:ascii="Calibri" w:hAnsi="Calibri" w:cs="Calibri"/>
                <w:b w:val="0"/>
                <w:color w:val="000000"/>
                <w:lang w:eastAsia="cs-CZ"/>
              </w:rPr>
              <w:t xml:space="preserve"> z negativního vývoje revitalizace. </w:t>
            </w:r>
            <w:r w:rsidR="00E05E2D">
              <w:rPr>
                <w:rFonts w:ascii="Calibri" w:hAnsi="Calibri" w:cs="Calibri"/>
                <w:b w:val="0"/>
                <w:color w:val="000000"/>
                <w:lang w:eastAsia="cs-CZ"/>
              </w:rPr>
              <w:t>Konečný příjemce přebírá riziko jen</w:t>
            </w:r>
            <w:r w:rsidR="006D67F1" w:rsidRPr="002C224A">
              <w:rPr>
                <w:rFonts w:ascii="Calibri" w:hAnsi="Calibri" w:cs="Calibri"/>
                <w:b w:val="0"/>
                <w:color w:val="000000"/>
                <w:lang w:eastAsia="cs-CZ"/>
              </w:rPr>
              <w:t xml:space="preserve"> do výše spoluúčasti způsobilých a nezpůsobilých nákladů</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Zlepšená úvěrovatelnost dotovaných projektů</w:t>
            </w: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w:t>
            </w: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rPr>
              <w:t xml:space="preserve"> ŘO má předem dané ztráty do absolutní výše dotace.</w:t>
            </w:r>
          </w:p>
        </w:tc>
      </w:tr>
      <w:tr w:rsidR="006D67F1" w:rsidRPr="002C224A" w:rsidTr="002E3AE9">
        <w:trPr>
          <w:trHeight w:val="1474"/>
        </w:trPr>
        <w:tc>
          <w:tcPr>
            <w:tcW w:w="1729" w:type="dxa"/>
          </w:tcPr>
          <w:p w:rsidR="006D67F1" w:rsidRPr="002C224A" w:rsidRDefault="006D67F1" w:rsidP="002E3AE9">
            <w:pPr>
              <w:rPr>
                <w:rFonts w:cs="Calibri"/>
                <w:b/>
                <w:sz w:val="20"/>
              </w:rPr>
            </w:pPr>
            <w:r w:rsidRPr="002C224A">
              <w:rPr>
                <w:rFonts w:cs="Calibri"/>
                <w:b/>
                <w:bCs/>
                <w:color w:val="000000"/>
                <w:sz w:val="20"/>
              </w:rPr>
              <w:t>Administrativní zátěž</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Jednoduchá administrace, bez rizika odebrání podpory z důvodu technických chyb</w:t>
            </w:r>
          </w:p>
          <w:p w:rsidR="006D67F1" w:rsidRPr="002C224A" w:rsidRDefault="006D67F1" w:rsidP="002E3AE9">
            <w:pPr>
              <w:pStyle w:val="Highlight2"/>
              <w:jc w:val="center"/>
              <w:rPr>
                <w:rFonts w:ascii="Calibri" w:hAnsi="Calibri" w:cs="Calibri"/>
                <w:b w:val="0"/>
                <w:bCs/>
                <w:color w:val="000000"/>
                <w:lang w:eastAsia="cs-CZ"/>
              </w:rPr>
            </w:pPr>
          </w:p>
        </w:tc>
        <w:tc>
          <w:tcPr>
            <w:tcW w:w="2268" w:type="dxa"/>
          </w:tcPr>
          <w:p w:rsidR="006D67F1" w:rsidRPr="002C224A" w:rsidRDefault="006D67F1" w:rsidP="002E3AE9">
            <w:pPr>
              <w:rPr>
                <w:sz w:val="20"/>
              </w:rPr>
            </w:pPr>
            <w:r w:rsidRPr="002C224A">
              <w:rPr>
                <w:rFonts w:cs="Calibri"/>
                <w:color w:val="000000"/>
                <w:sz w:val="20"/>
              </w:rPr>
              <w:t>Jednoduchá administrace, bez rizika odebrání podpory z důvodu technických chyb</w:t>
            </w:r>
          </w:p>
        </w:tc>
        <w:tc>
          <w:tcPr>
            <w:tcW w:w="2268" w:type="dxa"/>
          </w:tcPr>
          <w:p w:rsidR="006D67F1" w:rsidRPr="002C224A" w:rsidRDefault="006D67F1" w:rsidP="002E3AE9">
            <w:pPr>
              <w:rPr>
                <w:color w:val="000000"/>
                <w:sz w:val="20"/>
              </w:rPr>
            </w:pPr>
            <w:r w:rsidRPr="002C224A">
              <w:rPr>
                <w:rFonts w:cs="Calibri"/>
                <w:color w:val="000000"/>
                <w:sz w:val="20"/>
              </w:rPr>
              <w:t>Vysoká administrativní a regulační zátěž omezuje příjemce, zvyšuje náklady a přináší riziko odebrání dotace.</w:t>
            </w:r>
          </w:p>
        </w:tc>
      </w:tr>
      <w:tr w:rsidR="006D67F1" w:rsidRPr="002C224A" w:rsidTr="002E3AE9">
        <w:tc>
          <w:tcPr>
            <w:tcW w:w="1729" w:type="dxa"/>
          </w:tcPr>
          <w:p w:rsidR="006D67F1" w:rsidRPr="002C224A" w:rsidRDefault="006D67F1" w:rsidP="002E3AE9">
            <w:pPr>
              <w:pStyle w:val="Highlight2"/>
              <w:jc w:val="left"/>
              <w:rPr>
                <w:rFonts w:ascii="Calibri" w:hAnsi="Calibri" w:cs="Calibri"/>
                <w:bCs/>
                <w:color w:val="auto"/>
                <w:szCs w:val="20"/>
                <w:lang w:eastAsia="cs-CZ"/>
              </w:rPr>
            </w:pPr>
            <w:r w:rsidRPr="002C224A">
              <w:rPr>
                <w:rFonts w:ascii="Calibri" w:hAnsi="Calibri" w:cs="Calibri"/>
                <w:color w:val="auto"/>
                <w:szCs w:val="20"/>
              </w:rPr>
              <w:t>Celkový efekt na Investiční aktivitu a absorpci v SC</w:t>
            </w:r>
          </w:p>
        </w:tc>
        <w:tc>
          <w:tcPr>
            <w:tcW w:w="2694" w:type="dxa"/>
          </w:tcPr>
          <w:p w:rsidR="006D67F1" w:rsidRPr="002C224A" w:rsidRDefault="006D67F1" w:rsidP="002433DA">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Záruka nemá výrazný vliv na investiční aktivitu v oblasti energetických úspor, částečně pouze v segmentu rizikových MSP</w:t>
            </w:r>
          </w:p>
        </w:tc>
        <w:tc>
          <w:tcPr>
            <w:tcW w:w="2268" w:type="dxa"/>
          </w:tcPr>
          <w:p w:rsidR="006D67F1" w:rsidRPr="002C224A" w:rsidRDefault="006D67F1" w:rsidP="002E3AE9">
            <w:pPr>
              <w:rPr>
                <w:sz w:val="20"/>
              </w:rPr>
            </w:pPr>
            <w:r w:rsidRPr="002C224A">
              <w:rPr>
                <w:sz w:val="20"/>
              </w:rPr>
              <w:t>Mírné zkrácení doby návratnosti, přístup k vyššímu externímu financování a příspěvek na projektovou přípravu</w:t>
            </w:r>
          </w:p>
          <w:p w:rsidR="006D67F1" w:rsidRPr="002C224A" w:rsidRDefault="006D67F1" w:rsidP="002E3AE9">
            <w:pPr>
              <w:rPr>
                <w:sz w:val="20"/>
              </w:rPr>
            </w:pPr>
            <w:r w:rsidRPr="002C224A">
              <w:rPr>
                <w:sz w:val="20"/>
              </w:rPr>
              <w:t xml:space="preserve">umožní vyšší investiční aktivitu v segmentu </w:t>
            </w:r>
          </w:p>
          <w:p w:rsidR="006D67F1" w:rsidRPr="002C224A" w:rsidRDefault="006D67F1" w:rsidP="002E3AE9">
            <w:pPr>
              <w:rPr>
                <w:sz w:val="20"/>
              </w:rPr>
            </w:pPr>
          </w:p>
          <w:p w:rsidR="006D67F1" w:rsidRPr="002C224A" w:rsidRDefault="006D67F1" w:rsidP="002E3AE9">
            <w:pPr>
              <w:rPr>
                <w:sz w:val="20"/>
              </w:rPr>
            </w:pPr>
            <w:r w:rsidRPr="002C224A">
              <w:rPr>
                <w:sz w:val="20"/>
              </w:rPr>
              <w:t>Motivační efekt pro dodatečné investice je menší než v případě dotací, ale v případě úspor stále znatelný.</w:t>
            </w:r>
          </w:p>
          <w:p w:rsidR="006D67F1" w:rsidRPr="002C224A" w:rsidRDefault="006D67F1" w:rsidP="002433DA">
            <w:pPr>
              <w:rPr>
                <w:rFonts w:cs="Calibri"/>
                <w:color w:val="000000"/>
                <w:sz w:val="20"/>
              </w:rPr>
            </w:pPr>
          </w:p>
        </w:tc>
        <w:tc>
          <w:tcPr>
            <w:tcW w:w="2268" w:type="dxa"/>
          </w:tcPr>
          <w:p w:rsidR="006D67F1" w:rsidRPr="002C224A" w:rsidRDefault="006D67F1" w:rsidP="002E3AE9">
            <w:pPr>
              <w:rPr>
                <w:color w:val="000000"/>
                <w:sz w:val="20"/>
              </w:rPr>
            </w:pPr>
            <w:r w:rsidRPr="002C224A">
              <w:rPr>
                <w:color w:val="000000"/>
                <w:sz w:val="20"/>
              </w:rPr>
              <w:t>Znatelný efekt na nákladovost a návratnost projektu může značně stimulovat aktivity do komplexnějších projektů s vysokou mírou energetické úspory</w:t>
            </w:r>
          </w:p>
          <w:p w:rsidR="006D67F1" w:rsidRPr="002C224A" w:rsidRDefault="006D67F1" w:rsidP="002433DA">
            <w:pPr>
              <w:rPr>
                <w:rFonts w:cs="Calibri"/>
                <w:color w:val="000000"/>
                <w:sz w:val="20"/>
              </w:rPr>
            </w:pPr>
          </w:p>
        </w:tc>
      </w:tr>
      <w:tr w:rsidR="006D67F1" w:rsidRPr="002C224A" w:rsidTr="002E3AE9">
        <w:tc>
          <w:tcPr>
            <w:tcW w:w="1729" w:type="dxa"/>
          </w:tcPr>
          <w:p w:rsidR="006D67F1" w:rsidRPr="002C224A" w:rsidRDefault="006D67F1" w:rsidP="002E3AE9">
            <w:pPr>
              <w:pStyle w:val="Highlight2"/>
              <w:jc w:val="left"/>
              <w:rPr>
                <w:rFonts w:ascii="Calibri" w:hAnsi="Calibri" w:cs="Calibri"/>
                <w:color w:val="auto"/>
                <w:szCs w:val="20"/>
              </w:rPr>
            </w:pPr>
            <w:r w:rsidRPr="002C224A">
              <w:rPr>
                <w:rFonts w:ascii="Calibri" w:hAnsi="Calibri" w:cs="Calibri"/>
                <w:bCs/>
                <w:color w:val="000000"/>
                <w:lang w:eastAsia="cs-CZ"/>
              </w:rPr>
              <w:t>Efekt na narušení tržního prostředí</w:t>
            </w:r>
          </w:p>
        </w:tc>
        <w:tc>
          <w:tcPr>
            <w:tcW w:w="2694" w:type="dxa"/>
          </w:tcPr>
          <w:p w:rsidR="006D67F1" w:rsidRPr="002C224A" w:rsidRDefault="006D67F1" w:rsidP="002E3AE9">
            <w:pPr>
              <w:pStyle w:val="Highlight2"/>
              <w:jc w:val="center"/>
              <w:rPr>
                <w:rFonts w:ascii="Calibri" w:hAnsi="Calibri" w:cs="Calibri"/>
                <w:b w:val="0"/>
                <w:bCs/>
                <w:color w:val="000000"/>
                <w:szCs w:val="20"/>
                <w:lang w:eastAsia="cs-CZ"/>
              </w:rPr>
            </w:pPr>
            <w:r w:rsidRPr="002C224A">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D67F1" w:rsidRPr="002C224A" w:rsidRDefault="006D67F1" w:rsidP="002E3AE9">
            <w:pPr>
              <w:pStyle w:val="Highlight2"/>
              <w:jc w:val="center"/>
              <w:rPr>
                <w:rFonts w:ascii="Calibri" w:hAnsi="Calibri" w:cs="Calibri"/>
                <w:b w:val="0"/>
                <w:color w:val="000000"/>
                <w:szCs w:val="20"/>
                <w:lang w:eastAsia="cs-CZ"/>
              </w:rPr>
            </w:pPr>
            <w:r w:rsidRPr="002C224A">
              <w:rPr>
                <w:rFonts w:ascii="Calibri" w:hAnsi="Calibri" w:cs="Calibri"/>
                <w:b w:val="0"/>
                <w:color w:val="000000"/>
                <w:szCs w:val="20"/>
                <w:lang w:eastAsia="cs-CZ"/>
              </w:rPr>
              <w:t>Malý vliv na tržní prostředí, návratná podpora motivuje ekonomicky efektivní počínání subjektů</w:t>
            </w:r>
          </w:p>
          <w:p w:rsidR="006D67F1" w:rsidRPr="002C224A" w:rsidRDefault="006D67F1" w:rsidP="002E3AE9">
            <w:pPr>
              <w:pStyle w:val="Highlight2"/>
              <w:jc w:val="center"/>
              <w:rPr>
                <w:rFonts w:ascii="Calibri" w:hAnsi="Calibri" w:cs="Calibri"/>
                <w:b w:val="0"/>
                <w:color w:val="000000"/>
                <w:szCs w:val="20"/>
                <w:lang w:eastAsia="cs-CZ"/>
              </w:rPr>
            </w:pPr>
          </w:p>
          <w:p w:rsidR="006D67F1" w:rsidRPr="002C224A" w:rsidRDefault="006D67F1" w:rsidP="002E3AE9">
            <w:pPr>
              <w:pStyle w:val="Highlight2"/>
              <w:jc w:val="center"/>
              <w:rPr>
                <w:rFonts w:ascii="Calibri" w:hAnsi="Calibri" w:cs="Calibri"/>
                <w:b w:val="0"/>
                <w:color w:val="000000"/>
                <w:szCs w:val="20"/>
                <w:lang w:eastAsia="cs-CZ"/>
              </w:rPr>
            </w:pPr>
            <w:r w:rsidRPr="002C224A">
              <w:rPr>
                <w:rFonts w:ascii="Calibri" w:hAnsi="Calibri" w:cs="Calibri"/>
                <w:b w:val="0"/>
                <w:color w:val="000000"/>
                <w:szCs w:val="20"/>
                <w:lang w:eastAsia="cs-CZ"/>
              </w:rPr>
              <w:t>Doplnění soukromého finančního trhu</w:t>
            </w:r>
          </w:p>
          <w:p w:rsidR="006D67F1" w:rsidRPr="002C224A" w:rsidRDefault="006D67F1" w:rsidP="002433DA">
            <w:pPr>
              <w:rPr>
                <w:sz w:val="20"/>
              </w:rPr>
            </w:pPr>
            <w:r w:rsidRPr="002C224A">
              <w:rPr>
                <w:sz w:val="20"/>
              </w:rPr>
              <w:t>Nenarušuje výrazně tržní prostředí.</w:t>
            </w:r>
          </w:p>
        </w:tc>
        <w:tc>
          <w:tcPr>
            <w:tcW w:w="2268" w:type="dxa"/>
          </w:tcPr>
          <w:p w:rsidR="006D67F1" w:rsidRPr="002C224A" w:rsidRDefault="006D67F1" w:rsidP="002433DA">
            <w:pPr>
              <w:rPr>
                <w:color w:val="000000"/>
                <w:sz w:val="20"/>
              </w:rPr>
            </w:pPr>
            <w:r w:rsidRPr="002C224A">
              <w:rPr>
                <w:rFonts w:cs="Calibri"/>
                <w:bCs/>
                <w:color w:val="000000"/>
                <w:sz w:val="20"/>
              </w:rPr>
              <w:t>Dotace znamenají zvýhodnění pro podnikání dotčených subjektů, nicméně do značné míry vyrovnávají tržní selhání. V rámci trhu znamenají výraznou úpravu jeho fungování, regulaci investiční aktivity s ohledem na vyhlášené výzvy a částečně i omezení pro tržní mechanismy typu EPC.</w:t>
            </w:r>
          </w:p>
        </w:tc>
      </w:tr>
    </w:tbl>
    <w:p w:rsidR="006D67F1" w:rsidRPr="002C224A" w:rsidRDefault="006D67F1" w:rsidP="00DE0CB4">
      <w:pPr>
        <w:pStyle w:val="Titulek"/>
      </w:pPr>
      <w:r w:rsidRPr="002C224A">
        <w:t xml:space="preserve">Tabulka </w:t>
      </w:r>
      <w:r w:rsidR="00F6076B">
        <w:t>82</w:t>
      </w:r>
      <w:r w:rsidRPr="002C224A">
        <w:t xml:space="preserve"> – Přidaná hodnota podpory pro cíle SC 3.2</w:t>
      </w:r>
    </w:p>
    <w:p w:rsidR="006D67F1" w:rsidRPr="00A50943" w:rsidRDefault="006D67F1" w:rsidP="00DE0CB4"/>
    <w:p w:rsidR="006D67F1" w:rsidRPr="002C224A" w:rsidRDefault="006D67F1" w:rsidP="00DE0CB4">
      <w:r w:rsidRPr="002C224A">
        <w:t>Na základě porovnání přidané hodnoty je zřejmé, že v rámci aktivit SC 3.2 lze identifikovat potenciál pro použití jak úvěrového, tak dotačního nástroje.</w:t>
      </w:r>
    </w:p>
    <w:p w:rsidR="006D67F1" w:rsidRPr="002C224A" w:rsidRDefault="006D67F1" w:rsidP="00283266">
      <w:pPr>
        <w:pStyle w:val="Nadpis4"/>
        <w:rPr>
          <w:rFonts w:ascii="Calibri" w:hAnsi="Calibri"/>
        </w:rPr>
      </w:pPr>
      <w:r w:rsidRPr="002C224A">
        <w:rPr>
          <w:rFonts w:ascii="Calibri" w:hAnsi="Calibri"/>
        </w:rPr>
        <w:lastRenderedPageBreak/>
        <w:t>Soulad s jinými formami veřejných intervencí</w:t>
      </w:r>
    </w:p>
    <w:p w:rsidR="006D67F1" w:rsidRPr="00A50943" w:rsidRDefault="006D67F1" w:rsidP="004061B0">
      <w:pPr>
        <w:rPr>
          <w:lang w:eastAsia="en-US"/>
        </w:rPr>
      </w:pPr>
    </w:p>
    <w:p w:rsidR="006D67F1" w:rsidRPr="002C224A" w:rsidRDefault="006D67F1" w:rsidP="004061B0">
      <w:pPr>
        <w:rPr>
          <w:lang w:eastAsia="en-US"/>
        </w:rPr>
      </w:pPr>
      <w:r w:rsidRPr="00A50943">
        <w:rPr>
          <w:lang w:eastAsia="en-US"/>
        </w:rPr>
        <w:t>Podpora v SC 3.2 je komplementární k podpoře v rámci OP</w:t>
      </w:r>
      <w:r w:rsidR="002940BA">
        <w:rPr>
          <w:lang w:eastAsia="en-US"/>
        </w:rPr>
        <w:t xml:space="preserve"> </w:t>
      </w:r>
      <w:r w:rsidRPr="00A50943">
        <w:rPr>
          <w:lang w:eastAsia="en-US"/>
        </w:rPr>
        <w:t>ŽP a programu Nová zelená úsporám, která cílí na nepodnikatelské subjekty a rovněž podpoře energetické účinnosti v bytových domech poskytované IROP. Synergicky k SC 3.2 působí neinvestiční podpora v</w:t>
      </w:r>
      <w:r w:rsidRPr="002C224A">
        <w:rPr>
          <w:lang w:eastAsia="en-US"/>
        </w:rPr>
        <w:t> programu EFEKT, která rozvíjí tržní prostředí v oblasti energetických úspor.</w:t>
      </w:r>
      <w:r w:rsidR="002940BA">
        <w:rPr>
          <w:lang w:eastAsia="en-US"/>
        </w:rPr>
        <w:t xml:space="preserve"> Obdobně by měla být komplementární s evropskou podporou energetické účinnosti prostřednictvím produktů EIB</w:t>
      </w:r>
      <w:r w:rsidR="001271A3">
        <w:rPr>
          <w:lang w:eastAsia="en-US"/>
        </w:rPr>
        <w:t>, která může být použita na oblasti nepokryté OP PIK (např. v regionu Praha), případně být za určitých okolností kombinovatelná s podporou ESIF. Uvedené produkty musí být vždy uvedeny s ESIF do souladu, aby nedocházelo k překrývání absorpční kapacity.</w:t>
      </w:r>
    </w:p>
    <w:p w:rsidR="006D67F1" w:rsidRPr="002C224A" w:rsidRDefault="006D67F1" w:rsidP="004061B0">
      <w:pPr>
        <w:rPr>
          <w:lang w:eastAsia="en-US"/>
        </w:rPr>
      </w:pPr>
    </w:p>
    <w:p w:rsidR="006D67F1" w:rsidRPr="002C224A" w:rsidRDefault="006D67F1" w:rsidP="003C3B8D">
      <w:pPr>
        <w:rPr>
          <w:lang w:eastAsia="en-US"/>
        </w:rPr>
      </w:pPr>
      <w:r w:rsidRPr="002C224A">
        <w:rPr>
          <w:lang w:eastAsia="en-US"/>
        </w:rPr>
        <w:t>Důležitou komplementaritu představuje také možnost zapojení Investičního plánu pro Evropu a Evropského fondu pro strategické investice.</w:t>
      </w:r>
    </w:p>
    <w:p w:rsidR="006D67F1" w:rsidRPr="002C224A" w:rsidRDefault="006D67F1" w:rsidP="00283266">
      <w:pPr>
        <w:pStyle w:val="Nadpis4"/>
        <w:rPr>
          <w:rFonts w:ascii="Calibri" w:hAnsi="Calibri"/>
        </w:rPr>
      </w:pPr>
      <w:r w:rsidRPr="002C224A">
        <w:rPr>
          <w:rFonts w:ascii="Calibri" w:hAnsi="Calibri"/>
        </w:rPr>
        <w:t>Možné řešení veřejné podpory</w:t>
      </w:r>
    </w:p>
    <w:p w:rsidR="006D67F1" w:rsidRPr="00A50943" w:rsidRDefault="006D67F1" w:rsidP="00283266"/>
    <w:p w:rsidR="006D67F1" w:rsidRPr="002C224A" w:rsidRDefault="006D67F1" w:rsidP="00283266">
      <w:r w:rsidRPr="002C224A">
        <w:t>Pro úvěrový finanční nástroj lze řešit veřejnou podporu poskytnutím podpory de minimis nebo podpory podle Obecného nařízení o blokových výjimkách č. 651/2014.</w:t>
      </w:r>
      <w:r w:rsidR="006701AB" w:rsidRPr="002C224A">
        <w:t xml:space="preserve"> Veřejná podpora je předpokládána pouze na úrovni konečných příjemců.</w:t>
      </w:r>
    </w:p>
    <w:p w:rsidR="006D67F1" w:rsidRPr="002C224A" w:rsidRDefault="006D67F1" w:rsidP="004061B0">
      <w:pPr>
        <w:rPr>
          <w:lang w:eastAsia="en-US"/>
        </w:rPr>
      </w:pPr>
    </w:p>
    <w:p w:rsidR="006D67F1" w:rsidRPr="002C224A" w:rsidRDefault="006D67F1" w:rsidP="00875E68">
      <w:pPr>
        <w:pStyle w:val="Nadpis3"/>
        <w:rPr>
          <w:rFonts w:ascii="Calibri" w:hAnsi="Calibri"/>
        </w:rPr>
      </w:pPr>
      <w:bookmarkStart w:id="887" w:name="_Toc421534304"/>
      <w:r w:rsidRPr="002C224A">
        <w:rPr>
          <w:rFonts w:ascii="Calibri" w:hAnsi="Calibri"/>
        </w:rPr>
        <w:t>Odhad dodatečných veřejných a soukromých zdrojů</w:t>
      </w:r>
      <w:bookmarkEnd w:id="887"/>
    </w:p>
    <w:p w:rsidR="006D67F1" w:rsidRPr="002C224A" w:rsidRDefault="006D67F1" w:rsidP="00875E68">
      <w:pPr>
        <w:pStyle w:val="Nadpis4"/>
        <w:rPr>
          <w:rFonts w:ascii="Calibri" w:hAnsi="Calibri"/>
        </w:rPr>
      </w:pPr>
      <w:r w:rsidRPr="002C224A">
        <w:rPr>
          <w:rFonts w:ascii="Calibri" w:hAnsi="Calibri"/>
        </w:rPr>
        <w:t>Spolufinancování ze soukromých zdrojů až na úroveň konečného příjemce</w:t>
      </w:r>
    </w:p>
    <w:p w:rsidR="006D67F1" w:rsidRPr="00A50943" w:rsidRDefault="006D67F1" w:rsidP="00875E68"/>
    <w:p w:rsidR="006D67F1" w:rsidRDefault="006D67F1" w:rsidP="004F5778">
      <w:r w:rsidRPr="002C224A">
        <w:t>Nástroj ve formě zvýhodněných úvěrů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4E6718" w:rsidRPr="002C224A" w:rsidRDefault="004E6718" w:rsidP="004F5778"/>
    <w:p w:rsidR="006D67F1" w:rsidRPr="002C224A" w:rsidRDefault="006D67F1" w:rsidP="000150B2">
      <w:r w:rsidRPr="002C224A">
        <w:t xml:space="preserve">Předpokladem nástroje zvýhodněných úvěrů je též zachování podílu </w:t>
      </w:r>
      <w:r w:rsidR="00031A1C">
        <w:t>vlastních zdrojů konečného příjemce</w:t>
      </w:r>
      <w:r w:rsidRPr="002C224A">
        <w:t>, který může v závislosti na finanční strategii a potřebách podniku výrazně oscilovat. Vlastní zdroje budou využity jak na dofinancování způsobilých výdajů, tak především na podpoře nezpůsobilé výdaje projektů.</w:t>
      </w:r>
    </w:p>
    <w:p w:rsidR="006D67F1" w:rsidRPr="002C224A" w:rsidRDefault="006D67F1" w:rsidP="004F5778"/>
    <w:p w:rsidR="006D67F1" w:rsidRPr="002C224A" w:rsidRDefault="006D67F1" w:rsidP="00875E68">
      <w:r w:rsidRPr="002C224A">
        <w:t xml:space="preserve">V případě úvěrů odhadujeme na základě zkušeností ČMZRB vlastní zdroje žadatele na úrovni 10-30 % nákladů projektu. </w:t>
      </w:r>
    </w:p>
    <w:p w:rsidR="006D67F1" w:rsidRPr="002C224A" w:rsidRDefault="006D67F1" w:rsidP="00C72C85">
      <w:pPr>
        <w:pStyle w:val="Nadpis4"/>
        <w:rPr>
          <w:rFonts w:ascii="Calibri" w:hAnsi="Calibri"/>
        </w:rPr>
      </w:pPr>
      <w:r w:rsidRPr="002C224A">
        <w:rPr>
          <w:rFonts w:ascii="Calibri" w:hAnsi="Calibri"/>
        </w:rPr>
        <w:t>Identifikace klíčových subjektů</w:t>
      </w:r>
    </w:p>
    <w:p w:rsidR="006D67F1" w:rsidRPr="002C224A" w:rsidRDefault="006D67F1" w:rsidP="00312C02">
      <w:r w:rsidRPr="00A50943">
        <w:t>Klíčovým soukromým subjektem pro nástroj zvý</w:t>
      </w:r>
      <w:r w:rsidRPr="002C224A">
        <w:t>hodněných úvěrů jsou soukromé úvěrující instituce – komerční banky, které zajišťují soukromé spolufinancování. FN bude implementován skrze záruční, resp. úvěrový fond s vybraných správcem.</w:t>
      </w:r>
    </w:p>
    <w:p w:rsidR="006D67F1" w:rsidRPr="002C224A" w:rsidRDefault="006D67F1" w:rsidP="00312C02">
      <w:pPr>
        <w:pStyle w:val="Nadpis4"/>
        <w:rPr>
          <w:rFonts w:ascii="Calibri" w:hAnsi="Calibri"/>
        </w:rPr>
      </w:pPr>
      <w:r w:rsidRPr="002C224A">
        <w:rPr>
          <w:rFonts w:ascii="Calibri" w:hAnsi="Calibri"/>
        </w:rPr>
        <w:t>Odhad dodatečných zdrojů, který finanční nástroj</w:t>
      </w:r>
      <w:r w:rsidR="000B06CA" w:rsidRPr="002C224A">
        <w:rPr>
          <w:rFonts w:ascii="Calibri" w:hAnsi="Calibri"/>
        </w:rPr>
        <w:t xml:space="preserve"> potenciálně</w:t>
      </w:r>
      <w:r w:rsidRPr="002C224A">
        <w:rPr>
          <w:rFonts w:ascii="Calibri" w:hAnsi="Calibri"/>
        </w:rPr>
        <w:t xml:space="preserve"> přiláká</w:t>
      </w:r>
      <w:r w:rsidR="000B06CA" w:rsidRPr="002C224A">
        <w:rPr>
          <w:rFonts w:ascii="Calibri" w:hAnsi="Calibri"/>
        </w:rPr>
        <w:t xml:space="preserve"> </w:t>
      </w:r>
      <w:r w:rsidRPr="002C224A">
        <w:rPr>
          <w:rFonts w:ascii="Calibri" w:hAnsi="Calibri"/>
        </w:rPr>
        <w:t>– očekávaný pákový efekt</w:t>
      </w:r>
    </w:p>
    <w:p w:rsidR="006D67F1" w:rsidRPr="00A50943" w:rsidRDefault="006D67F1" w:rsidP="00312C02">
      <w:r w:rsidRPr="00A50943">
        <w:t>Dodatečné zdroje aktivované finančním nástrojem a tedy i výsledný pákový efekt jsou vždy závislé na konkrétním nastavení investiční strategie z hlediska požadovaného soukromého spolufinancování.</w:t>
      </w:r>
    </w:p>
    <w:p w:rsidR="006D67F1" w:rsidRPr="002C224A" w:rsidRDefault="006D67F1" w:rsidP="00312C02"/>
    <w:p w:rsidR="006D67F1" w:rsidRPr="002C224A" w:rsidRDefault="006D67F1" w:rsidP="00312C02">
      <w:r w:rsidRPr="002C224A">
        <w:lastRenderedPageBreak/>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2C224A" w:rsidRDefault="006D67F1" w:rsidP="00312C02">
      <w:pPr>
        <w:rPr>
          <w:b/>
        </w:rPr>
      </w:pPr>
      <w:r w:rsidRPr="002C224A">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2C224A">
        <w:rPr>
          <w:b/>
        </w:rPr>
        <w:t>nelze očekávat pákový efekt přesahující hodnotu 2</w:t>
      </w:r>
      <w:r w:rsidR="006E3EC6">
        <w:rPr>
          <w:b/>
        </w:rPr>
        <w:t xml:space="preserve"> </w:t>
      </w:r>
      <w:r w:rsidRPr="002C224A">
        <w:rPr>
          <w:b/>
        </w:rPr>
        <w:t>(tedy podíl FN a soukromého úvěru 1:1).</w:t>
      </w:r>
    </w:p>
    <w:p w:rsidR="006D67F1" w:rsidRPr="002C224A" w:rsidRDefault="006D67F1" w:rsidP="00875E68"/>
    <w:p w:rsidR="006D67F1" w:rsidRPr="002C224A" w:rsidRDefault="006D67F1" w:rsidP="00875E68">
      <w:pPr>
        <w:pStyle w:val="Nadpis4"/>
        <w:rPr>
          <w:rFonts w:ascii="Calibri" w:hAnsi="Calibri"/>
        </w:rPr>
      </w:pPr>
      <w:r w:rsidRPr="002C224A">
        <w:rPr>
          <w:rFonts w:ascii="Calibri" w:hAnsi="Calibri"/>
        </w:rPr>
        <w:t>Posouzení potřeby a úroveň preferenčního odměňování</w:t>
      </w:r>
    </w:p>
    <w:p w:rsidR="006D67F1" w:rsidRPr="002C224A" w:rsidRDefault="006D67F1" w:rsidP="004061B0">
      <w:pPr>
        <w:rPr>
          <w:lang w:eastAsia="en-US"/>
        </w:rPr>
      </w:pPr>
      <w:r w:rsidRPr="00A50943">
        <w:t xml:space="preserve">K motivování dostatečného pákového efektu a zapojení soukromých bankovních </w:t>
      </w:r>
      <w:r w:rsidRPr="002C224A">
        <w:t>zdrojů na podporovaných projektech navrhujeme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r w:rsidR="00C76073" w:rsidRPr="002C224A">
        <w:t xml:space="preserve"> Nejedná se o preferenční odměňování úvěrujících institucí, efekty nástroje by měly být plně přeneseny na konečného příjemce. Preferenční odměňování není navrhováno.</w:t>
      </w:r>
    </w:p>
    <w:p w:rsidR="006D67F1" w:rsidRPr="002C224A" w:rsidRDefault="006D67F1" w:rsidP="006F42A5">
      <w:pPr>
        <w:rPr>
          <w:lang w:eastAsia="en-US"/>
        </w:rPr>
      </w:pPr>
    </w:p>
    <w:p w:rsidR="006D67F1" w:rsidRPr="002C224A" w:rsidRDefault="006D67F1" w:rsidP="002433DA">
      <w:pPr>
        <w:pStyle w:val="Nadpis2"/>
        <w:rPr>
          <w:rFonts w:ascii="Calibri" w:hAnsi="Calibri"/>
          <w:lang w:eastAsia="en-US"/>
        </w:rPr>
      </w:pPr>
      <w:bookmarkStart w:id="888" w:name="_Toc413824151"/>
      <w:bookmarkStart w:id="889" w:name="_Toc413831134"/>
      <w:bookmarkStart w:id="890" w:name="_Toc413831164"/>
      <w:bookmarkStart w:id="891" w:name="_Toc413824152"/>
      <w:bookmarkStart w:id="892" w:name="_Toc413831135"/>
      <w:bookmarkStart w:id="893" w:name="_Toc413831165"/>
      <w:bookmarkStart w:id="894" w:name="_Toc416800463"/>
      <w:bookmarkStart w:id="895" w:name="_Toc421534305"/>
      <w:bookmarkEnd w:id="888"/>
      <w:bookmarkEnd w:id="889"/>
      <w:bookmarkEnd w:id="890"/>
      <w:bookmarkEnd w:id="891"/>
      <w:bookmarkEnd w:id="892"/>
      <w:bookmarkEnd w:id="893"/>
      <w:r w:rsidRPr="002C224A">
        <w:rPr>
          <w:rFonts w:ascii="Calibri" w:hAnsi="Calibri"/>
          <w:lang w:eastAsia="en-US"/>
        </w:rPr>
        <w:t xml:space="preserve">Specifický cíl 3.5 – </w:t>
      </w:r>
      <w:r w:rsidRPr="002C224A">
        <w:rPr>
          <w:rFonts w:ascii="Calibri" w:hAnsi="Calibri"/>
        </w:rPr>
        <w:t>Zvýšit účinnost soustav zásobování teplem</w:t>
      </w:r>
      <w:bookmarkEnd w:id="894"/>
      <w:bookmarkEnd w:id="895"/>
    </w:p>
    <w:p w:rsidR="006D67F1" w:rsidRPr="002C224A" w:rsidRDefault="006D67F1" w:rsidP="002413B6">
      <w:pPr>
        <w:pStyle w:val="Nadpis3"/>
        <w:rPr>
          <w:rFonts w:ascii="Calibri" w:hAnsi="Calibri"/>
        </w:rPr>
      </w:pPr>
      <w:bookmarkStart w:id="896" w:name="_Toc416800464"/>
      <w:bookmarkStart w:id="897" w:name="_Toc421534306"/>
      <w:r w:rsidRPr="002C224A">
        <w:rPr>
          <w:rFonts w:ascii="Calibri" w:hAnsi="Calibri"/>
        </w:rPr>
        <w:t>Zaměření specifického cíle</w:t>
      </w:r>
      <w:bookmarkEnd w:id="896"/>
      <w:bookmarkEnd w:id="897"/>
    </w:p>
    <w:p w:rsidR="006D67F1" w:rsidRPr="00A50943" w:rsidRDefault="006D67F1" w:rsidP="009F0422">
      <w:pPr>
        <w:pStyle w:val="Neslovannadpisy"/>
        <w:rPr>
          <w:lang w:eastAsia="en-US"/>
        </w:rPr>
      </w:pPr>
      <w:r w:rsidRPr="00A50943">
        <w:rPr>
          <w:lang w:eastAsia="en-US"/>
        </w:rPr>
        <w:t>Podporované aktivity:</w:t>
      </w:r>
    </w:p>
    <w:p w:rsidR="006D67F1" w:rsidRPr="002C224A" w:rsidRDefault="006D67F1" w:rsidP="002433DA">
      <w:pPr>
        <w:pStyle w:val="Odstavecseseznamem1"/>
        <w:numPr>
          <w:ilvl w:val="0"/>
          <w:numId w:val="8"/>
        </w:numPr>
        <w:rPr>
          <w:lang w:eastAsia="en-US"/>
        </w:rPr>
      </w:pPr>
      <w:r w:rsidRPr="002C224A">
        <w:rPr>
          <w:lang w:eastAsia="en-US"/>
        </w:rPr>
        <w:t>Instalace vysokoúčinných (plynových) kogeneračních jednotek v soustavách</w:t>
      </w:r>
    </w:p>
    <w:p w:rsidR="006D67F1" w:rsidRPr="002C224A" w:rsidRDefault="006D67F1" w:rsidP="009F0422">
      <w:pPr>
        <w:rPr>
          <w:lang w:eastAsia="en-US"/>
        </w:rPr>
      </w:pPr>
      <w:r w:rsidRPr="002C224A">
        <w:rPr>
          <w:lang w:eastAsia="en-US"/>
        </w:rPr>
        <w:t>zásobování teplem, včetně rozvoje a propojování existujících soustav za účelem vyššího využití</w:t>
      </w:r>
    </w:p>
    <w:p w:rsidR="006D67F1" w:rsidRPr="002C224A" w:rsidRDefault="006D67F1" w:rsidP="009F0422">
      <w:pPr>
        <w:rPr>
          <w:lang w:eastAsia="en-US"/>
        </w:rPr>
      </w:pPr>
      <w:r w:rsidRPr="002C224A">
        <w:rPr>
          <w:lang w:eastAsia="en-US"/>
        </w:rPr>
        <w:t>kombinované výroby elektřiny a tepla s cílem dosažení úspor primární energie.</w:t>
      </w:r>
    </w:p>
    <w:p w:rsidR="006D67F1" w:rsidRPr="002C224A" w:rsidRDefault="006D67F1" w:rsidP="002433DA">
      <w:pPr>
        <w:pStyle w:val="Odstavecseseznamem1"/>
        <w:numPr>
          <w:ilvl w:val="0"/>
          <w:numId w:val="8"/>
        </w:numPr>
        <w:rPr>
          <w:lang w:eastAsia="en-US"/>
        </w:rPr>
      </w:pPr>
      <w:r w:rsidRPr="002C224A">
        <w:rPr>
          <w:lang w:eastAsia="en-US"/>
        </w:rPr>
        <w:t>Instalace vysokoúčinné (plynové) kogenerační jednotky za účelem lokální spotřeby</w:t>
      </w:r>
    </w:p>
    <w:p w:rsidR="006D67F1" w:rsidRPr="002C224A" w:rsidRDefault="006D67F1" w:rsidP="009F0422">
      <w:pPr>
        <w:rPr>
          <w:lang w:eastAsia="en-US"/>
        </w:rPr>
      </w:pPr>
      <w:r w:rsidRPr="002C224A">
        <w:rPr>
          <w:lang w:eastAsia="en-US"/>
        </w:rPr>
        <w:t>tepelné energie.</w:t>
      </w:r>
    </w:p>
    <w:p w:rsidR="006D67F1" w:rsidRPr="002C224A" w:rsidRDefault="006D67F1" w:rsidP="002433DA">
      <w:pPr>
        <w:pStyle w:val="Odstavecseseznamem1"/>
        <w:numPr>
          <w:ilvl w:val="0"/>
          <w:numId w:val="8"/>
        </w:numPr>
        <w:rPr>
          <w:lang w:eastAsia="en-US"/>
        </w:rPr>
      </w:pPr>
      <w:r w:rsidRPr="002C224A">
        <w:rPr>
          <w:lang w:eastAsia="en-US"/>
        </w:rPr>
        <w:t>Rekonstrukce stávajících zařízení s kombinovanou výrobou elektřiny a tepla s cílem</w:t>
      </w:r>
    </w:p>
    <w:p w:rsidR="006D67F1" w:rsidRPr="002C224A" w:rsidRDefault="006D67F1" w:rsidP="009F0422">
      <w:pPr>
        <w:rPr>
          <w:lang w:eastAsia="en-US"/>
        </w:rPr>
      </w:pPr>
      <w:r w:rsidRPr="002C224A">
        <w:rPr>
          <w:lang w:eastAsia="en-US"/>
        </w:rPr>
        <w:t>dosažení úspory primární energie díky zlepšení technických parametrů zařízení.</w:t>
      </w:r>
    </w:p>
    <w:p w:rsidR="006D67F1" w:rsidRPr="002C224A" w:rsidRDefault="006D67F1" w:rsidP="002433DA">
      <w:pPr>
        <w:pStyle w:val="Odstavecseseznamem1"/>
        <w:numPr>
          <w:ilvl w:val="0"/>
          <w:numId w:val="8"/>
        </w:numPr>
        <w:rPr>
          <w:lang w:eastAsia="en-US"/>
        </w:rPr>
      </w:pPr>
      <w:r w:rsidRPr="002C224A">
        <w:rPr>
          <w:lang w:eastAsia="en-US"/>
        </w:rPr>
        <w:t>Výstavba a rozvoj stávajících soustav zásobování teplem včetně předávacích stanic s</w:t>
      </w:r>
    </w:p>
    <w:p w:rsidR="006D67F1" w:rsidRPr="002C224A" w:rsidRDefault="006D67F1" w:rsidP="009F0422">
      <w:pPr>
        <w:rPr>
          <w:lang w:eastAsia="en-US"/>
        </w:rPr>
      </w:pPr>
      <w:r w:rsidRPr="002C224A">
        <w:rPr>
          <w:lang w:eastAsia="en-US"/>
        </w:rPr>
        <w:t>cílem maximálního využití tepla z vysokoúčinné kombinované výroby elektřiny a tepla</w:t>
      </w:r>
    </w:p>
    <w:p w:rsidR="006D67F1" w:rsidRPr="002C224A" w:rsidRDefault="006D67F1" w:rsidP="009F0422">
      <w:pPr>
        <w:rPr>
          <w:lang w:eastAsia="en-US"/>
        </w:rPr>
      </w:pPr>
      <w:r w:rsidRPr="002C224A">
        <w:rPr>
          <w:lang w:eastAsia="en-US"/>
        </w:rPr>
        <w:t>případně odpadního tepla z průmyslových procesů a dosažení úspor primární energie.</w:t>
      </w:r>
    </w:p>
    <w:p w:rsidR="006D67F1" w:rsidRPr="002C224A" w:rsidRDefault="006D67F1" w:rsidP="009F0422">
      <w:pPr>
        <w:rPr>
          <w:lang w:eastAsia="en-US"/>
        </w:rPr>
      </w:pPr>
    </w:p>
    <w:p w:rsidR="006D67F1" w:rsidRPr="002C224A" w:rsidRDefault="006D67F1">
      <w:pPr>
        <w:pStyle w:val="Neslovannadpisy"/>
        <w:rPr>
          <w:lang w:eastAsia="en-US"/>
        </w:rPr>
      </w:pPr>
      <w:r w:rsidRPr="002C224A">
        <w:rPr>
          <w:lang w:eastAsia="en-US"/>
        </w:rPr>
        <w:t xml:space="preserve">Hlavní cílová skupina: </w:t>
      </w:r>
    </w:p>
    <w:p w:rsidR="006D67F1" w:rsidRPr="002C224A" w:rsidRDefault="006D67F1" w:rsidP="00831C64">
      <w:pPr>
        <w:rPr>
          <w:lang w:eastAsia="en-US"/>
        </w:rPr>
      </w:pPr>
      <w:r w:rsidRPr="002C224A">
        <w:rPr>
          <w:lang w:eastAsia="en-US"/>
        </w:rPr>
        <w:t>Podnikatelské subjekty (velké podniky, ale i střední a případně malé podniky) které se soustředí na výrobu a dodávku tepla do systému zásobování teplem zkombinované výroby elektřiny a tepla.</w:t>
      </w:r>
    </w:p>
    <w:p w:rsidR="006D67F1" w:rsidRPr="002C224A" w:rsidRDefault="006D67F1" w:rsidP="009F0422">
      <w:pPr>
        <w:rPr>
          <w:lang w:eastAsia="en-US"/>
        </w:rPr>
      </w:pPr>
    </w:p>
    <w:p w:rsidR="006D67F1" w:rsidRPr="002C224A" w:rsidRDefault="006D67F1">
      <w:pPr>
        <w:pStyle w:val="Neslovannadpisy"/>
        <w:rPr>
          <w:lang w:eastAsia="en-US"/>
        </w:rPr>
      </w:pPr>
      <w:r w:rsidRPr="002C224A">
        <w:rPr>
          <w:lang w:eastAsia="en-US"/>
        </w:rPr>
        <w:t>Cílové území:</w:t>
      </w:r>
    </w:p>
    <w:p w:rsidR="006D67F1" w:rsidRPr="002C224A" w:rsidRDefault="006D67F1" w:rsidP="009F0422">
      <w:pPr>
        <w:rPr>
          <w:lang w:eastAsia="en-US"/>
        </w:rPr>
      </w:pPr>
      <w:r w:rsidRPr="002C224A">
        <w:rPr>
          <w:lang w:eastAsia="en-US"/>
        </w:rPr>
        <w:t>Území České republiky, mimo území hl. m. Prahy.</w:t>
      </w:r>
    </w:p>
    <w:p w:rsidR="006D67F1" w:rsidRPr="002C224A" w:rsidRDefault="006D67F1" w:rsidP="009F0422">
      <w:pPr>
        <w:rPr>
          <w:color w:val="FF0000"/>
          <w:lang w:eastAsia="en-US"/>
        </w:rPr>
      </w:pPr>
    </w:p>
    <w:p w:rsidR="006D67F1" w:rsidRPr="002C224A" w:rsidRDefault="006D67F1" w:rsidP="00321F1A">
      <w:pPr>
        <w:pStyle w:val="Neslovannadpisy"/>
      </w:pPr>
      <w:r w:rsidRPr="002C224A">
        <w:t>Výběr aktivit k posouzení vhodnosti finančního nástroje</w:t>
      </w:r>
    </w:p>
    <w:p w:rsidR="006D67F1" w:rsidRPr="002C224A" w:rsidRDefault="006D67F1">
      <w:pPr>
        <w:rPr>
          <w:b/>
          <w:lang w:eastAsia="en-US"/>
        </w:rPr>
      </w:pPr>
      <w:r w:rsidRPr="002C224A">
        <w:rPr>
          <w:lang w:eastAsia="en-US"/>
        </w:rPr>
        <w:t>K bližšímu předběžnému posouzení jsou vybrány všechny aktivity SC 3.5, vzhledem k potenciálně ziskovému charakteru investic jak do KVET, tak do rozvodů tepla.</w:t>
      </w:r>
    </w:p>
    <w:p w:rsidR="006D67F1" w:rsidRPr="002C224A" w:rsidRDefault="006D67F1" w:rsidP="002D08F0">
      <w:pPr>
        <w:rPr>
          <w:lang w:eastAsia="en-US"/>
        </w:rPr>
      </w:pPr>
    </w:p>
    <w:p w:rsidR="006D67F1" w:rsidRPr="002C224A" w:rsidRDefault="006D67F1" w:rsidP="002D08F0">
      <w:pPr>
        <w:rPr>
          <w:lang w:eastAsia="en-US"/>
        </w:rPr>
      </w:pPr>
      <w:r w:rsidRPr="002C224A">
        <w:rPr>
          <w:lang w:eastAsia="en-US"/>
        </w:rPr>
        <w:t xml:space="preserve">Oblast SC 3.5 je zaměřena na podporu podnikatelských aktivit v oblasti KVET, zahrnující kombinovanou vysoce účinnou výrobu elektřiny a tepla a rekonstrukci a budování tepelných rozvodu. Na rozdíl od kogenerace v 3.2 (kogenerace pro vlastní spotřebu), je 3.5 určena pro </w:t>
      </w:r>
      <w:r w:rsidRPr="002C224A">
        <w:rPr>
          <w:b/>
          <w:lang w:eastAsia="en-US"/>
        </w:rPr>
        <w:t xml:space="preserve">kogeneraci elektřiny tepla, </w:t>
      </w:r>
      <w:r w:rsidRPr="002C224A">
        <w:rPr>
          <w:b/>
          <w:lang w:eastAsia="en-US"/>
        </w:rPr>
        <w:lastRenderedPageBreak/>
        <w:t>jejímž účelem je též prodej třetím subjektům</w:t>
      </w:r>
      <w:r w:rsidRPr="002C224A">
        <w:rPr>
          <w:lang w:eastAsia="en-US"/>
        </w:rPr>
        <w:t>. Aktivita neobsahuje též kogeneraci v bioplynových stanicích zahrnutou v SC 3.1.</w:t>
      </w:r>
    </w:p>
    <w:p w:rsidR="006D67F1" w:rsidRPr="002C224A" w:rsidRDefault="006D67F1" w:rsidP="002D08F0">
      <w:pPr>
        <w:rPr>
          <w:lang w:eastAsia="en-US"/>
        </w:rPr>
      </w:pPr>
    </w:p>
    <w:p w:rsidR="006D67F1" w:rsidRPr="002C224A" w:rsidRDefault="006D67F1" w:rsidP="002D08F0">
      <w:pPr>
        <w:rPr>
          <w:lang w:eastAsia="en-US"/>
        </w:rPr>
      </w:pPr>
      <w:r w:rsidRPr="002C224A">
        <w:rPr>
          <w:lang w:eastAsia="en-US"/>
        </w:rPr>
        <w:t>Cílem poskytování podpory je snížit energetickou náročnost na jednotku produkce při zachování dlouhodobé stability a dostupnosti energie pro podnikatelskou sféru, zmenšit závislost tuzemské ekonomiky na dovozu energetických komodit, snížit spotřebu fosilních primárních energetických zdrojů a podporovat MSP a také velké podniky v oblasti využití obnovitelných zdrojů energie. Záměrem je využít i významný potenciál energetických úspor a využití obnovitelných zdrojů energie.</w:t>
      </w:r>
    </w:p>
    <w:p w:rsidR="006D67F1" w:rsidRPr="002C224A" w:rsidRDefault="006D67F1">
      <w:pPr>
        <w:rPr>
          <w:b/>
          <w:lang w:eastAsia="en-US"/>
        </w:rPr>
      </w:pPr>
    </w:p>
    <w:p w:rsidR="006D67F1" w:rsidRPr="002C224A" w:rsidRDefault="006D67F1" w:rsidP="002433DA">
      <w:pPr>
        <w:pStyle w:val="Nadpis3"/>
        <w:rPr>
          <w:rFonts w:ascii="Calibri" w:hAnsi="Calibri"/>
          <w:lang w:eastAsia="en-US"/>
        </w:rPr>
      </w:pPr>
      <w:bookmarkStart w:id="898" w:name="_Toc416383869"/>
      <w:bookmarkStart w:id="899" w:name="_Toc416447867"/>
      <w:bookmarkStart w:id="900" w:name="_Toc416383870"/>
      <w:bookmarkStart w:id="901" w:name="_Toc416447868"/>
      <w:bookmarkStart w:id="902" w:name="_Toc421534307"/>
      <w:bookmarkEnd w:id="898"/>
      <w:bookmarkEnd w:id="899"/>
      <w:bookmarkEnd w:id="900"/>
      <w:bookmarkEnd w:id="901"/>
      <w:r w:rsidRPr="002C224A">
        <w:rPr>
          <w:rFonts w:ascii="Calibri" w:hAnsi="Calibri"/>
          <w:b w:val="0"/>
          <w:bCs w:val="0"/>
          <w:lang w:eastAsia="en-US"/>
        </w:rPr>
        <w:t>Analýza selhání trhu</w:t>
      </w:r>
      <w:bookmarkEnd w:id="902"/>
    </w:p>
    <w:p w:rsidR="006D67F1" w:rsidRPr="002C224A" w:rsidRDefault="006D67F1" w:rsidP="00283266">
      <w:pPr>
        <w:pStyle w:val="Nadpis4"/>
        <w:rPr>
          <w:rFonts w:ascii="Calibri" w:hAnsi="Calibri"/>
        </w:rPr>
      </w:pPr>
      <w:r w:rsidRPr="002C224A">
        <w:rPr>
          <w:rFonts w:ascii="Calibri" w:hAnsi="Calibri"/>
        </w:rPr>
        <w:t>Tržní analýza</w:t>
      </w:r>
    </w:p>
    <w:p w:rsidR="006D67F1" w:rsidRPr="00A50943" w:rsidRDefault="006D67F1" w:rsidP="00DF6E0B">
      <w:pPr>
        <w:rPr>
          <w:lang w:eastAsia="en-US"/>
        </w:rPr>
      </w:pPr>
    </w:p>
    <w:p w:rsidR="006D67F1" w:rsidRPr="002C224A" w:rsidRDefault="006D67F1">
      <w:pPr>
        <w:rPr>
          <w:lang w:eastAsia="en-US"/>
        </w:rPr>
      </w:pPr>
      <w:r w:rsidRPr="002C224A">
        <w:rPr>
          <w:b/>
          <w:lang w:eastAsia="en-US"/>
        </w:rPr>
        <w:t xml:space="preserve">Kombinovaná výroba elektřiny a tepla (KVET) je nejúčinnější cestou přeměny energie paliva na využitelnou energii, díky které se šetří palivo i životní prostředí </w:t>
      </w:r>
      <w:r w:rsidRPr="002C224A">
        <w:rPr>
          <w:lang w:eastAsia="en-US"/>
        </w:rPr>
        <w:t>pomocí recyklace tepla z výroby elektřiny. Pokrývá téměř 2/3 dodávek tepla pro soustavy zásobování teplem v ČR a při její výrobě lze využít téměř všechna dostupná paliva. Zaváděním kogenerace se zefektivňují jak stávající tepelné kotelny, teplárny, tak elektrárny, kde je výroba elektřiny spojena s vedlejší produkcí tepla, které je nezužitkováno. Tím se ušetří až 1/3 primárního paliva. Proto je tento nejefektivnější a nejekologičtější způsob výroby elektřiny a tepla v EU podporován – a v současnosti v ČR stále čerpá provozní podporu na prodej elektřiny z kombinované výroby.</w:t>
      </w:r>
    </w:p>
    <w:p w:rsidR="006D67F1" w:rsidRPr="002C224A" w:rsidRDefault="006D67F1" w:rsidP="00DF6E0B">
      <w:pPr>
        <w:rPr>
          <w:lang w:eastAsia="en-US"/>
        </w:rPr>
      </w:pPr>
    </w:p>
    <w:p w:rsidR="006D67F1" w:rsidRPr="002C224A" w:rsidRDefault="006D67F1" w:rsidP="00DC15DD">
      <w:pPr>
        <w:rPr>
          <w:lang w:eastAsia="en-US"/>
        </w:rPr>
      </w:pPr>
      <w:r w:rsidRPr="002C224A">
        <w:rPr>
          <w:lang w:eastAsia="en-US"/>
        </w:rPr>
        <w:t>V ČR je podpora vysokoúčinné KVET zakotvena v zákoně č. 165/2012 Sb., o podporovaných zdrojích a o změně některých zákonů, a navazující vyhlášce MPO č. 453/2012 Sb., podle které se stanoví množství elektřiny z KVET, na kterou se vztahuje podpora. Podpora vysokoúčinné kombinované výroby elektřiny a tepla vychází také z legislativních předpisů EU, zejména ze Směrnice 2012/27/EU o podpoře kombinované výroby elektřiny a tepla (kogenerace) a navazujících předpisů.</w:t>
      </w:r>
      <w:r w:rsidR="000B06CA" w:rsidRPr="002C224A">
        <w:rPr>
          <w:lang w:eastAsia="en-US"/>
        </w:rPr>
        <w:t xml:space="preserve"> </w:t>
      </w:r>
      <w:r w:rsidRPr="002C224A">
        <w:rPr>
          <w:lang w:eastAsia="en-US"/>
        </w:rPr>
        <w:t xml:space="preserve">V ČR je podpora KVET realizována formou zelených bonusů k ceně elektřiny z vysokoúčinné KVET. </w:t>
      </w:r>
      <w:r w:rsidRPr="002C224A">
        <w:rPr>
          <w:b/>
          <w:lang w:eastAsia="en-US"/>
        </w:rPr>
        <w:t>Průměrná výše podpory u zařízení do 5 MWe v roce 2013 dosáhla 679 Kč/MWh, zatímco u zařízení nad 5 MWe to bylo 176 Kč/MWh.</w:t>
      </w:r>
    </w:p>
    <w:p w:rsidR="006D67F1" w:rsidRPr="002C224A" w:rsidRDefault="006D67F1" w:rsidP="00DC15DD">
      <w:pPr>
        <w:rPr>
          <w:b/>
          <w:lang w:eastAsia="en-US"/>
        </w:rPr>
      </w:pPr>
    </w:p>
    <w:p w:rsidR="006D67F1" w:rsidRPr="002C224A" w:rsidRDefault="006D67F1" w:rsidP="009F71DE">
      <w:pPr>
        <w:rPr>
          <w:lang w:eastAsia="en-US"/>
        </w:rPr>
      </w:pPr>
      <w:r w:rsidRPr="002C224A">
        <w:rPr>
          <w:b/>
          <w:lang w:eastAsia="en-US"/>
        </w:rPr>
        <w:t>V rámci malé kogenerace (pod 5 MWe) se vyrobí v současnosti jen cca 12 % elektřiny pocházející z KVET.</w:t>
      </w:r>
      <w:r w:rsidR="000B06CA" w:rsidRPr="002C224A">
        <w:rPr>
          <w:b/>
          <w:lang w:eastAsia="en-US"/>
        </w:rPr>
        <w:t xml:space="preserve"> </w:t>
      </w:r>
      <w:r w:rsidRPr="002C224A">
        <w:rPr>
          <w:lang w:eastAsia="en-US"/>
        </w:rPr>
        <w:t>Přibližně 70 % podíl paliv na KVET jsou tuhá paliva (hnědé a černé uhlí), na které se podpora OP PIK nebude vztahovat. Právě v jejich případě se jedná zpravidla o velké zdroje, které představují významný potenciál pro rekonstrukce a zefektivnění.</w:t>
      </w:r>
      <w:r w:rsidR="000B06CA" w:rsidRPr="002C224A">
        <w:rPr>
          <w:lang w:eastAsia="en-US"/>
        </w:rPr>
        <w:t xml:space="preserve"> </w:t>
      </w:r>
      <w:r w:rsidRPr="002C224A">
        <w:rPr>
          <w:b/>
          <w:lang w:eastAsia="en-US"/>
        </w:rPr>
        <w:t>Rozvíjející se potenciál nově instalovaných jednotek na trhu však představují především zdroje na zemní plyn</w:t>
      </w:r>
      <w:r w:rsidRPr="002C224A">
        <w:rPr>
          <w:lang w:eastAsia="en-US"/>
        </w:rPr>
        <w:t>, typicky kolem 800 MWe, u kterých se dle vyjádření dotazovaných expertů počítá v tomto období s významným růstem.</w:t>
      </w:r>
    </w:p>
    <w:p w:rsidR="00C00DF0" w:rsidRPr="002C224A" w:rsidRDefault="000857F9" w:rsidP="000857F9">
      <w:pPr>
        <w:pStyle w:val="Titulek"/>
      </w:pPr>
      <w:r w:rsidRPr="002C224A">
        <w:t xml:space="preserve">Obrázek </w:t>
      </w:r>
      <w:r w:rsidR="00646277">
        <w:t>33</w:t>
      </w:r>
      <w:r w:rsidR="00C00DF0" w:rsidRPr="002C224A">
        <w:t>: výroba elektřiny v rámci KVET</w:t>
      </w:r>
    </w:p>
    <w:p w:rsidR="006D67F1" w:rsidRPr="00A50943" w:rsidRDefault="007A3F34" w:rsidP="009F71DE">
      <w:pPr>
        <w:rPr>
          <w:lang w:eastAsia="en-US"/>
        </w:rPr>
      </w:pPr>
      <w:r w:rsidRPr="002C224A">
        <w:rPr>
          <w:rFonts w:cs="Arial"/>
          <w:noProof/>
          <w:color w:val="575757"/>
        </w:rPr>
        <w:lastRenderedPageBreak/>
        <w:drawing>
          <wp:inline distT="0" distB="0" distL="0" distR="0" wp14:anchorId="6173ACC1" wp14:editId="2DB7586F">
            <wp:extent cx="3943350" cy="2876550"/>
            <wp:effectExtent l="0" t="0" r="0" b="0"/>
            <wp:docPr id="64" name="Obrázek 7174" descr="Výroba elektřiny v kombinované výrobě v 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4" descr="Výroba elektřiny v kombinované výrobě v Č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2876550"/>
                    </a:xfrm>
                    <a:prstGeom prst="rect">
                      <a:avLst/>
                    </a:prstGeom>
                    <a:noFill/>
                    <a:ln>
                      <a:noFill/>
                    </a:ln>
                  </pic:spPr>
                </pic:pic>
              </a:graphicData>
            </a:graphic>
          </wp:inline>
        </w:drawing>
      </w:r>
    </w:p>
    <w:p w:rsidR="006D67F1" w:rsidRPr="00A50943" w:rsidRDefault="006D67F1" w:rsidP="009F71DE">
      <w:pPr>
        <w:rPr>
          <w:lang w:eastAsia="en-US"/>
        </w:rPr>
      </w:pPr>
      <w:r w:rsidRPr="00A50943">
        <w:rPr>
          <w:b/>
          <w:lang w:eastAsia="en-US"/>
        </w:rPr>
        <w:t>Soukromí producenti měli v roce 2010 podíl na výrobě elektřiny a tepla z kogenerace kolem 35 %, zbytek připadal na veřejné subjekty produkující elektřinu a teplo</w:t>
      </w:r>
      <w:r w:rsidRPr="002C224A">
        <w:rPr>
          <w:rStyle w:val="Znakapoznpodarou"/>
          <w:rFonts w:ascii="Calibri" w:hAnsi="Calibri"/>
        </w:rPr>
        <w:footnoteReference w:id="40"/>
      </w:r>
      <w:r w:rsidRPr="00A50943">
        <w:rPr>
          <w:lang w:eastAsia="en-US"/>
        </w:rPr>
        <w:t>.</w:t>
      </w:r>
    </w:p>
    <w:p w:rsidR="006D67F1" w:rsidRPr="002C224A" w:rsidRDefault="006D67F1" w:rsidP="009F71DE">
      <w:pPr>
        <w:rPr>
          <w:lang w:eastAsia="en-US"/>
        </w:rPr>
      </w:pPr>
    </w:p>
    <w:p w:rsidR="006D67F1" w:rsidRPr="002C224A" w:rsidRDefault="006D67F1" w:rsidP="009F71DE">
      <w:pPr>
        <w:rPr>
          <w:lang w:eastAsia="en-US"/>
        </w:rPr>
      </w:pPr>
      <w:r w:rsidRPr="002C224A">
        <w:rPr>
          <w:lang w:eastAsia="en-US"/>
        </w:rPr>
        <w:t>Státní energetický plán ČR do roku 2030</w:t>
      </w:r>
      <w:r w:rsidRPr="002C224A">
        <w:rPr>
          <w:rStyle w:val="Znakapoznpodarou"/>
          <w:rFonts w:ascii="Calibri" w:hAnsi="Calibri"/>
        </w:rPr>
        <w:footnoteReference w:id="41"/>
      </w:r>
      <w:r w:rsidRPr="00A50943">
        <w:rPr>
          <w:lang w:eastAsia="en-US"/>
        </w:rPr>
        <w:t xml:space="preserve"> má za úkol snižovat skle</w:t>
      </w:r>
      <w:r w:rsidRPr="002C224A">
        <w:rPr>
          <w:lang w:eastAsia="en-US"/>
        </w:rPr>
        <w:t xml:space="preserve">níková plyny a zvyšovat energetickou účinnost. V roce 2012 pocházelo 13 % z celkové hrubé výroby elektřiny z kogenerace. </w:t>
      </w:r>
      <w:r w:rsidRPr="002C224A">
        <w:rPr>
          <w:b/>
          <w:lang w:eastAsia="en-US"/>
        </w:rPr>
        <w:t xml:space="preserve">Cíl do roku 2030 je zvýšit tento podíl o 30 % a pokrýt více než 25 % koncové spotřeby elektřiny </w:t>
      </w:r>
      <w:r w:rsidRPr="002C224A">
        <w:rPr>
          <w:lang w:eastAsia="en-US"/>
        </w:rPr>
        <w:t>a stát se vedle jaderné energie a ostatních obnovitelných zdrojů důležitým pilířem dodávek elektrické energie v České republice.</w:t>
      </w:r>
      <w:r w:rsidR="000E7BA3" w:rsidRPr="002C224A">
        <w:rPr>
          <w:lang w:eastAsia="en-US"/>
        </w:rPr>
        <w:t xml:space="preserve"> </w:t>
      </w:r>
      <w:r w:rsidRPr="002C224A">
        <w:rPr>
          <w:b/>
          <w:lang w:eastAsia="en-US"/>
        </w:rPr>
        <w:t>Plán rozvoje kogenerace</w:t>
      </w:r>
      <w:r w:rsidRPr="002C224A">
        <w:rPr>
          <w:rStyle w:val="Znakapoznpodarou"/>
          <w:rFonts w:ascii="Calibri" w:hAnsi="Calibri"/>
          <w:b/>
          <w:lang w:eastAsia="en-US"/>
        </w:rPr>
        <w:footnoteReference w:id="42"/>
      </w:r>
      <w:r w:rsidRPr="00A50943">
        <w:rPr>
          <w:b/>
          <w:lang w:eastAsia="en-US"/>
        </w:rPr>
        <w:t>pro ČR ve své poslední verzi z roku 2014 předpokládá do roku 2020 0,4 GW nových jednotek a 1,1 GW rekonstruovaných</w:t>
      </w:r>
      <w:r w:rsidR="000857F9" w:rsidRPr="002C224A">
        <w:rPr>
          <w:b/>
          <w:lang w:eastAsia="en-US"/>
        </w:rPr>
        <w:t xml:space="preserve"> </w:t>
      </w:r>
      <w:r w:rsidRPr="002C224A">
        <w:rPr>
          <w:lang w:eastAsia="en-US"/>
        </w:rPr>
        <w:t>(viz graf níže). Lze předpokládat, že významnou část nově instalovaných jednotek z této hodnoty budou tvořit plynové zdroje, vedle zdrojů OZE (BPS, biomasa) podporovaných v SC 3.1.</w:t>
      </w:r>
    </w:p>
    <w:p w:rsidR="006D67F1" w:rsidRPr="002C224A" w:rsidRDefault="006D67F1" w:rsidP="009F71DE">
      <w:pPr>
        <w:rPr>
          <w:lang w:eastAsia="en-US"/>
        </w:rPr>
      </w:pPr>
      <w:r w:rsidRPr="002C224A">
        <w:rPr>
          <w:lang w:eastAsia="en-US"/>
        </w:rPr>
        <w:t xml:space="preserve"> </w:t>
      </w:r>
    </w:p>
    <w:p w:rsidR="006D67F1" w:rsidRPr="00A50943" w:rsidRDefault="007A3F34" w:rsidP="006F771D">
      <w:pPr>
        <w:keepNext/>
      </w:pPr>
      <w:r w:rsidRPr="00A50943">
        <w:rPr>
          <w:noProof/>
        </w:rPr>
        <w:drawing>
          <wp:inline distT="0" distB="0" distL="0" distR="0" wp14:anchorId="6DC85883" wp14:editId="39F890A7">
            <wp:extent cx="4572000" cy="2809875"/>
            <wp:effectExtent l="0" t="0" r="0" b="9525"/>
            <wp:docPr id="65" name="Obráze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3"/>
                    <pic:cNvPicPr>
                      <a:picLocks noChangeAspect="1" noChangeArrowheads="1"/>
                    </pic:cNvPicPr>
                  </pic:nvPicPr>
                  <pic:blipFill>
                    <a:blip r:embed="rId45">
                      <a:extLst>
                        <a:ext uri="{28A0092B-C50C-407E-A947-70E740481C1C}">
                          <a14:useLocalDpi xmlns:a14="http://schemas.microsoft.com/office/drawing/2010/main" val="0"/>
                        </a:ext>
                      </a:extLst>
                    </a:blip>
                    <a:srcRect l="11975" t="21291" r="34729" b="20691"/>
                    <a:stretch>
                      <a:fillRect/>
                    </a:stretch>
                  </pic:blipFill>
                  <pic:spPr bwMode="auto">
                    <a:xfrm>
                      <a:off x="0" y="0"/>
                      <a:ext cx="4572000" cy="2809875"/>
                    </a:xfrm>
                    <a:prstGeom prst="rect">
                      <a:avLst/>
                    </a:prstGeom>
                    <a:noFill/>
                    <a:ln>
                      <a:noFill/>
                    </a:ln>
                  </pic:spPr>
                </pic:pic>
              </a:graphicData>
            </a:graphic>
          </wp:inline>
        </w:drawing>
      </w:r>
    </w:p>
    <w:p w:rsidR="006D67F1" w:rsidRPr="002C224A" w:rsidRDefault="006D67F1" w:rsidP="006F771D">
      <w:pPr>
        <w:pStyle w:val="Titulek"/>
      </w:pPr>
      <w:r w:rsidRPr="002C224A">
        <w:t>Obrázek</w:t>
      </w:r>
      <w:r w:rsidR="00646277">
        <w:t xml:space="preserve"> 34</w:t>
      </w:r>
      <w:r w:rsidRPr="002C224A">
        <w:t>: Plán rozvoje kogenerace v ČR do roku 2030</w:t>
      </w:r>
    </w:p>
    <w:p w:rsidR="006D67F1" w:rsidRPr="002C224A" w:rsidRDefault="006D67F1" w:rsidP="006F771D">
      <w:pPr>
        <w:pStyle w:val="Titulek"/>
      </w:pPr>
      <w:r w:rsidRPr="002C224A">
        <w:t>Zdroj:  Plán rozvoje kogenerace pro ČR</w:t>
      </w:r>
    </w:p>
    <w:p w:rsidR="006D67F1" w:rsidRPr="00A50943" w:rsidRDefault="006D67F1">
      <w:pPr>
        <w:rPr>
          <w:b/>
          <w:lang w:eastAsia="en-US"/>
        </w:rPr>
      </w:pPr>
    </w:p>
    <w:p w:rsidR="006D67F1" w:rsidRPr="002C224A" w:rsidRDefault="006D67F1">
      <w:pPr>
        <w:rPr>
          <w:lang w:eastAsia="en-US"/>
        </w:rPr>
      </w:pPr>
      <w:r w:rsidRPr="002C224A">
        <w:rPr>
          <w:b/>
          <w:lang w:eastAsia="en-US"/>
        </w:rPr>
        <w:lastRenderedPageBreak/>
        <w:t xml:space="preserve">Velký potenciál je spojen též s oblastí přenosu vyrobeného tepla. </w:t>
      </w:r>
      <w:r w:rsidRPr="002C224A">
        <w:rPr>
          <w:lang w:eastAsia="en-US"/>
        </w:rPr>
        <w:t>Rozvodná tepelná zařízení, která umožňují existenci a rozvoj kombinované výroby elektřiny a tepla již v některých případech nevyhovují současným technickým požadavkům a docházím ke zvýšeným ztrátám energie. V některých případech bude nutno počítat s řízeným přechodem některých velkých soustav na větší množství menších systémů využívajících menší kogenerační jednotky.</w:t>
      </w:r>
    </w:p>
    <w:p w:rsidR="006D67F1" w:rsidRPr="002C224A" w:rsidRDefault="006D67F1" w:rsidP="00DF6E0B">
      <w:pPr>
        <w:rPr>
          <w:lang w:eastAsia="en-US"/>
        </w:rPr>
      </w:pPr>
    </w:p>
    <w:p w:rsidR="006D67F1" w:rsidRPr="002C224A" w:rsidRDefault="006D67F1" w:rsidP="00DF6E0B">
      <w:pPr>
        <w:rPr>
          <w:lang w:eastAsia="en-US"/>
        </w:rPr>
      </w:pPr>
      <w:r w:rsidRPr="002C224A">
        <w:rPr>
          <w:lang w:eastAsia="en-US"/>
        </w:rPr>
        <w:t>Zásadním problémem pro české centrální soustavy zásobování teplem, jichž se podpora SC 3.5 týká, je zastarávání.</w:t>
      </w:r>
      <w:r w:rsidR="000E7BA3" w:rsidRPr="002C224A">
        <w:rPr>
          <w:lang w:eastAsia="en-US"/>
        </w:rPr>
        <w:t xml:space="preserve"> </w:t>
      </w:r>
      <w:r w:rsidRPr="002C224A">
        <w:rPr>
          <w:b/>
          <w:lang w:eastAsia="en-US"/>
        </w:rPr>
        <w:t>Velká část potrubí byla budovaná v 70. a 80. letech a čelí konci své životnosti a souvisejícím tepelným ztrátám.</w:t>
      </w:r>
      <w:r w:rsidR="000E7BA3" w:rsidRPr="002C224A">
        <w:rPr>
          <w:b/>
          <w:lang w:eastAsia="en-US"/>
        </w:rPr>
        <w:t xml:space="preserve"> </w:t>
      </w:r>
      <w:r w:rsidRPr="002C224A">
        <w:rPr>
          <w:lang w:eastAsia="en-US"/>
        </w:rPr>
        <w:t xml:space="preserve">Životnost potrubí je 30 – 40 let po rekonstrukci, během které se mění z parovodů na efektivnější horkovodní či teplovodní. </w:t>
      </w:r>
    </w:p>
    <w:p w:rsidR="006D67F1" w:rsidRPr="002C224A" w:rsidRDefault="006D67F1" w:rsidP="00087DE7">
      <w:pPr>
        <w:jc w:val="left"/>
        <w:rPr>
          <w:lang w:eastAsia="en-US"/>
        </w:rPr>
      </w:pPr>
    </w:p>
    <w:p w:rsidR="006D67F1" w:rsidRPr="00A50943" w:rsidRDefault="006D67F1" w:rsidP="009638E3">
      <w:pPr>
        <w:rPr>
          <w:lang w:eastAsia="en-US"/>
        </w:rPr>
      </w:pPr>
      <w:r w:rsidRPr="002C224A">
        <w:rPr>
          <w:b/>
          <w:lang w:eastAsia="en-US"/>
        </w:rPr>
        <w:t xml:space="preserve">Investiční aktivity teplárenských společností se v posledních letech zvýšily, i vlivem veřejné podpory. V roce 2014 se vyměnilo cca </w:t>
      </w:r>
      <w:smartTag w:uri="urn:schemas-microsoft-com:office:smarttags" w:element="metricconverter">
        <w:smartTagPr>
          <w:attr w:name="ProductID" w:val="19 km"/>
        </w:smartTagPr>
        <w:r w:rsidRPr="002C224A">
          <w:rPr>
            <w:b/>
            <w:lang w:eastAsia="en-US"/>
          </w:rPr>
          <w:t>19 km</w:t>
        </w:r>
      </w:smartTag>
      <w:r w:rsidRPr="002C224A">
        <w:rPr>
          <w:b/>
          <w:lang w:eastAsia="en-US"/>
        </w:rPr>
        <w:t xml:space="preserve"> potrubí za více než půl miliardy Kč v deseti městech</w:t>
      </w:r>
      <w:r w:rsidRPr="002C224A">
        <w:rPr>
          <w:rStyle w:val="Znakapoznpodarou"/>
          <w:rFonts w:ascii="Calibri" w:hAnsi="Calibri"/>
          <w:b/>
          <w:szCs w:val="48"/>
        </w:rPr>
        <w:footnoteReference w:id="43"/>
      </w:r>
      <w:r w:rsidRPr="00A50943">
        <w:rPr>
          <w:lang w:eastAsia="en-US"/>
        </w:rPr>
        <w:t xml:space="preserve">.  V </w:t>
      </w:r>
      <w:r w:rsidRPr="002C224A">
        <w:rPr>
          <w:b/>
          <w:lang w:eastAsia="en-US"/>
        </w:rPr>
        <w:t xml:space="preserve">ČR nicméně zůstává stále mnoho set kilometrů, jejichž rekonstrukce je z důvodu konce životnosti a vysokých úniků tepla potřebná. Z asi </w:t>
      </w:r>
      <w:smartTag w:uri="urn:schemas-microsoft-com:office:smarttags" w:element="metricconverter">
        <w:smartTagPr>
          <w:attr w:name="ProductID" w:val="1500 km"/>
        </w:smartTagPr>
        <w:r w:rsidRPr="002C224A">
          <w:rPr>
            <w:b/>
            <w:lang w:eastAsia="en-US"/>
          </w:rPr>
          <w:t>1500 km</w:t>
        </w:r>
      </w:smartTag>
      <w:r w:rsidRPr="002C224A">
        <w:rPr>
          <w:b/>
          <w:lang w:eastAsia="en-US"/>
        </w:rPr>
        <w:t xml:space="preserve"> starých parovodních rozvodů</w:t>
      </w:r>
      <w:r w:rsidRPr="002C224A">
        <w:rPr>
          <w:lang w:eastAsia="en-US"/>
        </w:rPr>
        <w:t xml:space="preserve"> může být dle Teplárenského sdružení ČR (TSČR)dvě třetiny zrekonstruováno na efektivnější horkou vodu, což by si </w:t>
      </w:r>
      <w:r w:rsidRPr="002C224A">
        <w:rPr>
          <w:b/>
          <w:lang w:eastAsia="en-US"/>
        </w:rPr>
        <w:t>vyžádalo podle odhadů TSČR náklady ve výši 27 mld. Kč</w:t>
      </w:r>
      <w:r w:rsidRPr="002C224A">
        <w:rPr>
          <w:rStyle w:val="Znakapoznpodarou"/>
          <w:rFonts w:ascii="Calibri" w:hAnsi="Calibri"/>
          <w:b/>
          <w:szCs w:val="48"/>
        </w:rPr>
        <w:footnoteReference w:id="44"/>
      </w:r>
      <w:r w:rsidRPr="00A50943">
        <w:rPr>
          <w:lang w:eastAsia="en-US"/>
        </w:rPr>
        <w:t>. Zvýšené nároky na výstavbu a rekonstrukci parovodů přinesou jistě i investice do kogenerace.</w:t>
      </w:r>
    </w:p>
    <w:p w:rsidR="006D67F1" w:rsidRPr="002C224A" w:rsidRDefault="006D67F1" w:rsidP="009638E3">
      <w:pPr>
        <w:rPr>
          <w:b/>
          <w:lang w:eastAsia="en-US"/>
        </w:rPr>
      </w:pPr>
    </w:p>
    <w:p w:rsidR="006D67F1" w:rsidRPr="002C224A" w:rsidRDefault="006D67F1" w:rsidP="009638E3">
      <w:r w:rsidRPr="002C224A">
        <w:rPr>
          <w:b/>
          <w:lang w:eastAsia="en-US"/>
        </w:rPr>
        <w:t>V případě přechodu z parních sítí na horkovodní se běžně snižují ztráty tepla na polovinu, v některých případech i na méně než třetinu stávajícího stavu.</w:t>
      </w:r>
      <w:r w:rsidR="000E7BA3" w:rsidRPr="002C224A">
        <w:rPr>
          <w:b/>
          <w:lang w:eastAsia="en-US"/>
        </w:rPr>
        <w:t xml:space="preserve"> </w:t>
      </w:r>
      <w:r w:rsidRPr="002C224A">
        <w:rPr>
          <w:lang w:eastAsia="en-US"/>
        </w:rPr>
        <w:t xml:space="preserve">Nové předizolované potrubí má životnost minimálně 30 až 40 let a po jeho zprovoznění může výroba tepla klesnout o celou osminu – adekvátně se tedy může snížit i spotřeba paliva. </w:t>
      </w:r>
      <w:r w:rsidRPr="002C224A">
        <w:t>Při modernizaci všech parních rozvodů určených k rekonstrukci by dle Teplárenského sdružení ČR došlo k úspoře primární energie ve výši7,33 PJ/rok. Průměrná životnost opatření je 30 let, tzn. za dobu životnosti se jedná o úsporu</w:t>
      </w:r>
      <w:r w:rsidR="000E7BA3" w:rsidRPr="002C224A">
        <w:t xml:space="preserve"> </w:t>
      </w:r>
      <w:r w:rsidRPr="002C224A">
        <w:t>219 PJ primární energie.</w:t>
      </w:r>
    </w:p>
    <w:p w:rsidR="006D67F1" w:rsidRPr="002C224A" w:rsidRDefault="006D67F1" w:rsidP="009638E3"/>
    <w:p w:rsidR="006D67F1" w:rsidRPr="00A50943" w:rsidRDefault="006D67F1" w:rsidP="009638E3">
      <w:r w:rsidRPr="002C224A">
        <w:t>Producenti tepla jsou v současné době nuceni také k významným investicím do ekologizace provozu kvůli dostání zpřísněným evropským normám v oblasti emisí. Do konce roku 2016 mají podle TSČR teplárny investovat na tyto účely až 18 mld. Kč, které se částečně projeví ve zvýšené ceně pro odběratele</w:t>
      </w:r>
      <w:r w:rsidRPr="002C224A">
        <w:rPr>
          <w:rStyle w:val="Znakapoznpodarou"/>
          <w:rFonts w:ascii="Calibri" w:hAnsi="Calibri"/>
        </w:rPr>
        <w:footnoteReference w:id="45"/>
      </w:r>
      <w:r w:rsidRPr="00A50943">
        <w:t>.</w:t>
      </w:r>
    </w:p>
    <w:p w:rsidR="006D67F1" w:rsidRPr="002C224A" w:rsidRDefault="006D67F1" w:rsidP="009638E3"/>
    <w:p w:rsidR="006D67F1" w:rsidRPr="002C224A" w:rsidRDefault="006D67F1" w:rsidP="009638E3">
      <w:r w:rsidRPr="002C224A">
        <w:rPr>
          <w:lang w:eastAsia="en-US"/>
        </w:rPr>
        <w:t xml:space="preserve">Podniky v této oblasti jsou jednak </w:t>
      </w:r>
      <w:r w:rsidRPr="002C224A">
        <w:rPr>
          <w:b/>
          <w:lang w:eastAsia="en-US"/>
        </w:rPr>
        <w:t>velké společnosti zaměřené na KVET a prodej tepla (ČEZ, EPH, Veolia Energy)</w:t>
      </w:r>
      <w:r w:rsidRPr="002C224A">
        <w:rPr>
          <w:lang w:eastAsia="en-US"/>
        </w:rPr>
        <w:t xml:space="preserve">, zároveň ale i </w:t>
      </w:r>
      <w:r w:rsidRPr="002C224A">
        <w:rPr>
          <w:b/>
          <w:lang w:eastAsia="en-US"/>
        </w:rPr>
        <w:t>někteří menší lokální producenti, často v podobě společností ve vlastnictví obce</w:t>
      </w:r>
      <w:r w:rsidRPr="002C224A">
        <w:rPr>
          <w:lang w:eastAsia="en-US"/>
        </w:rPr>
        <w:t>, které mnohdy nemají dostatek prostředků na modernizaci a využívají pozice lokálních kvazi-monopolů.</w:t>
      </w:r>
    </w:p>
    <w:p w:rsidR="006D67F1" w:rsidRPr="002C224A" w:rsidRDefault="006D67F1">
      <w:pPr>
        <w:rPr>
          <w:b/>
          <w:lang w:eastAsia="en-US"/>
        </w:rPr>
      </w:pPr>
    </w:p>
    <w:p w:rsidR="006D67F1" w:rsidRPr="002C224A" w:rsidRDefault="006D67F1" w:rsidP="00FE5BCE">
      <w:pPr>
        <w:pStyle w:val="Neslovannadpisy"/>
        <w:rPr>
          <w:lang w:eastAsia="en-US"/>
        </w:rPr>
      </w:pPr>
      <w:r w:rsidRPr="002C224A">
        <w:rPr>
          <w:lang w:eastAsia="en-US"/>
        </w:rPr>
        <w:t>Zdroje financování</w:t>
      </w:r>
    </w:p>
    <w:p w:rsidR="006D67F1" w:rsidRPr="002C224A" w:rsidRDefault="006D67F1" w:rsidP="00085893">
      <w:pPr>
        <w:rPr>
          <w:lang w:eastAsia="en-US"/>
        </w:rPr>
      </w:pPr>
      <w:r w:rsidRPr="002C224A">
        <w:rPr>
          <w:b/>
          <w:lang w:eastAsia="en-US"/>
        </w:rPr>
        <w:t>Oblast 3.5 vykazuje z hlediska ziskovosti a stability regulovaného odvětví dobré parametry pro úvěrování bankami</w:t>
      </w:r>
      <w:r w:rsidRPr="002C224A">
        <w:rPr>
          <w:lang w:eastAsia="en-US"/>
        </w:rPr>
        <w:t>.</w:t>
      </w:r>
      <w:r w:rsidR="000E7BA3" w:rsidRPr="002C224A">
        <w:rPr>
          <w:lang w:eastAsia="en-US"/>
        </w:rPr>
        <w:t xml:space="preserve"> </w:t>
      </w:r>
      <w:r w:rsidRPr="002C224A">
        <w:rPr>
          <w:lang w:eastAsia="en-US"/>
        </w:rPr>
        <w:t>Bankovní úvěry jsou také pro většinu tepláren zásadním zdrojem, jelikož nemají pro nákladné investice dostatek vlastních zdrojů. Bariérou v rámci tepelných rozvodů je nicméně problematičnost poskytování potrubí jako kolaterálu – což v tomto ohledu omezuje též možnosti využití projektového financování. Bankovní financování je zásadním zdrojem též pro investice do KVET.</w:t>
      </w:r>
    </w:p>
    <w:p w:rsidR="006D67F1" w:rsidRPr="002C224A" w:rsidRDefault="006D67F1" w:rsidP="00085893">
      <w:pPr>
        <w:rPr>
          <w:lang w:eastAsia="en-US"/>
        </w:rPr>
      </w:pPr>
    </w:p>
    <w:p w:rsidR="006D67F1" w:rsidRPr="002C224A" w:rsidRDefault="006D67F1" w:rsidP="00085893">
      <w:pPr>
        <w:rPr>
          <w:lang w:eastAsia="en-US"/>
        </w:rPr>
      </w:pPr>
      <w:r w:rsidRPr="002C224A">
        <w:rPr>
          <w:lang w:eastAsia="en-US"/>
        </w:rPr>
        <w:t>Zvýšená investiční aktivita v minulých letech byla dána z velké části dostupností veřejných dotačních zdrojů, v podobě programů v OP PI a OP ŽP.</w:t>
      </w:r>
    </w:p>
    <w:p w:rsidR="006D67F1" w:rsidRPr="002C224A" w:rsidRDefault="006D67F1" w:rsidP="00085893">
      <w:pPr>
        <w:rPr>
          <w:lang w:eastAsia="en-US"/>
        </w:rPr>
      </w:pPr>
    </w:p>
    <w:p w:rsidR="006D67F1" w:rsidRPr="002C224A" w:rsidRDefault="006D67F1" w:rsidP="00CF29B1">
      <w:pPr>
        <w:rPr>
          <w:lang w:eastAsia="en-US"/>
        </w:rPr>
      </w:pPr>
      <w:r w:rsidRPr="002C224A">
        <w:rPr>
          <w:b/>
          <w:lang w:eastAsia="en-US"/>
        </w:rPr>
        <w:t>OP</w:t>
      </w:r>
      <w:r w:rsidR="00D52BAE" w:rsidRPr="002C224A">
        <w:rPr>
          <w:b/>
          <w:lang w:eastAsia="en-US"/>
        </w:rPr>
        <w:t xml:space="preserve"> </w:t>
      </w:r>
      <w:r w:rsidRPr="002C224A">
        <w:rPr>
          <w:b/>
          <w:lang w:eastAsia="en-US"/>
        </w:rPr>
        <w:t>PI (2007-2013) Program Eko-energie:</w:t>
      </w:r>
    </w:p>
    <w:p w:rsidR="006D67F1" w:rsidRPr="002C224A" w:rsidRDefault="006D67F1" w:rsidP="00CF29B1">
      <w:r w:rsidRPr="002C224A">
        <w:lastRenderedPageBreak/>
        <w:t xml:space="preserve">Dle materiálu „Příprava podkladů pro akční plán energetické efektivnosti“ </w:t>
      </w:r>
      <w:r w:rsidRPr="002C224A">
        <w:rPr>
          <w:b/>
        </w:rPr>
        <w:t>požádalo o financování úsporných opatření snižování ztrát v rozvodech elektřiny a tepla až 31 subjektů v 3. výzvách v celkové výši 1,41 mld. Kč</w:t>
      </w:r>
      <w:r w:rsidRPr="002C224A">
        <w:t xml:space="preserve"> (viz tabulka č. 16).</w:t>
      </w:r>
    </w:p>
    <w:p w:rsidR="006D67F1" w:rsidRPr="002C224A" w:rsidRDefault="006D67F1" w:rsidP="00CF29B1"/>
    <w:tbl>
      <w:tblPr>
        <w:tblW w:w="7580"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2763"/>
        <w:gridCol w:w="2370"/>
        <w:gridCol w:w="2447"/>
      </w:tblGrid>
      <w:tr w:rsidR="006D67F1" w:rsidRPr="002C224A" w:rsidTr="007B669C">
        <w:trPr>
          <w:trHeight w:val="20"/>
        </w:trPr>
        <w:tc>
          <w:tcPr>
            <w:tcW w:w="2763" w:type="dxa"/>
            <w:tcBorders>
              <w:top w:val="nil"/>
              <w:left w:val="nil"/>
              <w:right w:val="nil"/>
            </w:tcBorders>
            <w:shd w:val="clear" w:color="auto" w:fill="00A1DE"/>
            <w:vAlign w:val="center"/>
          </w:tcPr>
          <w:p w:rsidR="006D67F1" w:rsidRPr="00331BB7" w:rsidRDefault="006D67F1" w:rsidP="007B669C">
            <w:pPr>
              <w:jc w:val="center"/>
              <w:rPr>
                <w:rFonts w:cs="Arial"/>
                <w:b/>
                <w:color w:val="FFFFFF" w:themeColor="background1"/>
                <w:sz w:val="18"/>
                <w:szCs w:val="18"/>
              </w:rPr>
            </w:pPr>
            <w:r w:rsidRPr="00331BB7">
              <w:rPr>
                <w:b/>
                <w:color w:val="FFFFFF" w:themeColor="background1"/>
                <w:sz w:val="18"/>
                <w:szCs w:val="18"/>
              </w:rPr>
              <w:t>Modernizace, rekonstrukce a</w:t>
            </w:r>
            <w:r w:rsidRPr="00331BB7">
              <w:rPr>
                <w:b/>
                <w:color w:val="FFFFFF" w:themeColor="background1"/>
                <w:sz w:val="18"/>
                <w:szCs w:val="18"/>
              </w:rPr>
              <w:br/>
              <w:t>snižování ztrát v rozvodech</w:t>
            </w:r>
            <w:r w:rsidRPr="00331BB7">
              <w:rPr>
                <w:b/>
                <w:color w:val="FFFFFF" w:themeColor="background1"/>
                <w:sz w:val="18"/>
                <w:szCs w:val="18"/>
              </w:rPr>
              <w:br/>
              <w:t>elektřiny a tepla</w:t>
            </w:r>
          </w:p>
        </w:tc>
        <w:tc>
          <w:tcPr>
            <w:tcW w:w="2370" w:type="dxa"/>
            <w:tcBorders>
              <w:top w:val="nil"/>
              <w:left w:val="nil"/>
              <w:right w:val="nil"/>
            </w:tcBorders>
            <w:shd w:val="clear" w:color="auto" w:fill="00A1DE"/>
            <w:vAlign w:val="center"/>
          </w:tcPr>
          <w:p w:rsidR="006D67F1" w:rsidRPr="00331BB7" w:rsidRDefault="006D67F1" w:rsidP="007B669C">
            <w:pPr>
              <w:jc w:val="center"/>
              <w:rPr>
                <w:rFonts w:cs="Arial"/>
                <w:b/>
                <w:color w:val="FFFFFF" w:themeColor="background1"/>
                <w:sz w:val="18"/>
                <w:szCs w:val="18"/>
              </w:rPr>
            </w:pPr>
            <w:r w:rsidRPr="00331BB7">
              <w:rPr>
                <w:b/>
                <w:color w:val="FFFFFF" w:themeColor="background1"/>
                <w:sz w:val="18"/>
                <w:szCs w:val="18"/>
              </w:rPr>
              <w:t>Počet projektů s tímto převažujícím úsporným opatřením</w:t>
            </w:r>
          </w:p>
        </w:tc>
        <w:tc>
          <w:tcPr>
            <w:tcW w:w="2447" w:type="dxa"/>
            <w:tcBorders>
              <w:top w:val="nil"/>
              <w:left w:val="nil"/>
              <w:right w:val="nil"/>
            </w:tcBorders>
            <w:shd w:val="clear" w:color="auto" w:fill="00A1DE"/>
            <w:vAlign w:val="center"/>
          </w:tcPr>
          <w:p w:rsidR="006D67F1" w:rsidRPr="00331BB7" w:rsidRDefault="006D67F1" w:rsidP="007B669C">
            <w:pPr>
              <w:jc w:val="center"/>
              <w:rPr>
                <w:rFonts w:cs="Arial"/>
                <w:b/>
                <w:color w:val="FFFFFF" w:themeColor="background1"/>
                <w:sz w:val="18"/>
                <w:szCs w:val="18"/>
              </w:rPr>
            </w:pPr>
            <w:r w:rsidRPr="00331BB7">
              <w:rPr>
                <w:b/>
                <w:color w:val="FFFFFF" w:themeColor="background1"/>
                <w:sz w:val="18"/>
                <w:szCs w:val="18"/>
              </w:rPr>
              <w:t>Celkové způsobilé výdaje (v tis. Kč)</w:t>
            </w:r>
          </w:p>
        </w:tc>
      </w:tr>
      <w:tr w:rsidR="006D67F1" w:rsidRPr="002C224A" w:rsidTr="007B669C">
        <w:trPr>
          <w:trHeight w:val="20"/>
        </w:trPr>
        <w:tc>
          <w:tcPr>
            <w:tcW w:w="2763" w:type="dxa"/>
            <w:tcBorders>
              <w:left w:val="nil"/>
              <w:right w:val="nil"/>
            </w:tcBorders>
            <w:shd w:val="clear" w:color="auto" w:fill="FFFFFF"/>
            <w:noWrap/>
          </w:tcPr>
          <w:p w:rsidR="006D67F1" w:rsidRPr="002C224A" w:rsidRDefault="006D67F1" w:rsidP="007B669C">
            <w:pPr>
              <w:jc w:val="left"/>
              <w:rPr>
                <w:rFonts w:cs="Arial"/>
                <w:color w:val="000000"/>
                <w:sz w:val="18"/>
                <w:szCs w:val="18"/>
              </w:rPr>
            </w:pPr>
            <w:r w:rsidRPr="002C224A">
              <w:rPr>
                <w:color w:val="000000"/>
                <w:sz w:val="18"/>
                <w:szCs w:val="18"/>
              </w:rPr>
              <w:t>1. výzva</w:t>
            </w:r>
          </w:p>
        </w:tc>
        <w:tc>
          <w:tcPr>
            <w:tcW w:w="2370"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1</w:t>
            </w:r>
          </w:p>
        </w:tc>
        <w:tc>
          <w:tcPr>
            <w:tcW w:w="2447"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4 000</w:t>
            </w:r>
          </w:p>
        </w:tc>
      </w:tr>
      <w:tr w:rsidR="006D67F1" w:rsidRPr="002C224A" w:rsidTr="007B669C">
        <w:trPr>
          <w:trHeight w:val="20"/>
        </w:trPr>
        <w:tc>
          <w:tcPr>
            <w:tcW w:w="2763" w:type="dxa"/>
            <w:tcBorders>
              <w:left w:val="nil"/>
              <w:right w:val="nil"/>
            </w:tcBorders>
            <w:shd w:val="clear" w:color="auto" w:fill="FFFFFF"/>
            <w:noWrap/>
          </w:tcPr>
          <w:p w:rsidR="006D67F1" w:rsidRPr="002C224A" w:rsidRDefault="006D67F1" w:rsidP="007B669C">
            <w:pPr>
              <w:jc w:val="left"/>
              <w:rPr>
                <w:rFonts w:cs="Arial"/>
                <w:color w:val="000000"/>
                <w:sz w:val="18"/>
                <w:szCs w:val="18"/>
              </w:rPr>
            </w:pPr>
            <w:r w:rsidRPr="002C224A">
              <w:rPr>
                <w:color w:val="000000"/>
                <w:sz w:val="18"/>
                <w:szCs w:val="18"/>
              </w:rPr>
              <w:t>2. výzva (konečná spotřeba)</w:t>
            </w:r>
          </w:p>
        </w:tc>
        <w:tc>
          <w:tcPr>
            <w:tcW w:w="2370"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12</w:t>
            </w:r>
          </w:p>
        </w:tc>
        <w:tc>
          <w:tcPr>
            <w:tcW w:w="2447"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434 964</w:t>
            </w:r>
          </w:p>
        </w:tc>
      </w:tr>
      <w:tr w:rsidR="006D67F1" w:rsidRPr="002C224A" w:rsidTr="007B669C">
        <w:trPr>
          <w:trHeight w:val="20"/>
        </w:trPr>
        <w:tc>
          <w:tcPr>
            <w:tcW w:w="2763" w:type="dxa"/>
            <w:tcBorders>
              <w:left w:val="nil"/>
              <w:right w:val="nil"/>
            </w:tcBorders>
            <w:shd w:val="clear" w:color="auto" w:fill="FFFFFF"/>
            <w:noWrap/>
          </w:tcPr>
          <w:p w:rsidR="006D67F1" w:rsidRPr="002C224A" w:rsidRDefault="006D67F1" w:rsidP="007B669C">
            <w:pPr>
              <w:jc w:val="left"/>
              <w:rPr>
                <w:rFonts w:cs="Arial"/>
                <w:color w:val="000000"/>
                <w:sz w:val="18"/>
                <w:szCs w:val="18"/>
              </w:rPr>
            </w:pPr>
            <w:r w:rsidRPr="002C224A">
              <w:rPr>
                <w:color w:val="000000"/>
                <w:sz w:val="18"/>
                <w:szCs w:val="18"/>
              </w:rPr>
              <w:t>2. výzva (primární spotřeba)</w:t>
            </w:r>
          </w:p>
        </w:tc>
        <w:tc>
          <w:tcPr>
            <w:tcW w:w="2370"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6</w:t>
            </w:r>
          </w:p>
        </w:tc>
        <w:tc>
          <w:tcPr>
            <w:tcW w:w="2447"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509 475</w:t>
            </w:r>
          </w:p>
        </w:tc>
      </w:tr>
      <w:tr w:rsidR="006D67F1" w:rsidRPr="002C224A" w:rsidTr="007B669C">
        <w:trPr>
          <w:trHeight w:val="20"/>
        </w:trPr>
        <w:tc>
          <w:tcPr>
            <w:tcW w:w="2763" w:type="dxa"/>
            <w:tcBorders>
              <w:left w:val="nil"/>
              <w:right w:val="nil"/>
            </w:tcBorders>
            <w:shd w:val="clear" w:color="auto" w:fill="FFFFFF"/>
            <w:noWrap/>
          </w:tcPr>
          <w:p w:rsidR="006D67F1" w:rsidRPr="002C224A" w:rsidRDefault="006D67F1" w:rsidP="007B669C">
            <w:pPr>
              <w:jc w:val="left"/>
              <w:rPr>
                <w:rFonts w:cs="Arial"/>
                <w:color w:val="000000"/>
                <w:sz w:val="18"/>
                <w:szCs w:val="18"/>
              </w:rPr>
            </w:pPr>
            <w:r w:rsidRPr="002C224A">
              <w:rPr>
                <w:color w:val="000000"/>
                <w:sz w:val="18"/>
                <w:szCs w:val="18"/>
              </w:rPr>
              <w:t>3. výzva (konečná spotřeba)</w:t>
            </w:r>
          </w:p>
        </w:tc>
        <w:tc>
          <w:tcPr>
            <w:tcW w:w="2370"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4</w:t>
            </w:r>
          </w:p>
        </w:tc>
        <w:tc>
          <w:tcPr>
            <w:tcW w:w="2447"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121 153</w:t>
            </w:r>
          </w:p>
        </w:tc>
      </w:tr>
      <w:tr w:rsidR="006D67F1" w:rsidRPr="002C224A" w:rsidTr="007B669C">
        <w:trPr>
          <w:trHeight w:val="20"/>
        </w:trPr>
        <w:tc>
          <w:tcPr>
            <w:tcW w:w="2763" w:type="dxa"/>
            <w:tcBorders>
              <w:left w:val="nil"/>
              <w:right w:val="nil"/>
            </w:tcBorders>
            <w:shd w:val="clear" w:color="auto" w:fill="FFFFFF"/>
            <w:noWrap/>
          </w:tcPr>
          <w:p w:rsidR="006D67F1" w:rsidRPr="002C224A" w:rsidRDefault="006D67F1" w:rsidP="007B669C">
            <w:pPr>
              <w:jc w:val="left"/>
              <w:rPr>
                <w:rFonts w:cs="Arial"/>
                <w:color w:val="000000"/>
                <w:sz w:val="18"/>
                <w:szCs w:val="18"/>
              </w:rPr>
            </w:pPr>
            <w:r w:rsidRPr="002C224A">
              <w:rPr>
                <w:color w:val="000000"/>
                <w:sz w:val="18"/>
                <w:szCs w:val="18"/>
              </w:rPr>
              <w:t>3. výzva (primární spotřeba)</w:t>
            </w:r>
          </w:p>
        </w:tc>
        <w:tc>
          <w:tcPr>
            <w:tcW w:w="2370"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8</w:t>
            </w:r>
          </w:p>
        </w:tc>
        <w:tc>
          <w:tcPr>
            <w:tcW w:w="2447" w:type="dxa"/>
            <w:tcBorders>
              <w:left w:val="nil"/>
              <w:right w:val="nil"/>
            </w:tcBorders>
            <w:shd w:val="clear" w:color="auto" w:fill="FFFFFF"/>
            <w:noWrap/>
          </w:tcPr>
          <w:p w:rsidR="006D67F1" w:rsidRPr="002C224A" w:rsidRDefault="006D67F1" w:rsidP="007B669C">
            <w:pPr>
              <w:jc w:val="right"/>
              <w:rPr>
                <w:rFonts w:cs="Arial"/>
                <w:color w:val="000000"/>
                <w:sz w:val="18"/>
                <w:szCs w:val="18"/>
              </w:rPr>
            </w:pPr>
            <w:r w:rsidRPr="00A50943">
              <w:rPr>
                <w:color w:val="000000"/>
                <w:sz w:val="18"/>
                <w:szCs w:val="18"/>
              </w:rPr>
              <w:t>338 691</w:t>
            </w:r>
          </w:p>
        </w:tc>
      </w:tr>
      <w:tr w:rsidR="006D67F1" w:rsidRPr="002C224A" w:rsidTr="007B669C">
        <w:trPr>
          <w:trHeight w:val="20"/>
        </w:trPr>
        <w:tc>
          <w:tcPr>
            <w:tcW w:w="2763" w:type="dxa"/>
            <w:tcBorders>
              <w:left w:val="nil"/>
              <w:right w:val="nil"/>
            </w:tcBorders>
            <w:shd w:val="clear" w:color="auto" w:fill="92D050"/>
            <w:noWrap/>
          </w:tcPr>
          <w:p w:rsidR="006D67F1" w:rsidRPr="002C224A" w:rsidRDefault="006D67F1" w:rsidP="007B669C">
            <w:pPr>
              <w:jc w:val="left"/>
              <w:rPr>
                <w:rFonts w:cs="Arial"/>
                <w:b/>
                <w:bCs/>
                <w:color w:val="000000"/>
                <w:sz w:val="18"/>
                <w:szCs w:val="18"/>
              </w:rPr>
            </w:pPr>
            <w:r w:rsidRPr="002C224A">
              <w:rPr>
                <w:b/>
                <w:bCs/>
                <w:color w:val="000000"/>
                <w:sz w:val="18"/>
                <w:szCs w:val="18"/>
              </w:rPr>
              <w:t>Celkem</w:t>
            </w:r>
          </w:p>
        </w:tc>
        <w:tc>
          <w:tcPr>
            <w:tcW w:w="2370" w:type="dxa"/>
            <w:tcBorders>
              <w:left w:val="nil"/>
              <w:right w:val="nil"/>
            </w:tcBorders>
            <w:shd w:val="clear" w:color="auto" w:fill="92D050"/>
            <w:noWrap/>
          </w:tcPr>
          <w:p w:rsidR="006D67F1" w:rsidRPr="002C224A" w:rsidRDefault="006D67F1" w:rsidP="007B669C">
            <w:pPr>
              <w:jc w:val="right"/>
              <w:rPr>
                <w:rFonts w:cs="Arial"/>
                <w:b/>
                <w:bCs/>
                <w:color w:val="000000"/>
                <w:sz w:val="18"/>
                <w:szCs w:val="18"/>
              </w:rPr>
            </w:pPr>
            <w:r w:rsidRPr="00A50943">
              <w:rPr>
                <w:b/>
                <w:bCs/>
                <w:color w:val="000000"/>
                <w:sz w:val="18"/>
                <w:szCs w:val="18"/>
              </w:rPr>
              <w:t>31</w:t>
            </w:r>
          </w:p>
        </w:tc>
        <w:tc>
          <w:tcPr>
            <w:tcW w:w="2447" w:type="dxa"/>
            <w:tcBorders>
              <w:left w:val="nil"/>
              <w:right w:val="nil"/>
            </w:tcBorders>
            <w:shd w:val="clear" w:color="auto" w:fill="92D050"/>
            <w:noWrap/>
          </w:tcPr>
          <w:p w:rsidR="006D67F1" w:rsidRPr="002C224A" w:rsidRDefault="006D67F1" w:rsidP="007B669C">
            <w:pPr>
              <w:keepNext/>
              <w:jc w:val="right"/>
              <w:rPr>
                <w:rFonts w:cs="Arial"/>
                <w:b/>
                <w:bCs/>
                <w:color w:val="000000"/>
                <w:sz w:val="18"/>
                <w:szCs w:val="18"/>
              </w:rPr>
            </w:pPr>
            <w:r w:rsidRPr="00A50943">
              <w:rPr>
                <w:b/>
                <w:bCs/>
                <w:color w:val="000000"/>
                <w:sz w:val="18"/>
                <w:szCs w:val="18"/>
              </w:rPr>
              <w:t>1 408 283</w:t>
            </w:r>
          </w:p>
        </w:tc>
      </w:tr>
    </w:tbl>
    <w:p w:rsidR="006D67F1" w:rsidRPr="002C224A" w:rsidRDefault="006D67F1" w:rsidP="006F20EF">
      <w:pPr>
        <w:pStyle w:val="Titulek"/>
      </w:pPr>
      <w:r w:rsidRPr="002C224A">
        <w:t xml:space="preserve">Tabulka </w:t>
      </w:r>
      <w:r w:rsidR="00F6076B">
        <w:t>83</w:t>
      </w:r>
      <w:r w:rsidRPr="002C224A">
        <w:t>: Přehled počtu projektu v OPPI v prioritní osy 3.1 zaměřených na rozvody tepla</w:t>
      </w:r>
    </w:p>
    <w:p w:rsidR="006D67F1" w:rsidRPr="002C224A" w:rsidRDefault="006D67F1" w:rsidP="002433DA">
      <w:pPr>
        <w:pStyle w:val="Titulek"/>
      </w:pPr>
      <w:r w:rsidRPr="002C224A">
        <w:t>Zdroj: Příprava podkladů pro akční plán energetické efektivnosti</w:t>
      </w:r>
    </w:p>
    <w:p w:rsidR="006D67F1" w:rsidRPr="00A50943" w:rsidRDefault="006D67F1" w:rsidP="00FE5BCE">
      <w:pPr>
        <w:rPr>
          <w:b/>
          <w:lang w:eastAsia="en-US"/>
        </w:rPr>
      </w:pPr>
    </w:p>
    <w:p w:rsidR="006D67F1" w:rsidRPr="002C224A" w:rsidRDefault="006D67F1" w:rsidP="00FE5BCE">
      <w:pPr>
        <w:rPr>
          <w:b/>
          <w:lang w:eastAsia="en-US"/>
        </w:rPr>
      </w:pPr>
      <w:r w:rsidRPr="002C224A">
        <w:rPr>
          <w:b/>
        </w:rPr>
        <w:t>17 projektů z I až z III. výzvy EKO-ENERGIE obsahovalo opatření instalace KVET v primární spotřebě.</w:t>
      </w:r>
      <w:r w:rsidRPr="002C224A">
        <w:t xml:space="preserve"> Průměrný investiční náklady na realizaci projektu KVET se pohybovaly ve výši cca </w:t>
      </w:r>
      <w:smartTag w:uri="urn:schemas-microsoft-com:office:smarttags" w:element="metricconverter">
        <w:smartTagPr>
          <w:attr w:name="ProductID" w:val="63 mil"/>
        </w:smartTagPr>
        <w:r w:rsidRPr="002C224A">
          <w:t>63 mil</w:t>
        </w:r>
      </w:smartTag>
      <w:r w:rsidRPr="002C224A">
        <w:t>. Kč. V rámci III. prodloužené výzvy KVET podporovány nebyly.</w:t>
      </w:r>
    </w:p>
    <w:p w:rsidR="006D67F1" w:rsidRPr="002C224A" w:rsidRDefault="006D67F1" w:rsidP="00FE5BCE">
      <w:pPr>
        <w:rPr>
          <w:b/>
          <w:lang w:eastAsia="en-US"/>
        </w:rPr>
      </w:pPr>
    </w:p>
    <w:p w:rsidR="006D67F1" w:rsidRPr="002C224A" w:rsidRDefault="006D67F1" w:rsidP="00FE5BCE">
      <w:pPr>
        <w:rPr>
          <w:lang w:eastAsia="en-US"/>
        </w:rPr>
      </w:pPr>
      <w:r w:rsidRPr="002C224A">
        <w:rPr>
          <w:b/>
          <w:lang w:eastAsia="en-US"/>
        </w:rPr>
        <w:t xml:space="preserve">OP ŽP (2007-2013) </w:t>
      </w:r>
      <w:r w:rsidRPr="002C224A">
        <w:rPr>
          <w:lang w:eastAsia="en-US"/>
        </w:rPr>
        <w:t>V rámci podoblasti podpory 2.1.2 bylo možno čerpat dotace přímo na rekonstrukci tepelných rozvodů a výstavbu nového centrálního zdroje tepla. Pro tyto projekty bylo možno čerpat od roku 2013 606 milionů Kč.</w:t>
      </w:r>
    </w:p>
    <w:p w:rsidR="000E7BA3" w:rsidRPr="002C224A" w:rsidRDefault="000E7BA3" w:rsidP="00FE5BCE">
      <w:pPr>
        <w:rPr>
          <w:lang w:eastAsia="en-US"/>
        </w:rPr>
      </w:pPr>
    </w:p>
    <w:p w:rsidR="006D67F1" w:rsidRPr="002C224A" w:rsidRDefault="006D67F1" w:rsidP="00283266">
      <w:pPr>
        <w:pStyle w:val="Nadpis4"/>
        <w:rPr>
          <w:rFonts w:ascii="Calibri" w:hAnsi="Calibri"/>
        </w:rPr>
      </w:pPr>
      <w:bookmarkStart w:id="903" w:name="_Toc416383872"/>
      <w:bookmarkStart w:id="904" w:name="_Toc416447870"/>
      <w:bookmarkStart w:id="905" w:name="_Toc416383873"/>
      <w:bookmarkStart w:id="906" w:name="_Toc416447871"/>
      <w:bookmarkStart w:id="907" w:name="_Toc416383874"/>
      <w:bookmarkStart w:id="908" w:name="_Toc416447872"/>
      <w:bookmarkStart w:id="909" w:name="_Toc416800466"/>
      <w:bookmarkEnd w:id="903"/>
      <w:bookmarkEnd w:id="904"/>
      <w:bookmarkEnd w:id="905"/>
      <w:bookmarkEnd w:id="906"/>
      <w:bookmarkEnd w:id="907"/>
      <w:bookmarkEnd w:id="908"/>
      <w:r w:rsidRPr="002C224A">
        <w:rPr>
          <w:rFonts w:ascii="Calibri" w:hAnsi="Calibri"/>
        </w:rPr>
        <w:t>Odhad absorpční kapacity veřejné podpory a finančního nástroje</w:t>
      </w:r>
    </w:p>
    <w:p w:rsidR="006D67F1" w:rsidRPr="00A50943" w:rsidRDefault="006D67F1" w:rsidP="00CD09D2">
      <w:pPr>
        <w:pStyle w:val="Neslovannadpisy"/>
        <w:rPr>
          <w:lang w:eastAsia="en-US"/>
        </w:rPr>
      </w:pPr>
    </w:p>
    <w:bookmarkEnd w:id="909"/>
    <w:p w:rsidR="006D67F1" w:rsidRPr="002C224A" w:rsidRDefault="006D67F1" w:rsidP="00CD09D2">
      <w:pPr>
        <w:pStyle w:val="Neslovannadpisy"/>
      </w:pPr>
      <w:r w:rsidRPr="002C224A">
        <w:t>Poptávka zjišťovaná z dotazníku</w:t>
      </w:r>
    </w:p>
    <w:p w:rsidR="00A532D7" w:rsidRDefault="006D67F1" w:rsidP="00F76EF0">
      <w:r w:rsidRPr="002C224A">
        <w:t xml:space="preserve">V dotazníkovém šetření k této studii vyjádřilo </w:t>
      </w:r>
      <w:r w:rsidRPr="002C224A">
        <w:rPr>
          <w:b/>
        </w:rPr>
        <w:t xml:space="preserve">79 společností svůj investiční záměr k SC 3.5. OPPIK 2014 – 2020. Uvažované investiční záměry dosahují výše </w:t>
      </w:r>
      <w:smartTag w:uri="urn:schemas-microsoft-com:office:smarttags" w:element="metricconverter">
        <w:r w:rsidRPr="002C224A">
          <w:rPr>
            <w:b/>
          </w:rPr>
          <w:t>952,5 mil</w:t>
        </w:r>
      </w:smartTag>
      <w:r w:rsidRPr="002C224A">
        <w:rPr>
          <w:b/>
        </w:rPr>
        <w:t>. Kč</w:t>
      </w:r>
      <w:r w:rsidRPr="002C224A">
        <w:t xml:space="preserve"> s očekávanou dobou návratnosti 7,5 roku.</w:t>
      </w:r>
    </w:p>
    <w:p w:rsidR="006D67F1" w:rsidRDefault="006D67F1" w:rsidP="00DD69BE">
      <w:pPr>
        <w:pStyle w:val="Neslovannadpisy"/>
      </w:pPr>
    </w:p>
    <w:p w:rsidR="006D67F1" w:rsidRPr="002C224A" w:rsidRDefault="006D67F1" w:rsidP="00DD69BE">
      <w:pPr>
        <w:pStyle w:val="Neslovannadpisy"/>
      </w:pPr>
      <w:r w:rsidRPr="002C224A">
        <w:t>Odhad absorpční kapacity navrhovaných finančních nástrojů</w:t>
      </w:r>
    </w:p>
    <w:p w:rsidR="006D67F1" w:rsidRPr="002C224A" w:rsidRDefault="006D67F1" w:rsidP="00DD69BE">
      <w:r w:rsidRPr="002C224A">
        <w:t>Na základě odhadů Teplárenského sdružení o celkové investiční potřebě CZT (27 mld. Kč), dat o investiční aktivitě a podpoře v rámci OP</w:t>
      </w:r>
      <w:r w:rsidR="00A532D7">
        <w:t xml:space="preserve"> </w:t>
      </w:r>
      <w:r w:rsidRPr="002C224A">
        <w:t>PI a OP</w:t>
      </w:r>
      <w:r w:rsidR="00A532D7">
        <w:t xml:space="preserve"> </w:t>
      </w:r>
      <w:r w:rsidRPr="002C224A">
        <w:t xml:space="preserve">ŽP v minulých letech a předpokladu zvýšené akcelerace rekonstrukcí v nadcházejícím období </w:t>
      </w:r>
      <w:r w:rsidRPr="002C224A">
        <w:rPr>
          <w:b/>
        </w:rPr>
        <w:t>odhadujeme minimální investiční poptávku v oblasti SC 3.5 v příštím období na 4-10 mld. Kč</w:t>
      </w:r>
      <w:r w:rsidRPr="002C224A">
        <w:t>. Pokud by se aktivoval veškerý potenciál, který Teplárenské sdružení ČR odhaduje, může být reálná absorpční kapacita ještě výrazně vyšší. Z hlediska významných tržních selhání v oblasti CZT bude nicméně valná část této odhadované poptávky závislá na dotační podpoře.</w:t>
      </w:r>
    </w:p>
    <w:p w:rsidR="006D67F1" w:rsidRPr="002C224A" w:rsidRDefault="006D67F1" w:rsidP="00DD69BE"/>
    <w:p w:rsidR="006D67F1" w:rsidRPr="002C224A" w:rsidRDefault="006D67F1" w:rsidP="00DD69BE">
      <w:r w:rsidRPr="002C224A">
        <w:t>Na základě výše uvedeného Plánu rozvoje kogenerace pro ČR může do roku 2020 vzniknout 0,4 GW nových a 1,1 GW rekonstruovaných jednotek kogenerace, s dalším růstem investic do roku 2030. Lze předpokládat, že velká část rekonstrukcí půjde do nepodporovaných oblastí uhelné kogenerace, naopak významná část (modelově předpokládáno 50 %) bude obsahovat cílové plynové jednotky SC 3.5. Na základě těchto předpokladů a zkušenosti s velikostí těchto projektů v OP PI (20-</w:t>
      </w:r>
      <w:smartTag w:uri="urn:schemas-microsoft-com:office:smarttags" w:element="metricconverter">
        <w:smartTagPr>
          <w:attr w:name="ProductID" w:val="30 mil"/>
        </w:smartTagPr>
        <w:r w:rsidRPr="002C224A">
          <w:t>30 mil</w:t>
        </w:r>
      </w:smartTag>
      <w:r w:rsidRPr="002C224A">
        <w:t>. investičních nákladů)</w:t>
      </w:r>
      <w:r w:rsidRPr="002C224A">
        <w:rPr>
          <w:b/>
        </w:rPr>
        <w:t>lze odhadnout investiční poptávku nových projektů až na úrovni 6 mld. Kč. Při nenaplnění optimistického scénáře a pouze polovičním růstu KVET by se jednalo o 3 mld. Kč.</w:t>
      </w:r>
    </w:p>
    <w:p w:rsidR="000857F9" w:rsidRPr="002C224A" w:rsidRDefault="000857F9" w:rsidP="00DD69BE"/>
    <w:p w:rsidR="000857F9" w:rsidRPr="002C224A" w:rsidRDefault="000857F9" w:rsidP="000857F9">
      <w:pPr>
        <w:pStyle w:val="Titulek"/>
      </w:pPr>
      <w:r w:rsidRPr="002C224A">
        <w:t>Tabulka 8</w:t>
      </w:r>
      <w:r w:rsidR="00F6076B">
        <w:t>4</w:t>
      </w:r>
      <w:r w:rsidRPr="002C224A">
        <w:t xml:space="preserve">: odhad investiční poptávky </w:t>
      </w:r>
    </w:p>
    <w:tbl>
      <w:tblPr>
        <w:tblW w:w="84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2380"/>
        <w:gridCol w:w="3000"/>
        <w:gridCol w:w="3100"/>
      </w:tblGrid>
      <w:tr w:rsidR="006D67F1" w:rsidRPr="002C224A" w:rsidTr="006F771D">
        <w:trPr>
          <w:trHeight w:val="300"/>
        </w:trPr>
        <w:tc>
          <w:tcPr>
            <w:tcW w:w="8480" w:type="dxa"/>
            <w:gridSpan w:val="3"/>
            <w:tcBorders>
              <w:top w:val="single" w:sz="4" w:space="0" w:color="auto"/>
            </w:tcBorders>
            <w:shd w:val="clear" w:color="000000" w:fill="4F81BD"/>
            <w:noWrap/>
            <w:vAlign w:val="center"/>
          </w:tcPr>
          <w:p w:rsidR="006D67F1" w:rsidRPr="002C224A" w:rsidRDefault="006D67F1" w:rsidP="00BB10D7">
            <w:pPr>
              <w:overflowPunct/>
              <w:autoSpaceDE/>
              <w:autoSpaceDN/>
              <w:adjustRightInd/>
              <w:jc w:val="center"/>
              <w:textAlignment w:val="auto"/>
              <w:rPr>
                <w:rFonts w:cs="Calibri"/>
                <w:color w:val="FFFFFF"/>
                <w:szCs w:val="22"/>
              </w:rPr>
            </w:pPr>
            <w:r w:rsidRPr="00A50943">
              <w:rPr>
                <w:rFonts w:cs="Calibri"/>
                <w:color w:val="FFFFFF"/>
                <w:szCs w:val="22"/>
              </w:rPr>
              <w:t>Odhad investiční poptávky K</w:t>
            </w:r>
            <w:r w:rsidRPr="002C224A">
              <w:rPr>
                <w:rFonts w:cs="Calibri"/>
                <w:color w:val="FFFFFF"/>
                <w:szCs w:val="22"/>
              </w:rPr>
              <w:t>VET SC 3.5</w:t>
            </w:r>
          </w:p>
        </w:tc>
      </w:tr>
      <w:tr w:rsidR="006D67F1" w:rsidRPr="002C224A" w:rsidTr="006F771D">
        <w:trPr>
          <w:trHeight w:val="945"/>
        </w:trPr>
        <w:tc>
          <w:tcPr>
            <w:tcW w:w="2380" w:type="dxa"/>
            <w:vAlign w:val="center"/>
          </w:tcPr>
          <w:p w:rsidR="006D67F1" w:rsidRPr="002C224A" w:rsidRDefault="006D67F1" w:rsidP="00BB10D7">
            <w:pPr>
              <w:overflowPunct/>
              <w:autoSpaceDE/>
              <w:autoSpaceDN/>
              <w:adjustRightInd/>
              <w:jc w:val="center"/>
              <w:textAlignment w:val="auto"/>
              <w:rPr>
                <w:rFonts w:cs="Calibri"/>
                <w:color w:val="000000"/>
                <w:szCs w:val="22"/>
              </w:rPr>
            </w:pPr>
            <w:r w:rsidRPr="002C224A">
              <w:rPr>
                <w:rFonts w:cs="Calibri"/>
                <w:color w:val="000000"/>
                <w:szCs w:val="22"/>
              </w:rPr>
              <w:lastRenderedPageBreak/>
              <w:t>Odhad nárůstu produkce cílových projektů SC 3.5 do roku 2020 (MWe)</w:t>
            </w:r>
          </w:p>
        </w:tc>
        <w:tc>
          <w:tcPr>
            <w:tcW w:w="3000" w:type="dxa"/>
            <w:vAlign w:val="center"/>
          </w:tcPr>
          <w:p w:rsidR="006D67F1" w:rsidRPr="002C224A" w:rsidRDefault="006D67F1" w:rsidP="00BB10D7">
            <w:pPr>
              <w:overflowPunct/>
              <w:autoSpaceDE/>
              <w:autoSpaceDN/>
              <w:adjustRightInd/>
              <w:jc w:val="center"/>
              <w:textAlignment w:val="auto"/>
              <w:rPr>
                <w:rFonts w:cs="Calibri"/>
                <w:color w:val="000000"/>
                <w:szCs w:val="22"/>
              </w:rPr>
            </w:pPr>
            <w:r w:rsidRPr="002C224A">
              <w:rPr>
                <w:rFonts w:cs="Calibri"/>
                <w:color w:val="000000"/>
                <w:szCs w:val="22"/>
              </w:rPr>
              <w:t>Odhadovaný počet projektů SC 3.5 (nové jednotky, plyn)</w:t>
            </w:r>
          </w:p>
        </w:tc>
        <w:tc>
          <w:tcPr>
            <w:tcW w:w="3100" w:type="dxa"/>
            <w:vAlign w:val="center"/>
          </w:tcPr>
          <w:p w:rsidR="006D67F1" w:rsidRPr="002C224A" w:rsidRDefault="006D67F1" w:rsidP="00BB10D7">
            <w:pPr>
              <w:overflowPunct/>
              <w:autoSpaceDE/>
              <w:autoSpaceDN/>
              <w:adjustRightInd/>
              <w:jc w:val="center"/>
              <w:textAlignment w:val="auto"/>
              <w:rPr>
                <w:rFonts w:cs="Calibri"/>
                <w:color w:val="000000"/>
                <w:szCs w:val="22"/>
              </w:rPr>
            </w:pPr>
            <w:r w:rsidRPr="002C224A">
              <w:rPr>
                <w:rFonts w:cs="Calibri"/>
                <w:color w:val="000000"/>
                <w:szCs w:val="22"/>
              </w:rPr>
              <w:t>Odhad celkových investičních nákladů projektů (mil. Kč)</w:t>
            </w:r>
          </w:p>
        </w:tc>
      </w:tr>
      <w:tr w:rsidR="006D67F1" w:rsidRPr="002C224A" w:rsidTr="006F771D">
        <w:trPr>
          <w:trHeight w:val="300"/>
        </w:trPr>
        <w:tc>
          <w:tcPr>
            <w:tcW w:w="2380" w:type="dxa"/>
            <w:tcBorders>
              <w:bottom w:val="single" w:sz="4" w:space="0" w:color="auto"/>
            </w:tcBorders>
            <w:vAlign w:val="center"/>
          </w:tcPr>
          <w:p w:rsidR="006D67F1" w:rsidRPr="002C224A" w:rsidRDefault="006D67F1" w:rsidP="00BB10D7">
            <w:pPr>
              <w:overflowPunct/>
              <w:autoSpaceDE/>
              <w:autoSpaceDN/>
              <w:adjustRightInd/>
              <w:jc w:val="center"/>
              <w:textAlignment w:val="auto"/>
              <w:rPr>
                <w:rFonts w:cs="Calibri"/>
                <w:color w:val="000000"/>
                <w:szCs w:val="22"/>
              </w:rPr>
            </w:pPr>
            <w:r w:rsidRPr="002C224A">
              <w:rPr>
                <w:rFonts w:cs="Calibri"/>
                <w:color w:val="000000"/>
                <w:szCs w:val="22"/>
              </w:rPr>
              <w:t>200-400</w:t>
            </w:r>
          </w:p>
        </w:tc>
        <w:tc>
          <w:tcPr>
            <w:tcW w:w="3000" w:type="dxa"/>
            <w:tcBorders>
              <w:bottom w:val="single" w:sz="4" w:space="0" w:color="auto"/>
            </w:tcBorders>
            <w:vAlign w:val="center"/>
          </w:tcPr>
          <w:p w:rsidR="006D67F1" w:rsidRPr="002C224A" w:rsidRDefault="006D67F1" w:rsidP="00BB10D7">
            <w:pPr>
              <w:overflowPunct/>
              <w:autoSpaceDE/>
              <w:autoSpaceDN/>
              <w:adjustRightInd/>
              <w:jc w:val="center"/>
              <w:textAlignment w:val="auto"/>
              <w:rPr>
                <w:rFonts w:cs="Calibri"/>
                <w:color w:val="000000"/>
                <w:szCs w:val="22"/>
              </w:rPr>
            </w:pPr>
            <w:r w:rsidRPr="002C224A">
              <w:rPr>
                <w:rFonts w:cs="Calibri"/>
                <w:color w:val="000000"/>
                <w:szCs w:val="22"/>
              </w:rPr>
              <w:t>125-250</w:t>
            </w:r>
          </w:p>
        </w:tc>
        <w:tc>
          <w:tcPr>
            <w:tcW w:w="3100" w:type="dxa"/>
            <w:tcBorders>
              <w:bottom w:val="single" w:sz="4" w:space="0" w:color="auto"/>
            </w:tcBorders>
            <w:vAlign w:val="center"/>
          </w:tcPr>
          <w:p w:rsidR="006D67F1" w:rsidRPr="002C224A" w:rsidRDefault="006D67F1" w:rsidP="00BB10D7">
            <w:pPr>
              <w:overflowPunct/>
              <w:autoSpaceDE/>
              <w:autoSpaceDN/>
              <w:adjustRightInd/>
              <w:jc w:val="center"/>
              <w:textAlignment w:val="auto"/>
              <w:rPr>
                <w:rFonts w:cs="Calibri"/>
                <w:color w:val="000000"/>
                <w:szCs w:val="22"/>
              </w:rPr>
            </w:pPr>
            <w:r w:rsidRPr="002C224A">
              <w:rPr>
                <w:rFonts w:cs="Calibri"/>
                <w:color w:val="000000"/>
                <w:szCs w:val="22"/>
              </w:rPr>
              <w:t>3100-6200</w:t>
            </w:r>
          </w:p>
        </w:tc>
      </w:tr>
    </w:tbl>
    <w:p w:rsidR="006D67F1" w:rsidRPr="002C224A" w:rsidRDefault="006D67F1" w:rsidP="00283266">
      <w:pPr>
        <w:pStyle w:val="Nadpis4"/>
        <w:rPr>
          <w:rFonts w:ascii="Calibri" w:hAnsi="Calibri"/>
        </w:rPr>
      </w:pPr>
      <w:bookmarkStart w:id="910" w:name="_Toc416800467"/>
      <w:r w:rsidRPr="002C224A">
        <w:rPr>
          <w:rFonts w:ascii="Calibri" w:hAnsi="Calibri"/>
        </w:rPr>
        <w:t>Identifikace selhání trhu a suboptimálních investičních situací</w:t>
      </w:r>
    </w:p>
    <w:p w:rsidR="006D67F1" w:rsidRPr="00A50943" w:rsidRDefault="006D67F1" w:rsidP="00116A6A"/>
    <w:bookmarkEnd w:id="910"/>
    <w:p w:rsidR="006D67F1" w:rsidRPr="002C224A" w:rsidRDefault="006D67F1" w:rsidP="00116A6A">
      <w:r w:rsidRPr="002C224A">
        <w:t>Výrazné energetické ztráty v letitých rozvodech tepla jsou dnes citelným problémem v oblasti energetické účinnosti, který zvyšuje spotřebu fosilních paliv. Relativně malá investiční aktivita i přes dlouhodobě ziskový charakter investic indikuje výrazné tržní selhání.</w:t>
      </w:r>
    </w:p>
    <w:p w:rsidR="006D67F1" w:rsidRPr="002C224A" w:rsidRDefault="006D67F1" w:rsidP="00116A6A"/>
    <w:p w:rsidR="006D67F1" w:rsidRPr="002C224A" w:rsidRDefault="006D67F1">
      <w:r w:rsidRPr="002C224A">
        <w:t>Suboptimální investiční situace v SC 3.5 spočívá zejména ve vysokých nákladech na rekonstrukci (řádově až stamilionové projekty),</w:t>
      </w:r>
      <w:r w:rsidR="000E7BA3" w:rsidRPr="002C224A">
        <w:t xml:space="preserve"> </w:t>
      </w:r>
      <w:r w:rsidRPr="002C224A">
        <w:t>dlouhé době návratnost (až 15 let) a také regulovanosti odvětví. Určování cen dle kalkulace podle cenových rozhodnutí ERÚ není v případě producentů tepla příliš motivující pro nové investice. Producenti tepla vystupují prakticky v pozici lokálních kvazi-monopolů a mohou do značné míry přenášet náklady na paliva a energetické ztráty na odběratele – byť postupující odpojování uživatelů od centrálního zásobování, přechod na decentralizované zdroje a energetické úspory pozici centrálních producentů komplikuje.</w:t>
      </w:r>
    </w:p>
    <w:p w:rsidR="006D67F1" w:rsidRPr="002C224A" w:rsidRDefault="006D67F1"/>
    <w:p w:rsidR="006D67F1" w:rsidRPr="002C224A" w:rsidRDefault="006D67F1">
      <w:r w:rsidRPr="002C224A">
        <w:t>Problémem pro teplárny jsou v současné době výrazné náklady na opatření ke snížení emisí do roku 2016. Primárně ekologizační opatření mají tedy v investičním harmonogramu přednost a potenciál dalších investic bude umenšen jak z hlediska vlastních zdrojů a přeúvěrování podniků, tak z hlediska přenesení investičních nákladů na odběratele – kteří se stávají velmi citlivými na cenu.</w:t>
      </w:r>
      <w:r w:rsidR="000E7BA3" w:rsidRPr="002C224A">
        <w:t xml:space="preserve"> </w:t>
      </w:r>
      <w:r w:rsidRPr="002C224A">
        <w:t>Otázka dostupnosti levných zdrojů na investice je proto u rekonstrukce CZT klíčová.</w:t>
      </w:r>
    </w:p>
    <w:p w:rsidR="006D67F1" w:rsidRPr="002C224A" w:rsidRDefault="006D67F1"/>
    <w:p w:rsidR="006D67F1" w:rsidRPr="002C224A" w:rsidRDefault="006D67F1">
      <w:r w:rsidRPr="002C224A">
        <w:t xml:space="preserve">Poměrně vysoké náklady se pojí i se zefektivňováním KVET a zejména pak s jejím novým zaváděním, které si žádá investice do rozvodů tepla a v případě jeho lokálního vyvádění je podmíněno existencí dostatečné poptávky. Tyto požadavky jsou nicméně částečně kompenzovány zvýhodněním provozní podporou a samotnou efektivností tohoto druhu výroby. I proto lze u investic do KVET pozorovat v porovnání s CZT znatelně nižší návratnost a tedy i nižší tržní bariéry. V oblasti zavádění KVET, zejména u plynových zdrojů, tedy předpokládáme vyšší tržní aktivitu. </w:t>
      </w:r>
    </w:p>
    <w:p w:rsidR="006D67F1" w:rsidRPr="002C224A" w:rsidRDefault="006D67F1"/>
    <w:p w:rsidR="006D67F1" w:rsidRPr="002C224A" w:rsidRDefault="006D67F1" w:rsidP="00004F5B">
      <w:r w:rsidRPr="002C224A">
        <w:t>Aktivity SC 3.5 jsou částečně logicky provázané, zastarávající účinnost CZT a jejich investiční problematičnost představují bariéru též pro některé investice do KVET – pro něž je v případě lokálního vyvádění tepla existence efektivní rozvodné sítě důležitým předpokladem.</w:t>
      </w:r>
    </w:p>
    <w:p w:rsidR="006D67F1" w:rsidRPr="002C224A" w:rsidRDefault="006D67F1" w:rsidP="00004F5B"/>
    <w:p w:rsidR="006D67F1" w:rsidRPr="002C224A" w:rsidRDefault="006D67F1">
      <w:r w:rsidRPr="002C224A">
        <w:t>Bariérou mohou být ve sledované oblasti také vysoké náklady na přípravu projektů, včetně energetických auditů</w:t>
      </w:r>
      <w:r w:rsidR="000E7BA3" w:rsidRPr="002C224A">
        <w:t xml:space="preserve"> </w:t>
      </w:r>
      <w:r w:rsidRPr="002C224A">
        <w:t>– byť vzhledem k velikosti projektů a faktu, že tyto investice jsou na rozdíl od SC 3.2 zpravidla v centru zájmu dotčených firem, toto nepředstavuje tak zásadní motivační problém.</w:t>
      </w:r>
    </w:p>
    <w:p w:rsidR="006D67F1" w:rsidRPr="002C224A" w:rsidRDefault="006D67F1"/>
    <w:p w:rsidR="006D67F1" w:rsidRPr="002C224A" w:rsidRDefault="006D67F1">
      <w:r w:rsidRPr="002C224A">
        <w:t>Úvěrovatelnosti projektů SC 3.5 nahrává relativní stabilita regulovaného odvětví a příjmů (přestože tržní rizika na straně poptávky v poslední době rostou), komplikací však může být zmíněná nemožnost poskytování potrubí jako kolaterál, v případě CZT až příliš dlouhá návratnost, případně v některých případech slabá kapitálová vybavenost menších subjektů a přeúvěrovanost z důvodu dalších investic. S projekty je přirozeně spojené též technologické riziko. Jako problém je v současnosti vnímána též nejistota dalšího vývoje veřejné podpory v této oblasti, která navyšuje riziko při úvěrování.</w:t>
      </w:r>
    </w:p>
    <w:p w:rsidR="006D67F1" w:rsidRPr="002C224A" w:rsidRDefault="006D67F1" w:rsidP="00F2306B">
      <w:pPr>
        <w:pStyle w:val="Vtneslovannadpis"/>
        <w:rPr>
          <w:rFonts w:ascii="Calibri" w:hAnsi="Calibri"/>
        </w:rPr>
      </w:pPr>
    </w:p>
    <w:p w:rsidR="006D67F1" w:rsidRPr="002C224A" w:rsidRDefault="006D67F1" w:rsidP="00283266">
      <w:pPr>
        <w:pStyle w:val="Nadpis4"/>
        <w:rPr>
          <w:rFonts w:ascii="Calibri" w:hAnsi="Calibri"/>
        </w:rPr>
      </w:pPr>
      <w:bookmarkStart w:id="911" w:name="_Toc416800468"/>
      <w:r w:rsidRPr="002C224A">
        <w:rPr>
          <w:rFonts w:ascii="Calibri" w:hAnsi="Calibri"/>
        </w:rPr>
        <w:t>Návrh řešení identifikovaných tržních selhání</w:t>
      </w:r>
    </w:p>
    <w:p w:rsidR="006D67F1" w:rsidRPr="00A50943" w:rsidRDefault="006D67F1"/>
    <w:bookmarkEnd w:id="911"/>
    <w:p w:rsidR="006D67F1" w:rsidRPr="002C224A" w:rsidRDefault="006D67F1">
      <w:r w:rsidRPr="002C224A">
        <w:lastRenderedPageBreak/>
        <w:t xml:space="preserve">Investice do rekonstrukcí tepelných rozvodů jsou charakteristické vysokou nákladností a dlouhou dobou návratnosti (typový projekt rekonstrukce distribučního potrubí vykazuje dobu návratnosti 11,3 roku). Vyplatí se tedy až v delším časovém horizontu a pro tržní realizaci jsou i přes dlouhou životnost investic problematické. I z hlediska motivace regulovaných subjektů k investicím se zde jeví vhodné ponechat dotační podporu, která může být případně změkčena kombinací dotační složky </w:t>
      </w:r>
      <w:r w:rsidR="00433FCD" w:rsidRPr="002C224A">
        <w:t xml:space="preserve">či repayable assistance (návratné podpory konvertované do nenávratné v případě naplnění cílů projektu) </w:t>
      </w:r>
      <w:r w:rsidRPr="002C224A">
        <w:t>se zvýhodněným úvěrem či zárukou.</w:t>
      </w:r>
    </w:p>
    <w:p w:rsidR="006D67F1" w:rsidRPr="002C224A" w:rsidRDefault="006D67F1"/>
    <w:p w:rsidR="006D67F1" w:rsidRPr="002C224A" w:rsidRDefault="006D67F1">
      <w:r w:rsidRPr="002C224A">
        <w:t>Příhodněji k aplikaci finančního nástroje se z hlediska své návratnosti jeví aktivity rozvoje KVET. Samotná instalace kogenerační jednotky či rekonstrukce stávajících zařízení nevykazují tak vysoké náklady a návratnost a mohou být finančním nástrojem vhodně motivovány. Menší subjekty budou mít navíc v podporovaných aktivitách výrazně usnadněný přístup k financování. Z hlediska incentivizace subjektů je účelné doplnit zvýhodněné úvěry o delší dobu splatnosti, příspěvek na projektovou přípravu, případně i úhradu části úrokových poplatků podmíněnou dosažením požadovaných cílů.</w:t>
      </w:r>
    </w:p>
    <w:p w:rsidR="006D67F1" w:rsidRPr="002C224A" w:rsidRDefault="006D67F1" w:rsidP="00F8454D">
      <w:pPr>
        <w:pStyle w:val="Nadpis3"/>
        <w:rPr>
          <w:rFonts w:ascii="Calibri" w:hAnsi="Calibri"/>
          <w:lang w:eastAsia="en-US"/>
        </w:rPr>
      </w:pPr>
      <w:bookmarkStart w:id="912" w:name="_Toc417544636"/>
      <w:bookmarkStart w:id="913" w:name="_Toc417544638"/>
      <w:bookmarkStart w:id="914" w:name="_Toc416800469"/>
      <w:bookmarkStart w:id="915" w:name="_Toc421534308"/>
      <w:bookmarkEnd w:id="912"/>
      <w:bookmarkEnd w:id="913"/>
      <w:r w:rsidRPr="002C224A">
        <w:rPr>
          <w:rFonts w:ascii="Calibri" w:hAnsi="Calibri"/>
          <w:lang w:eastAsia="en-US"/>
        </w:rPr>
        <w:t>Posouzení přidané hodnoty finančních nástrojů</w:t>
      </w:r>
      <w:bookmarkEnd w:id="914"/>
      <w:bookmarkEnd w:id="915"/>
    </w:p>
    <w:p w:rsidR="006D67F1" w:rsidRPr="002C224A" w:rsidRDefault="006D67F1" w:rsidP="00283266">
      <w:pPr>
        <w:pStyle w:val="Nadpis4"/>
        <w:rPr>
          <w:rFonts w:ascii="Calibri" w:hAnsi="Calibri"/>
        </w:rPr>
      </w:pPr>
      <w:r w:rsidRPr="002C224A">
        <w:rPr>
          <w:rFonts w:ascii="Calibri" w:hAnsi="Calibri"/>
        </w:rPr>
        <w:t>Představení typových projektů</w:t>
      </w:r>
    </w:p>
    <w:p w:rsidR="006D67F1" w:rsidRPr="00A50943" w:rsidRDefault="006D67F1" w:rsidP="00BD1BBA"/>
    <w:p w:rsidR="006D67F1" w:rsidRPr="002C224A" w:rsidRDefault="0015027F" w:rsidP="00BD1BBA">
      <w:r w:rsidRPr="002C224A">
        <w:t xml:space="preserve">Typový projekt č. 1 představuje </w:t>
      </w:r>
      <w:r w:rsidR="00CD3994" w:rsidRPr="002C224A">
        <w:t xml:space="preserve">investici do rekonstrukce soustavy CZT. </w:t>
      </w:r>
      <w:r w:rsidR="006D67F1" w:rsidRPr="002C224A">
        <w:t>Žadatelem byl</w:t>
      </w:r>
      <w:r w:rsidR="00B15702" w:rsidRPr="002C224A">
        <w:t xml:space="preserve"> velký podnik v energetickém odvětví.</w:t>
      </w:r>
      <w:r w:rsidR="006D67F1" w:rsidRPr="002C224A">
        <w:t xml:space="preserve"> Výše investice dosahovala </w:t>
      </w:r>
      <w:smartTag w:uri="urn:schemas-microsoft-com:office:smarttags" w:element="metricconverter">
        <w:smartTagPr>
          <w:attr w:name="ProductID" w:val="37,292 mil"/>
        </w:smartTagPr>
        <w:r w:rsidR="006D67F1" w:rsidRPr="002C224A">
          <w:t>37,292 mil</w:t>
        </w:r>
      </w:smartTag>
      <w:r w:rsidR="006D67F1" w:rsidRPr="002C224A">
        <w:t xml:space="preserve">. Kč a skládala se z rekonstrukce zakruhovaného distribučního potrubí dosažením lepší tepelné izolace a změnou tepelného média. Po dokončení investice se očekávají dosažené úspory ve výši </w:t>
      </w:r>
      <w:smartTag w:uri="urn:schemas-microsoft-com:office:smarttags" w:element="metricconverter">
        <w:smartTagPr>
          <w:attr w:name="ProductID" w:val="2,7 mil"/>
        </w:smartTagPr>
        <w:r w:rsidR="006D67F1" w:rsidRPr="002C224A">
          <w:t>2,7 mil</w:t>
        </w:r>
      </w:smartTag>
      <w:r w:rsidR="006D67F1" w:rsidRPr="002C224A">
        <w:t xml:space="preserve">. Kč ročně na tepelných ztrátách a </w:t>
      </w:r>
      <w:smartTag w:uri="urn:schemas-microsoft-com:office:smarttags" w:element="metricconverter">
        <w:smartTagPr>
          <w:attr w:name="ProductID" w:val="0,35 mil"/>
        </w:smartTagPr>
        <w:r w:rsidR="006D67F1" w:rsidRPr="002C224A">
          <w:t>0,35 mil</w:t>
        </w:r>
      </w:smartTag>
      <w:r w:rsidR="006D67F1" w:rsidRPr="002C224A">
        <w:t xml:space="preserve">. Kč úspora provozních nákladů z důvodu lepší technologie. </w:t>
      </w:r>
      <w:r w:rsidR="009653DE" w:rsidRPr="002C224A">
        <w:t>Projekt byl podpořen v OP PI.</w:t>
      </w:r>
    </w:p>
    <w:p w:rsidR="0015027F" w:rsidRPr="002C224A" w:rsidRDefault="0015027F" w:rsidP="00BD1BBA"/>
    <w:p w:rsidR="0015027F" w:rsidRPr="002C224A" w:rsidRDefault="0015027F" w:rsidP="0015027F">
      <w:r w:rsidRPr="002C224A">
        <w:t xml:space="preserve">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 </w:t>
      </w:r>
    </w:p>
    <w:p w:rsidR="006D67F1" w:rsidRPr="002C224A" w:rsidRDefault="006D67F1" w:rsidP="00BD1BBA">
      <w:pPr>
        <w:pStyle w:val="BodyText1"/>
        <w:rPr>
          <w:rFonts w:ascii="Calibri" w:hAnsi="Calibri"/>
        </w:rPr>
      </w:pPr>
    </w:p>
    <w:tbl>
      <w:tblPr>
        <w:tblW w:w="8914" w:type="dxa"/>
        <w:tblInd w:w="55" w:type="dxa"/>
        <w:tblCellMar>
          <w:left w:w="0" w:type="dxa"/>
          <w:right w:w="0" w:type="dxa"/>
        </w:tblCellMar>
        <w:tblLook w:val="00A0" w:firstRow="1" w:lastRow="0" w:firstColumn="1" w:lastColumn="0" w:noHBand="0" w:noVBand="0"/>
      </w:tblPr>
      <w:tblGrid>
        <w:gridCol w:w="2388"/>
        <w:gridCol w:w="1570"/>
        <w:gridCol w:w="1562"/>
        <w:gridCol w:w="1732"/>
        <w:gridCol w:w="1710"/>
      </w:tblGrid>
      <w:tr w:rsidR="006D67F1" w:rsidRPr="002C224A" w:rsidTr="00AC4E40">
        <w:trPr>
          <w:trHeight w:val="20"/>
        </w:trPr>
        <w:tc>
          <w:tcPr>
            <w:tcW w:w="2380" w:type="dxa"/>
            <w:tcBorders>
              <w:top w:val="single" w:sz="4" w:space="0" w:color="002776"/>
              <w:left w:val="single" w:sz="4" w:space="0" w:color="002776"/>
              <w:bottom w:val="nil"/>
              <w:right w:val="nil"/>
            </w:tcBorders>
            <w:shd w:val="clear" w:color="000000" w:fill="002776"/>
            <w:noWrap/>
            <w:vAlign w:val="center"/>
          </w:tcPr>
          <w:p w:rsidR="006D67F1" w:rsidRPr="00A50943" w:rsidRDefault="006D67F1" w:rsidP="00AC4E40">
            <w:pPr>
              <w:keepNext/>
              <w:keepLines/>
              <w:jc w:val="center"/>
              <w:rPr>
                <w:b/>
                <w:bCs/>
                <w:color w:val="FFFFFF"/>
                <w:sz w:val="18"/>
                <w:szCs w:val="18"/>
              </w:rPr>
            </w:pPr>
          </w:p>
        </w:tc>
        <w:tc>
          <w:tcPr>
            <w:tcW w:w="1554" w:type="dxa"/>
            <w:tcBorders>
              <w:top w:val="single" w:sz="4" w:space="0" w:color="002776"/>
              <w:left w:val="nil"/>
              <w:bottom w:val="single" w:sz="4" w:space="0" w:color="FFFFFF"/>
              <w:right w:val="nil"/>
            </w:tcBorders>
            <w:shd w:val="clear" w:color="000000" w:fill="002776"/>
            <w:noWrap/>
            <w:vAlign w:val="bottom"/>
          </w:tcPr>
          <w:p w:rsidR="006D67F1" w:rsidRPr="002C224A" w:rsidRDefault="006D67F1" w:rsidP="00AC4E40">
            <w:pPr>
              <w:keepNext/>
              <w:keepLines/>
              <w:jc w:val="left"/>
              <w:rPr>
                <w:b/>
                <w:bCs/>
                <w:color w:val="FFFFFF"/>
                <w:sz w:val="18"/>
                <w:szCs w:val="18"/>
              </w:rPr>
            </w:pPr>
            <w:r w:rsidRPr="002C224A">
              <w:rPr>
                <w:b/>
                <w:bCs/>
                <w:color w:val="FFFFFF"/>
                <w:sz w:val="18"/>
                <w:szCs w:val="18"/>
              </w:rPr>
              <w:t> </w:t>
            </w:r>
          </w:p>
        </w:tc>
        <w:tc>
          <w:tcPr>
            <w:tcW w:w="4980" w:type="dxa"/>
            <w:gridSpan w:val="3"/>
            <w:tcBorders>
              <w:top w:val="single" w:sz="4" w:space="0" w:color="002776"/>
              <w:left w:val="nil"/>
              <w:bottom w:val="single" w:sz="4" w:space="0" w:color="FFFFFF"/>
              <w:right w:val="single" w:sz="4" w:space="0" w:color="002776"/>
            </w:tcBorders>
            <w:shd w:val="clear" w:color="000000" w:fill="002776"/>
            <w:noWrap/>
            <w:vAlign w:val="bottom"/>
          </w:tcPr>
          <w:p w:rsidR="006D67F1" w:rsidRPr="002C224A" w:rsidRDefault="006D67F1" w:rsidP="00AC4E40">
            <w:pPr>
              <w:keepNext/>
              <w:keepLines/>
              <w:jc w:val="left"/>
              <w:rPr>
                <w:b/>
                <w:bCs/>
                <w:color w:val="FFFFFF"/>
                <w:sz w:val="18"/>
                <w:szCs w:val="18"/>
              </w:rPr>
            </w:pPr>
            <w:r w:rsidRPr="002C224A">
              <w:rPr>
                <w:b/>
                <w:bCs/>
                <w:color w:val="FFFFFF"/>
                <w:sz w:val="18"/>
                <w:szCs w:val="18"/>
              </w:rPr>
              <w:t> </w:t>
            </w:r>
          </w:p>
          <w:p w:rsidR="006D67F1" w:rsidRPr="002C224A" w:rsidRDefault="006D67F1" w:rsidP="00AC4E40">
            <w:pPr>
              <w:keepNext/>
              <w:keepLines/>
              <w:jc w:val="right"/>
              <w:rPr>
                <w:b/>
                <w:bCs/>
                <w:i/>
                <w:iCs/>
                <w:color w:val="FFFFFF"/>
                <w:sz w:val="18"/>
                <w:szCs w:val="18"/>
              </w:rPr>
            </w:pPr>
            <w:r w:rsidRPr="002C224A">
              <w:rPr>
                <w:b/>
                <w:bCs/>
                <w:i/>
                <w:iCs/>
                <w:color w:val="FFFFFF"/>
                <w:sz w:val="18"/>
                <w:szCs w:val="18"/>
              </w:rPr>
              <w:t xml:space="preserve">Investice: 37 292 000 Kč </w:t>
            </w:r>
            <w:r w:rsidRPr="002C224A">
              <w:rPr>
                <w:b/>
                <w:bCs/>
                <w:i/>
                <w:iCs/>
                <w:color w:val="FFFFFF"/>
                <w:sz w:val="18"/>
                <w:szCs w:val="18"/>
              </w:rPr>
              <w:br/>
              <w:t>Roční provozní výnos/úspora: 3 042 000 Kč</w:t>
            </w:r>
            <w:r w:rsidRPr="002C224A">
              <w:rPr>
                <w:b/>
                <w:bCs/>
                <w:i/>
                <w:iCs/>
                <w:color w:val="FFFFFF"/>
                <w:sz w:val="18"/>
                <w:szCs w:val="18"/>
              </w:rPr>
              <w:br/>
              <w:t xml:space="preserve">Komerční úvěr - úroková sazba: 4,0 % </w:t>
            </w:r>
          </w:p>
          <w:p w:rsidR="006D67F1" w:rsidRPr="002C224A" w:rsidRDefault="006D67F1" w:rsidP="00AC4E40">
            <w:pPr>
              <w:keepNext/>
              <w:keepLines/>
              <w:jc w:val="right"/>
              <w:rPr>
                <w:b/>
                <w:bCs/>
                <w:i/>
                <w:iCs/>
                <w:color w:val="FFFFFF"/>
                <w:sz w:val="18"/>
                <w:szCs w:val="18"/>
              </w:rPr>
            </w:pPr>
            <w:r w:rsidRPr="002C224A">
              <w:rPr>
                <w:b/>
                <w:bCs/>
                <w:i/>
                <w:iCs/>
                <w:color w:val="FFFFFF"/>
                <w:sz w:val="18"/>
                <w:szCs w:val="18"/>
              </w:rPr>
              <w:t xml:space="preserve">Zvýhodněný úvěr: úroková sazba: 1,0 %  </w:t>
            </w:r>
          </w:p>
        </w:tc>
      </w:tr>
      <w:tr w:rsidR="006D67F1" w:rsidRPr="002C224A" w:rsidTr="00AC4E40">
        <w:trPr>
          <w:trHeight w:val="20"/>
        </w:trPr>
        <w:tc>
          <w:tcPr>
            <w:tcW w:w="2380" w:type="dxa"/>
            <w:tcBorders>
              <w:top w:val="nil"/>
              <w:left w:val="single" w:sz="4" w:space="0" w:color="002776"/>
              <w:bottom w:val="single" w:sz="4" w:space="0" w:color="002776"/>
              <w:right w:val="nil"/>
            </w:tcBorders>
            <w:shd w:val="clear" w:color="000000" w:fill="002776"/>
            <w:noWrap/>
            <w:vAlign w:val="center"/>
          </w:tcPr>
          <w:p w:rsidR="006D67F1" w:rsidRPr="002C224A" w:rsidRDefault="006D67F1" w:rsidP="00AC4E40">
            <w:pPr>
              <w:keepNext/>
              <w:keepLines/>
              <w:jc w:val="left"/>
              <w:rPr>
                <w:b/>
                <w:bCs/>
                <w:color w:val="FFFFFF"/>
                <w:sz w:val="18"/>
                <w:szCs w:val="18"/>
              </w:rPr>
            </w:pPr>
            <w:r w:rsidRPr="002C224A">
              <w:rPr>
                <w:b/>
                <w:bCs/>
                <w:color w:val="FFFFFF"/>
                <w:sz w:val="18"/>
                <w:szCs w:val="18"/>
              </w:rPr>
              <w:t> </w:t>
            </w:r>
          </w:p>
        </w:tc>
        <w:tc>
          <w:tcPr>
            <w:tcW w:w="1554" w:type="dxa"/>
            <w:tcBorders>
              <w:top w:val="single" w:sz="4" w:space="0" w:color="FFFFFF"/>
              <w:left w:val="nil"/>
              <w:bottom w:val="single" w:sz="4" w:space="0" w:color="002776"/>
              <w:right w:val="nil"/>
            </w:tcBorders>
            <w:shd w:val="clear" w:color="000000" w:fill="002776"/>
            <w:noWrap/>
            <w:vAlign w:val="center"/>
          </w:tcPr>
          <w:p w:rsidR="006D67F1" w:rsidRPr="002C224A" w:rsidRDefault="006D67F1" w:rsidP="00AC4E40">
            <w:pPr>
              <w:keepNext/>
              <w:keepLines/>
              <w:jc w:val="center"/>
              <w:rPr>
                <w:b/>
                <w:bCs/>
                <w:color w:val="FFFFFF"/>
                <w:sz w:val="18"/>
                <w:szCs w:val="18"/>
              </w:rPr>
            </w:pPr>
            <w:r w:rsidRPr="002C224A">
              <w:rPr>
                <w:b/>
                <w:bCs/>
                <w:color w:val="FFFFFF"/>
                <w:sz w:val="18"/>
                <w:szCs w:val="18"/>
              </w:rPr>
              <w:t>100 % tržní úvěr</w:t>
            </w:r>
          </w:p>
        </w:tc>
        <w:tc>
          <w:tcPr>
            <w:tcW w:w="1554" w:type="dxa"/>
            <w:tcBorders>
              <w:top w:val="single" w:sz="4" w:space="0" w:color="FFFFFF"/>
              <w:left w:val="nil"/>
              <w:bottom w:val="single" w:sz="4" w:space="0" w:color="002776"/>
              <w:right w:val="nil"/>
            </w:tcBorders>
            <w:shd w:val="clear" w:color="000000" w:fill="002776"/>
            <w:vAlign w:val="center"/>
          </w:tcPr>
          <w:p w:rsidR="006D67F1" w:rsidRPr="002C224A" w:rsidRDefault="006D67F1" w:rsidP="00AC4E40">
            <w:pPr>
              <w:keepNext/>
              <w:keepLines/>
              <w:jc w:val="center"/>
              <w:rPr>
                <w:b/>
                <w:bCs/>
                <w:color w:val="FFFFFF"/>
                <w:sz w:val="18"/>
                <w:szCs w:val="18"/>
              </w:rPr>
            </w:pPr>
            <w:r w:rsidRPr="002C224A">
              <w:rPr>
                <w:b/>
                <w:bCs/>
                <w:color w:val="FFFFFF"/>
                <w:sz w:val="18"/>
                <w:szCs w:val="18"/>
              </w:rPr>
              <w:t>50 % tržní úvěr, 50 % dotace</w:t>
            </w:r>
          </w:p>
        </w:tc>
        <w:tc>
          <w:tcPr>
            <w:tcW w:w="1724" w:type="dxa"/>
            <w:tcBorders>
              <w:top w:val="single" w:sz="4" w:space="0" w:color="FFFFFF"/>
              <w:left w:val="nil"/>
              <w:bottom w:val="single" w:sz="4" w:space="0" w:color="002776"/>
              <w:right w:val="nil"/>
            </w:tcBorders>
            <w:shd w:val="clear" w:color="000000" w:fill="002776"/>
            <w:vAlign w:val="center"/>
          </w:tcPr>
          <w:p w:rsidR="006D67F1" w:rsidRPr="002C224A" w:rsidRDefault="006D67F1" w:rsidP="00AC4E40">
            <w:pPr>
              <w:keepNext/>
              <w:keepLines/>
              <w:jc w:val="center"/>
              <w:rPr>
                <w:b/>
                <w:bCs/>
                <w:color w:val="FFFFFF"/>
                <w:sz w:val="18"/>
                <w:szCs w:val="18"/>
              </w:rPr>
            </w:pPr>
            <w:r w:rsidRPr="002C224A">
              <w:rPr>
                <w:b/>
                <w:bCs/>
                <w:color w:val="FFFFFF"/>
                <w:sz w:val="18"/>
                <w:szCs w:val="18"/>
              </w:rPr>
              <w:t>20 % dotace, 80 % zvýhodněný úvěr</w:t>
            </w:r>
          </w:p>
        </w:tc>
        <w:tc>
          <w:tcPr>
            <w:tcW w:w="1702" w:type="dxa"/>
            <w:tcBorders>
              <w:top w:val="single" w:sz="4" w:space="0" w:color="FFFFFF"/>
              <w:left w:val="nil"/>
              <w:bottom w:val="single" w:sz="4" w:space="0" w:color="002776"/>
              <w:right w:val="single" w:sz="4" w:space="0" w:color="002776"/>
            </w:tcBorders>
            <w:shd w:val="clear" w:color="000000" w:fill="002776"/>
            <w:vAlign w:val="center"/>
          </w:tcPr>
          <w:p w:rsidR="006D67F1" w:rsidRPr="002C224A" w:rsidRDefault="006D67F1" w:rsidP="00AC4E40">
            <w:pPr>
              <w:keepNext/>
              <w:keepLines/>
              <w:jc w:val="center"/>
              <w:rPr>
                <w:b/>
                <w:bCs/>
                <w:color w:val="FFFFFF"/>
                <w:sz w:val="18"/>
                <w:szCs w:val="18"/>
              </w:rPr>
            </w:pPr>
            <w:r w:rsidRPr="002C224A">
              <w:rPr>
                <w:b/>
                <w:bCs/>
                <w:color w:val="FFFFFF"/>
                <w:sz w:val="18"/>
                <w:szCs w:val="18"/>
              </w:rPr>
              <w:t>100 % zvýhodněný úvěr</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jc w:val="left"/>
              <w:rPr>
                <w:color w:val="000000"/>
                <w:sz w:val="18"/>
                <w:szCs w:val="18"/>
              </w:rPr>
            </w:pPr>
            <w:r w:rsidRPr="002C224A">
              <w:rPr>
                <w:color w:val="000000"/>
                <w:sz w:val="18"/>
                <w:szCs w:val="18"/>
              </w:rPr>
              <w:t>Vnitřní výnosové procento (IRR)</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5,19%</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15,38%</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8,01%</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right"/>
              <w:rPr>
                <w:color w:val="000000"/>
                <w:sz w:val="18"/>
                <w:szCs w:val="18"/>
              </w:rPr>
            </w:pPr>
            <w:r w:rsidRPr="002C224A">
              <w:rPr>
                <w:sz w:val="18"/>
                <w:szCs w:val="18"/>
              </w:rPr>
              <w:t>5,19%</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jc w:val="left"/>
              <w:rPr>
                <w:color w:val="000000"/>
                <w:sz w:val="18"/>
                <w:szCs w:val="18"/>
              </w:rPr>
            </w:pPr>
            <w:r w:rsidRPr="002C224A">
              <w:rPr>
                <w:color w:val="000000"/>
                <w:sz w:val="18"/>
                <w:szCs w:val="18"/>
              </w:rPr>
              <w:t>Čistá současná hodnota (NPV v Kč)</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12 204 961</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30 485 353</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24 812 844</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right"/>
              <w:rPr>
                <w:color w:val="000000"/>
                <w:sz w:val="18"/>
                <w:szCs w:val="18"/>
              </w:rPr>
            </w:pPr>
            <w:r w:rsidRPr="002C224A">
              <w:rPr>
                <w:sz w:val="18"/>
                <w:szCs w:val="18"/>
              </w:rPr>
              <w:t>17 428 289</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jc w:val="left"/>
              <w:rPr>
                <w:color w:val="000000"/>
                <w:sz w:val="18"/>
                <w:szCs w:val="18"/>
              </w:rPr>
            </w:pPr>
            <w:r w:rsidRPr="002C224A">
              <w:rPr>
                <w:color w:val="000000"/>
                <w:sz w:val="18"/>
                <w:szCs w:val="18"/>
              </w:rPr>
              <w:t>Prostá doba návratnosti (roky)</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12,26</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6,13</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9,81</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right"/>
              <w:rPr>
                <w:color w:val="000000"/>
                <w:sz w:val="18"/>
                <w:szCs w:val="18"/>
              </w:rPr>
            </w:pPr>
            <w:r w:rsidRPr="002C224A">
              <w:rPr>
                <w:sz w:val="18"/>
                <w:szCs w:val="18"/>
              </w:rPr>
              <w:t>12,26</w:t>
            </w:r>
          </w:p>
        </w:tc>
      </w:tr>
      <w:tr w:rsidR="006D67F1" w:rsidRPr="002C224A" w:rsidTr="00AC4E40">
        <w:trPr>
          <w:trHeight w:val="20"/>
        </w:trPr>
        <w:tc>
          <w:tcPr>
            <w:tcW w:w="2380" w:type="dxa"/>
            <w:tcBorders>
              <w:top w:val="nil"/>
              <w:left w:val="single" w:sz="4" w:space="0" w:color="002776"/>
              <w:bottom w:val="single" w:sz="4" w:space="0" w:color="002776"/>
              <w:right w:val="nil"/>
            </w:tcBorders>
            <w:noWrap/>
            <w:vAlign w:val="center"/>
          </w:tcPr>
          <w:p w:rsidR="006D67F1" w:rsidRPr="002C224A" w:rsidRDefault="006D67F1" w:rsidP="00AC4E40">
            <w:pPr>
              <w:keepNext/>
              <w:keepLines/>
              <w:jc w:val="left"/>
              <w:rPr>
                <w:color w:val="000000"/>
                <w:sz w:val="18"/>
                <w:szCs w:val="18"/>
              </w:rPr>
            </w:pPr>
            <w:r w:rsidRPr="002C224A">
              <w:rPr>
                <w:color w:val="000000"/>
                <w:sz w:val="18"/>
                <w:szCs w:val="18"/>
              </w:rPr>
              <w:t>Diskontovaná doba návratnosti (roky)</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18,1</w:t>
            </w:r>
          </w:p>
        </w:tc>
        <w:tc>
          <w:tcPr>
            <w:tcW w:w="155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8,1</w:t>
            </w:r>
          </w:p>
        </w:tc>
        <w:tc>
          <w:tcPr>
            <w:tcW w:w="1724" w:type="dxa"/>
            <w:tcBorders>
              <w:top w:val="nil"/>
              <w:left w:val="nil"/>
              <w:bottom w:val="single" w:sz="4" w:space="0" w:color="002776"/>
              <w:right w:val="nil"/>
            </w:tcBorders>
            <w:noWrap/>
            <w:vAlign w:val="center"/>
          </w:tcPr>
          <w:p w:rsidR="006D67F1" w:rsidRPr="002C224A" w:rsidRDefault="006D67F1" w:rsidP="00AC4E40">
            <w:pPr>
              <w:keepNext/>
              <w:keepLines/>
              <w:jc w:val="right"/>
              <w:rPr>
                <w:color w:val="000000"/>
                <w:sz w:val="18"/>
                <w:szCs w:val="18"/>
              </w:rPr>
            </w:pPr>
            <w:r w:rsidRPr="002C224A">
              <w:rPr>
                <w:sz w:val="18"/>
                <w:szCs w:val="18"/>
              </w:rPr>
              <w:t>11,4</w:t>
            </w:r>
          </w:p>
        </w:tc>
        <w:tc>
          <w:tcPr>
            <w:tcW w:w="1702" w:type="dxa"/>
            <w:tcBorders>
              <w:top w:val="nil"/>
              <w:left w:val="nil"/>
              <w:bottom w:val="single" w:sz="4" w:space="0" w:color="002776"/>
              <w:right w:val="single" w:sz="4" w:space="0" w:color="002776"/>
            </w:tcBorders>
            <w:noWrap/>
            <w:vAlign w:val="center"/>
          </w:tcPr>
          <w:p w:rsidR="006D67F1" w:rsidRPr="002C224A" w:rsidRDefault="006D67F1" w:rsidP="00AC4E40">
            <w:pPr>
              <w:keepNext/>
              <w:keepLines/>
              <w:jc w:val="right"/>
              <w:rPr>
                <w:color w:val="000000"/>
                <w:sz w:val="18"/>
                <w:szCs w:val="18"/>
              </w:rPr>
            </w:pPr>
            <w:r w:rsidRPr="002C224A">
              <w:rPr>
                <w:sz w:val="18"/>
                <w:szCs w:val="18"/>
              </w:rPr>
              <w:t>14,1</w:t>
            </w:r>
          </w:p>
        </w:tc>
      </w:tr>
    </w:tbl>
    <w:p w:rsidR="006D67F1" w:rsidRPr="002C224A" w:rsidRDefault="006D67F1" w:rsidP="00BD1BBA">
      <w:pPr>
        <w:pStyle w:val="Titulek"/>
        <w:jc w:val="center"/>
      </w:pPr>
      <w:r w:rsidRPr="002C224A">
        <w:t>Tabulka</w:t>
      </w:r>
      <w:r w:rsidR="003D117C">
        <w:t xml:space="preserve"> </w:t>
      </w:r>
      <w:r w:rsidR="000857F9" w:rsidRPr="002C224A">
        <w:t>8</w:t>
      </w:r>
      <w:r w:rsidR="00F6076B">
        <w:t>5</w:t>
      </w:r>
      <w:r w:rsidRPr="002C224A">
        <w:t>: Vliv podpory na ekonomiku projektu</w:t>
      </w:r>
    </w:p>
    <w:p w:rsidR="006D67F1" w:rsidRPr="00A50943" w:rsidRDefault="006D67F1" w:rsidP="00BD1BBA"/>
    <w:p w:rsidR="00B15702" w:rsidRPr="002C224A" w:rsidRDefault="00B15702" w:rsidP="00BD1BBA">
      <w:r w:rsidRPr="002C224A">
        <w:t>Velmi dlouhá doba návratnosti, nízké IRR a velikost nákladů indikují vhodnost podpory dotační formou.</w:t>
      </w:r>
    </w:p>
    <w:p w:rsidR="00195D5C" w:rsidRPr="002C224A" w:rsidRDefault="00195D5C" w:rsidP="00BD1BBA"/>
    <w:p w:rsidR="00195D5C" w:rsidRPr="002C224A" w:rsidRDefault="00195D5C" w:rsidP="00BD1BBA">
      <w:r w:rsidRPr="002C224A">
        <w:t>Typov</w:t>
      </w:r>
      <w:r w:rsidR="009653DE" w:rsidRPr="002C224A">
        <w:t>ý</w:t>
      </w:r>
      <w:r w:rsidRPr="002C224A">
        <w:t xml:space="preserve"> projekt č. 2 představuje investici do instalace kogenerační jednotky na zemní plyn o výkonu 1,6 MWe místo stávajícího plynového kotle. Jednotkou bude dodáváno teplo do CZT a elektřina do sítě.</w:t>
      </w:r>
      <w:r w:rsidR="00B01121" w:rsidRPr="002C224A">
        <w:t xml:space="preserve"> </w:t>
      </w:r>
      <w:r w:rsidR="009653DE" w:rsidRPr="002C224A">
        <w:t>Žadatelem je velký podnik z energetického odvětví. Projekt byl podpořen v OP PI.</w:t>
      </w:r>
    </w:p>
    <w:p w:rsidR="006D67F1" w:rsidRPr="002C224A" w:rsidRDefault="006D67F1" w:rsidP="00B15702">
      <w:pPr>
        <w:pStyle w:val="Nadpis4"/>
        <w:rPr>
          <w:rFonts w:ascii="Calibri" w:hAnsi="Calibri"/>
        </w:rPr>
      </w:pPr>
      <w:r w:rsidRPr="002C224A">
        <w:rPr>
          <w:rFonts w:ascii="Calibri" w:hAnsi="Calibri"/>
        </w:rPr>
        <w:t>Přidaná hodnota finančního nástroje, problémy, rizika a srovnání s jinými formami podpory</w:t>
      </w:r>
    </w:p>
    <w:p w:rsidR="006D67F1" w:rsidRPr="00A50943" w:rsidRDefault="006D67F1" w:rsidP="006842C8"/>
    <w:p w:rsidR="006D67F1" w:rsidRPr="002C224A" w:rsidRDefault="006D67F1" w:rsidP="006842C8">
      <w:r w:rsidRPr="002C224A">
        <w:t xml:space="preserve">V rámci tabulek níže je uveden přehled přidané hodnoty, problémů a rizik z pohledu konečného příjemce a ŘO (tabulka č. 2) a z pohledu celkového dopadu na absorpční kapacitu a dosažení cílů SC </w:t>
      </w:r>
      <w:r w:rsidRPr="002C224A">
        <w:lastRenderedPageBreak/>
        <w:t>3.2, se zohledněním dopadů na tržní prostředí. Porovnány jsou nástroje formou záruk, zvýhodněných úvěrů a dotací.</w:t>
      </w:r>
    </w:p>
    <w:p w:rsidR="006D67F1" w:rsidRPr="002C224A" w:rsidRDefault="006D67F1" w:rsidP="006842C8"/>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67F1" w:rsidRPr="002C224A" w:rsidTr="002E3AE9">
        <w:trPr>
          <w:trHeight w:val="315"/>
        </w:trPr>
        <w:tc>
          <w:tcPr>
            <w:tcW w:w="960" w:type="dxa"/>
            <w:shd w:val="clear" w:color="auto" w:fill="365F91"/>
            <w:noWrap/>
            <w:vAlign w:val="bottom"/>
          </w:tcPr>
          <w:p w:rsidR="006D67F1" w:rsidRPr="002C224A" w:rsidRDefault="006D67F1" w:rsidP="002E3AE9">
            <w:pPr>
              <w:jc w:val="left"/>
              <w:rPr>
                <w:sz w:val="24"/>
                <w:szCs w:val="24"/>
              </w:rPr>
            </w:pPr>
          </w:p>
        </w:tc>
        <w:tc>
          <w:tcPr>
            <w:tcW w:w="960" w:type="dxa"/>
            <w:shd w:val="clear" w:color="auto" w:fill="365F91"/>
            <w:noWrap/>
            <w:vAlign w:val="bottom"/>
          </w:tcPr>
          <w:p w:rsidR="006D67F1" w:rsidRPr="002C224A" w:rsidRDefault="006D67F1" w:rsidP="002E3AE9">
            <w:pPr>
              <w:jc w:val="left"/>
              <w:rPr>
                <w:color w:val="000000"/>
                <w:sz w:val="24"/>
                <w:szCs w:val="24"/>
              </w:rPr>
            </w:pPr>
            <w:r w:rsidRPr="002C224A">
              <w:rPr>
                <w:color w:val="000000"/>
                <w:sz w:val="24"/>
                <w:szCs w:val="24"/>
              </w:rPr>
              <w:t> </w:t>
            </w:r>
          </w:p>
        </w:tc>
        <w:tc>
          <w:tcPr>
            <w:tcW w:w="4744" w:type="dxa"/>
            <w:gridSpan w:val="2"/>
            <w:shd w:val="clear" w:color="auto" w:fill="365F91"/>
            <w:noWrap/>
            <w:vAlign w:val="center"/>
          </w:tcPr>
          <w:p w:rsidR="006D67F1" w:rsidRPr="00A50943" w:rsidRDefault="006D67F1" w:rsidP="002E3AE9">
            <w:pPr>
              <w:jc w:val="center"/>
              <w:rPr>
                <w:b/>
                <w:bCs/>
                <w:color w:val="FFFFFF"/>
                <w:sz w:val="24"/>
                <w:szCs w:val="24"/>
              </w:rPr>
            </w:pPr>
            <w:r w:rsidRPr="00A50943">
              <w:rPr>
                <w:b/>
                <w:bCs/>
                <w:color w:val="FFFFFF"/>
                <w:sz w:val="24"/>
                <w:szCs w:val="24"/>
              </w:rPr>
              <w:t>Finanční nástroj</w:t>
            </w:r>
          </w:p>
        </w:tc>
        <w:tc>
          <w:tcPr>
            <w:tcW w:w="2330" w:type="dxa"/>
            <w:shd w:val="clear" w:color="auto" w:fill="365F91"/>
          </w:tcPr>
          <w:p w:rsidR="006D67F1" w:rsidRPr="002C224A" w:rsidRDefault="006D67F1" w:rsidP="002E3AE9">
            <w:pPr>
              <w:jc w:val="center"/>
              <w:rPr>
                <w:b/>
                <w:bCs/>
                <w:color w:val="FFFFFF"/>
                <w:sz w:val="24"/>
                <w:szCs w:val="24"/>
              </w:rPr>
            </w:pPr>
            <w:r w:rsidRPr="002C224A">
              <w:rPr>
                <w:b/>
                <w:bCs/>
                <w:color w:val="FFFFFF"/>
                <w:sz w:val="24"/>
                <w:szCs w:val="24"/>
              </w:rPr>
              <w:t>Dotace</w:t>
            </w:r>
          </w:p>
        </w:tc>
      </w:tr>
      <w:tr w:rsidR="006D67F1" w:rsidRPr="002C224A" w:rsidTr="002E3AE9">
        <w:trPr>
          <w:trHeight w:val="315"/>
        </w:trPr>
        <w:tc>
          <w:tcPr>
            <w:tcW w:w="960" w:type="dxa"/>
            <w:shd w:val="clear" w:color="auto" w:fill="365F91"/>
            <w:noWrap/>
            <w:vAlign w:val="center"/>
          </w:tcPr>
          <w:p w:rsidR="006D67F1" w:rsidRPr="002C224A" w:rsidRDefault="006D67F1" w:rsidP="002E3AE9">
            <w:pPr>
              <w:jc w:val="center"/>
              <w:rPr>
                <w:b/>
                <w:bCs/>
                <w:color w:val="000000"/>
                <w:sz w:val="24"/>
                <w:szCs w:val="24"/>
              </w:rPr>
            </w:pPr>
          </w:p>
        </w:tc>
        <w:tc>
          <w:tcPr>
            <w:tcW w:w="960" w:type="dxa"/>
            <w:shd w:val="clear" w:color="auto" w:fill="365F91"/>
            <w:noWrap/>
            <w:vAlign w:val="center"/>
          </w:tcPr>
          <w:p w:rsidR="006D67F1" w:rsidRPr="002C224A" w:rsidRDefault="006D67F1" w:rsidP="002E3AE9">
            <w:pPr>
              <w:jc w:val="left"/>
              <w:rPr>
                <w:color w:val="000000"/>
                <w:sz w:val="24"/>
                <w:szCs w:val="24"/>
              </w:rPr>
            </w:pPr>
            <w:r w:rsidRPr="002C224A">
              <w:rPr>
                <w:color w:val="000000"/>
                <w:sz w:val="24"/>
                <w:szCs w:val="24"/>
              </w:rPr>
              <w:t> </w:t>
            </w:r>
          </w:p>
        </w:tc>
        <w:tc>
          <w:tcPr>
            <w:tcW w:w="2414" w:type="dxa"/>
            <w:shd w:val="clear" w:color="auto" w:fill="365F91"/>
            <w:vAlign w:val="center"/>
          </w:tcPr>
          <w:p w:rsidR="006D67F1" w:rsidRPr="002C224A" w:rsidRDefault="006D67F1" w:rsidP="002E3AE9">
            <w:pPr>
              <w:jc w:val="center"/>
              <w:rPr>
                <w:b/>
                <w:bCs/>
                <w:color w:val="FFFFFF"/>
                <w:sz w:val="24"/>
                <w:szCs w:val="24"/>
              </w:rPr>
            </w:pPr>
            <w:r w:rsidRPr="002C224A">
              <w:rPr>
                <w:b/>
                <w:bCs/>
                <w:color w:val="FFFFFF"/>
                <w:sz w:val="24"/>
                <w:szCs w:val="24"/>
              </w:rPr>
              <w:t>Záruční nástroj</w:t>
            </w:r>
          </w:p>
        </w:tc>
        <w:tc>
          <w:tcPr>
            <w:tcW w:w="2330" w:type="dxa"/>
            <w:shd w:val="clear" w:color="auto" w:fill="365F91"/>
            <w:vAlign w:val="center"/>
          </w:tcPr>
          <w:p w:rsidR="006D67F1" w:rsidRPr="002C224A" w:rsidRDefault="006D67F1" w:rsidP="002E3AE9">
            <w:pPr>
              <w:jc w:val="center"/>
              <w:rPr>
                <w:b/>
                <w:bCs/>
                <w:color w:val="FFFFFF"/>
                <w:sz w:val="24"/>
                <w:szCs w:val="24"/>
              </w:rPr>
            </w:pPr>
            <w:r w:rsidRPr="002C224A">
              <w:rPr>
                <w:b/>
                <w:bCs/>
                <w:color w:val="FFFFFF"/>
                <w:sz w:val="24"/>
                <w:szCs w:val="24"/>
              </w:rPr>
              <w:t>Zvýhodněný úvěr</w:t>
            </w:r>
          </w:p>
        </w:tc>
        <w:tc>
          <w:tcPr>
            <w:tcW w:w="2330" w:type="dxa"/>
            <w:shd w:val="clear" w:color="auto" w:fill="365F91"/>
          </w:tcPr>
          <w:p w:rsidR="006D67F1" w:rsidRPr="002C224A" w:rsidRDefault="006D67F1" w:rsidP="002E3AE9">
            <w:pPr>
              <w:jc w:val="center"/>
              <w:rPr>
                <w:b/>
                <w:bCs/>
                <w:color w:val="FFFFFF"/>
                <w:sz w:val="24"/>
                <w:szCs w:val="24"/>
              </w:rPr>
            </w:pPr>
          </w:p>
        </w:tc>
      </w:tr>
      <w:tr w:rsidR="006D67F1" w:rsidRPr="002C224A" w:rsidTr="002E3AE9">
        <w:trPr>
          <w:trHeight w:val="720"/>
        </w:trPr>
        <w:tc>
          <w:tcPr>
            <w:tcW w:w="960" w:type="dxa"/>
            <w:vMerge w:val="restart"/>
            <w:shd w:val="clear" w:color="auto" w:fill="8DB3E2"/>
            <w:noWrap/>
            <w:textDirection w:val="btLr"/>
            <w:vAlign w:val="center"/>
          </w:tcPr>
          <w:p w:rsidR="006D67F1" w:rsidRPr="002C224A" w:rsidRDefault="003D7EB1" w:rsidP="002E3AE9">
            <w:pPr>
              <w:jc w:val="center"/>
              <w:rPr>
                <w:b/>
                <w:bCs/>
                <w:color w:val="FFFFFF"/>
                <w:sz w:val="24"/>
                <w:szCs w:val="24"/>
              </w:rPr>
            </w:pPr>
            <w:r>
              <w:rPr>
                <w:b/>
                <w:bCs/>
                <w:color w:val="FFFFFF"/>
                <w:sz w:val="24"/>
                <w:szCs w:val="24"/>
              </w:rPr>
              <w:t>Přidaná hodnota veřejné podpory pro konečného příjemce a ŘO</w:t>
            </w:r>
          </w:p>
        </w:tc>
        <w:tc>
          <w:tcPr>
            <w:tcW w:w="960" w:type="dxa"/>
            <w:vMerge w:val="restart"/>
            <w:shd w:val="clear" w:color="auto" w:fill="8DB3E2"/>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Konečný příjemce</w:t>
            </w: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Zpřístupnění nedosažitelného financování</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Zpřístupnění vyšší míry externího financování</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Nevratný příspěvek na projekt</w:t>
            </w:r>
          </w:p>
        </w:tc>
      </w:tr>
      <w:tr w:rsidR="006D67F1" w:rsidRPr="002C224A" w:rsidTr="002E3AE9">
        <w:trPr>
          <w:trHeight w:val="48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Částečné snížení úrokové sazby snížením rizikové přirážky</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Snížení úrokové sazby</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 xml:space="preserve">Vysoce snížená doba návratnosti </w:t>
            </w:r>
          </w:p>
        </w:tc>
      </w:tr>
      <w:tr w:rsidR="006D67F1" w:rsidRPr="002C224A" w:rsidTr="002E3AE9">
        <w:trPr>
          <w:trHeight w:val="72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Snížení nároků na zástavu podniku</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Delší doba splatnosti</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Snazší opatření úvěru na zbytek nákladů projektu</w:t>
            </w:r>
          </w:p>
        </w:tc>
      </w:tr>
      <w:tr w:rsidR="006D67F1" w:rsidRPr="002C224A" w:rsidTr="002E3AE9">
        <w:trPr>
          <w:trHeight w:val="478"/>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noWrap/>
            <w:vAlign w:val="center"/>
          </w:tcPr>
          <w:p w:rsidR="006D67F1" w:rsidRPr="002C224A" w:rsidRDefault="006D67F1" w:rsidP="002E3AE9">
            <w:pPr>
              <w:jc w:val="center"/>
              <w:rPr>
                <w:b/>
                <w:color w:val="FFFFFF"/>
                <w:sz w:val="20"/>
              </w:rPr>
            </w:pP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Snížená doba návratnosti</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Možnost investovat nadměrný zisk do dalších investic</w:t>
            </w:r>
          </w:p>
        </w:tc>
      </w:tr>
      <w:tr w:rsidR="006D67F1" w:rsidRPr="002C224A" w:rsidTr="002E3AE9">
        <w:trPr>
          <w:trHeight w:val="68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Platba v předstihu v podobě úvěru</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Platba v předstihu v podobě úvěru</w:t>
            </w:r>
          </w:p>
        </w:tc>
        <w:tc>
          <w:tcPr>
            <w:tcW w:w="2330" w:type="dxa"/>
            <w:shd w:val="clear" w:color="auto" w:fill="8DB3E2"/>
          </w:tcPr>
          <w:p w:rsidR="006D67F1" w:rsidRPr="002C224A" w:rsidRDefault="006D67F1" w:rsidP="002E3AE9">
            <w:pPr>
              <w:jc w:val="center"/>
              <w:rPr>
                <w:b/>
                <w:color w:val="FFFFFF"/>
                <w:sz w:val="20"/>
              </w:rPr>
            </w:pPr>
          </w:p>
        </w:tc>
      </w:tr>
      <w:tr w:rsidR="006D67F1" w:rsidRPr="002C224A" w:rsidTr="002E3AE9">
        <w:trPr>
          <w:trHeight w:val="690"/>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Nižší administrativní náročnost</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Nižší administrativní náročnost</w:t>
            </w:r>
          </w:p>
        </w:tc>
        <w:tc>
          <w:tcPr>
            <w:tcW w:w="2330" w:type="dxa"/>
            <w:shd w:val="clear" w:color="auto" w:fill="8DB3E2"/>
          </w:tcPr>
          <w:p w:rsidR="006D67F1" w:rsidRPr="002C224A" w:rsidRDefault="006D67F1" w:rsidP="002E3AE9">
            <w:pPr>
              <w:jc w:val="left"/>
              <w:rPr>
                <w:b/>
                <w:color w:val="FFFFFF"/>
                <w:sz w:val="20"/>
              </w:rPr>
            </w:pPr>
          </w:p>
        </w:tc>
      </w:tr>
      <w:tr w:rsidR="006D67F1" w:rsidRPr="002C224A" w:rsidTr="002E3AE9">
        <w:trPr>
          <w:trHeight w:val="735"/>
        </w:trPr>
        <w:tc>
          <w:tcPr>
            <w:tcW w:w="960" w:type="dxa"/>
            <w:vMerge/>
            <w:shd w:val="clear" w:color="auto" w:fill="8DB3E2"/>
            <w:vAlign w:val="center"/>
          </w:tcPr>
          <w:p w:rsidR="006D67F1" w:rsidRPr="002C224A" w:rsidRDefault="006D67F1" w:rsidP="002E3AE9">
            <w:pPr>
              <w:jc w:val="left"/>
              <w:rPr>
                <w:b/>
                <w:bCs/>
                <w:color w:val="FFFFFF"/>
                <w:sz w:val="24"/>
                <w:szCs w:val="24"/>
              </w:rPr>
            </w:pPr>
          </w:p>
        </w:tc>
        <w:tc>
          <w:tcPr>
            <w:tcW w:w="960" w:type="dxa"/>
            <w:vMerge w:val="restart"/>
            <w:shd w:val="clear" w:color="auto" w:fill="8DB3E2"/>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ŘO</w:t>
            </w: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Vysoký pákový efekt a širší objem podpořených projektů a investic</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Vysoký revolvingový efekt a podpoření projektů v dalších cyklech</w:t>
            </w:r>
          </w:p>
        </w:tc>
        <w:tc>
          <w:tcPr>
            <w:tcW w:w="2330" w:type="dxa"/>
            <w:shd w:val="clear" w:color="auto" w:fill="8DB3E2"/>
          </w:tcPr>
          <w:p w:rsidR="006D67F1" w:rsidRPr="002C224A" w:rsidRDefault="006D67F1" w:rsidP="002E3AE9">
            <w:pPr>
              <w:rPr>
                <w:b/>
                <w:color w:val="FFFFFF"/>
                <w:sz w:val="20"/>
              </w:rPr>
            </w:pPr>
            <w:r w:rsidRPr="002C224A">
              <w:rPr>
                <w:b/>
                <w:color w:val="FFFFFF"/>
                <w:sz w:val="20"/>
              </w:rPr>
              <w:t>Vysoká absorpční kapacita</w:t>
            </w:r>
          </w:p>
        </w:tc>
      </w:tr>
      <w:tr w:rsidR="006D67F1" w:rsidRPr="002C224A" w:rsidTr="002E3AE9">
        <w:trPr>
          <w:trHeight w:val="735"/>
        </w:trPr>
        <w:tc>
          <w:tcPr>
            <w:tcW w:w="960" w:type="dxa"/>
            <w:vMerge/>
            <w:shd w:val="clear" w:color="auto" w:fill="8DB3E2"/>
            <w:vAlign w:val="center"/>
          </w:tcPr>
          <w:p w:rsidR="006D67F1" w:rsidRPr="002C224A"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2E3AE9">
            <w:pPr>
              <w:jc w:val="center"/>
              <w:rPr>
                <w:b/>
                <w:bCs/>
                <w:color w:val="FFFFFF"/>
                <w:sz w:val="18"/>
                <w:szCs w:val="18"/>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Možnost revolvingu v závislosti na rizikové strategii</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Predikovatelné splátky</w:t>
            </w:r>
          </w:p>
        </w:tc>
        <w:tc>
          <w:tcPr>
            <w:tcW w:w="2330" w:type="dxa"/>
            <w:shd w:val="clear" w:color="auto" w:fill="8DB3E2"/>
          </w:tcPr>
          <w:p w:rsidR="006D67F1" w:rsidRPr="002C224A" w:rsidRDefault="006D67F1" w:rsidP="002E3AE9">
            <w:pPr>
              <w:jc w:val="center"/>
              <w:rPr>
                <w:b/>
                <w:color w:val="FFFFFF"/>
                <w:sz w:val="20"/>
              </w:rPr>
            </w:pPr>
            <w:r w:rsidRPr="002C224A">
              <w:rPr>
                <w:b/>
                <w:color w:val="FFFFFF"/>
                <w:sz w:val="20"/>
              </w:rPr>
              <w:t>Motivace subjektů k investicím v této oblasti</w:t>
            </w:r>
          </w:p>
        </w:tc>
      </w:tr>
      <w:tr w:rsidR="006D67F1" w:rsidRPr="002C224A" w:rsidTr="002E3AE9">
        <w:trPr>
          <w:trHeight w:val="311"/>
        </w:trPr>
        <w:tc>
          <w:tcPr>
            <w:tcW w:w="960" w:type="dxa"/>
            <w:vMerge/>
            <w:shd w:val="clear" w:color="auto" w:fill="8DB3E2"/>
            <w:vAlign w:val="center"/>
          </w:tcPr>
          <w:p w:rsidR="006D67F1" w:rsidRPr="002C224A"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2C224A" w:rsidRDefault="006D67F1" w:rsidP="002E3AE9">
            <w:pPr>
              <w:jc w:val="center"/>
              <w:rPr>
                <w:b/>
                <w:bCs/>
                <w:color w:val="FFFFFF"/>
                <w:sz w:val="18"/>
                <w:szCs w:val="18"/>
              </w:rPr>
            </w:pPr>
          </w:p>
        </w:tc>
        <w:tc>
          <w:tcPr>
            <w:tcW w:w="2414" w:type="dxa"/>
            <w:shd w:val="clear" w:color="auto" w:fill="8DB3E2"/>
            <w:vAlign w:val="center"/>
          </w:tcPr>
          <w:p w:rsidR="006D67F1" w:rsidRPr="002C224A" w:rsidRDefault="006D67F1" w:rsidP="002E3AE9">
            <w:pPr>
              <w:jc w:val="center"/>
              <w:rPr>
                <w:b/>
                <w:color w:val="FFFFFF"/>
                <w:sz w:val="20"/>
              </w:rPr>
            </w:pPr>
            <w:r w:rsidRPr="002C224A">
              <w:rPr>
                <w:b/>
                <w:color w:val="FFFFFF"/>
                <w:sz w:val="20"/>
              </w:rPr>
              <w:t>Rychlé čerpání</w:t>
            </w:r>
          </w:p>
        </w:tc>
        <w:tc>
          <w:tcPr>
            <w:tcW w:w="2330" w:type="dxa"/>
            <w:shd w:val="clear" w:color="auto" w:fill="8DB3E2"/>
            <w:vAlign w:val="center"/>
          </w:tcPr>
          <w:p w:rsidR="006D67F1" w:rsidRPr="002C224A" w:rsidRDefault="006D67F1" w:rsidP="002E3AE9">
            <w:pPr>
              <w:jc w:val="center"/>
              <w:rPr>
                <w:b/>
                <w:color w:val="FFFFFF"/>
                <w:sz w:val="20"/>
              </w:rPr>
            </w:pPr>
            <w:r w:rsidRPr="002C224A">
              <w:rPr>
                <w:b/>
                <w:color w:val="FFFFFF"/>
                <w:sz w:val="20"/>
              </w:rPr>
              <w:t>Rychlé čerpání</w:t>
            </w:r>
          </w:p>
        </w:tc>
        <w:tc>
          <w:tcPr>
            <w:tcW w:w="2330" w:type="dxa"/>
            <w:shd w:val="clear" w:color="auto" w:fill="8DB3E2"/>
          </w:tcPr>
          <w:p w:rsidR="006D67F1" w:rsidRPr="002C224A" w:rsidRDefault="006D67F1" w:rsidP="002E3AE9">
            <w:pPr>
              <w:jc w:val="center"/>
              <w:rPr>
                <w:b/>
                <w:color w:val="FFFFFF"/>
                <w:sz w:val="20"/>
              </w:rPr>
            </w:pPr>
          </w:p>
        </w:tc>
      </w:tr>
      <w:tr w:rsidR="006D67F1" w:rsidRPr="002C224A" w:rsidTr="002E3AE9">
        <w:trPr>
          <w:trHeight w:val="735"/>
        </w:trPr>
        <w:tc>
          <w:tcPr>
            <w:tcW w:w="960" w:type="dxa"/>
            <w:vMerge w:val="restart"/>
            <w:shd w:val="clear" w:color="auto" w:fill="FF0000"/>
            <w:textDirection w:val="btLr"/>
            <w:vAlign w:val="center"/>
          </w:tcPr>
          <w:p w:rsidR="006D67F1" w:rsidRPr="002C224A" w:rsidRDefault="006D67F1" w:rsidP="002E3AE9">
            <w:pPr>
              <w:ind w:left="113" w:right="113"/>
              <w:jc w:val="center"/>
              <w:rPr>
                <w:b/>
                <w:bCs/>
                <w:color w:val="FFFFFF"/>
                <w:sz w:val="24"/>
                <w:szCs w:val="24"/>
              </w:rPr>
            </w:pPr>
            <w:r w:rsidRPr="002C224A">
              <w:rPr>
                <w:b/>
                <w:bCs/>
                <w:color w:val="FFFFFF"/>
                <w:sz w:val="24"/>
                <w:szCs w:val="24"/>
              </w:rPr>
              <w:t>Nevýhody, problémy a rizika</w:t>
            </w:r>
          </w:p>
        </w:tc>
        <w:tc>
          <w:tcPr>
            <w:tcW w:w="960" w:type="dxa"/>
            <w:vMerge w:val="restart"/>
            <w:shd w:val="clear" w:color="auto" w:fill="FF0000"/>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Konečný příjemce</w:t>
            </w: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Nedostává peníze, musí splácet</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Nedostává peníze, musí splácet</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Vysoká administrativní náročnost</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Malý efekt na snížení úroků</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efekt na návratnost projektu v porovnání s dotací</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Regulovaná výběrová řízení na dodavatele – vyšší náklady</w:t>
            </w:r>
          </w:p>
        </w:tc>
      </w:tr>
      <w:tr w:rsidR="006D67F1" w:rsidRPr="002C224A" w:rsidTr="002E3AE9">
        <w:trPr>
          <w:trHeight w:val="456"/>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efekt zpřístupnění financování pro velmi rizikové projekty</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Nutnost předfinancování – platba ex post</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24"/>
                <w:szCs w:val="24"/>
              </w:rPr>
            </w:pPr>
          </w:p>
        </w:tc>
        <w:tc>
          <w:tcPr>
            <w:tcW w:w="2414"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vAlign w:val="center"/>
          </w:tcPr>
          <w:p w:rsidR="006D67F1" w:rsidRPr="002C224A" w:rsidRDefault="006D67F1" w:rsidP="002E3AE9">
            <w:pPr>
              <w:jc w:val="center"/>
              <w:rPr>
                <w:b/>
                <w:color w:val="FFFFFF"/>
                <w:sz w:val="20"/>
              </w:rPr>
            </w:pP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Riziko dodatečného odebrání dotace z důvodu chyb v projektu a nesplnění podmínek</w:t>
            </w:r>
          </w:p>
        </w:tc>
      </w:tr>
      <w:tr w:rsidR="006D67F1" w:rsidRPr="002C224A" w:rsidTr="002E3AE9">
        <w:trPr>
          <w:trHeight w:val="735"/>
        </w:trPr>
        <w:tc>
          <w:tcPr>
            <w:tcW w:w="960" w:type="dxa"/>
            <w:vMerge/>
            <w:shd w:val="clear" w:color="auto" w:fill="FF0000"/>
            <w:vAlign w:val="center"/>
          </w:tcPr>
          <w:p w:rsidR="006D67F1" w:rsidRPr="002C224A" w:rsidRDefault="006D67F1" w:rsidP="002E3AE9">
            <w:pPr>
              <w:jc w:val="left"/>
              <w:rPr>
                <w:b/>
                <w:bCs/>
                <w:color w:val="000000"/>
                <w:sz w:val="24"/>
                <w:szCs w:val="24"/>
              </w:rPr>
            </w:pPr>
          </w:p>
        </w:tc>
        <w:tc>
          <w:tcPr>
            <w:tcW w:w="960" w:type="dxa"/>
            <w:vMerge w:val="restart"/>
            <w:shd w:val="clear" w:color="auto" w:fill="FF0000"/>
            <w:noWrap/>
            <w:textDirection w:val="btLr"/>
            <w:vAlign w:val="center"/>
          </w:tcPr>
          <w:p w:rsidR="006D67F1" w:rsidRPr="002C224A" w:rsidRDefault="006D67F1" w:rsidP="002E3AE9">
            <w:pPr>
              <w:jc w:val="center"/>
              <w:rPr>
                <w:b/>
                <w:bCs/>
                <w:color w:val="FFFFFF"/>
                <w:sz w:val="24"/>
                <w:szCs w:val="24"/>
              </w:rPr>
            </w:pPr>
            <w:r w:rsidRPr="002C224A">
              <w:rPr>
                <w:b/>
                <w:bCs/>
                <w:color w:val="FFFFFF"/>
                <w:sz w:val="24"/>
                <w:szCs w:val="24"/>
              </w:rPr>
              <w:t>ŘO</w:t>
            </w: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Velmi nízký revolvingový efekt</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Nižší pákový efekt než záruky</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Nenávratné výdaje</w:t>
            </w:r>
          </w:p>
        </w:tc>
      </w:tr>
      <w:tr w:rsidR="006D67F1" w:rsidRPr="002C224A" w:rsidTr="002E3AE9">
        <w:trPr>
          <w:trHeight w:val="566"/>
        </w:trPr>
        <w:tc>
          <w:tcPr>
            <w:tcW w:w="960" w:type="dxa"/>
            <w:vMerge/>
            <w:shd w:val="clear" w:color="auto" w:fill="FF0000"/>
            <w:vAlign w:val="center"/>
          </w:tcPr>
          <w:p w:rsidR="006D67F1" w:rsidRPr="002C224A"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18"/>
                <w:szCs w:val="18"/>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Malý efekt na investiční aktivitu</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Revolving omezují poplatky zprostředkovatelskému subjektu</w:t>
            </w:r>
          </w:p>
        </w:tc>
        <w:tc>
          <w:tcPr>
            <w:tcW w:w="2330" w:type="dxa"/>
            <w:shd w:val="clear" w:color="auto" w:fill="FF0000"/>
          </w:tcPr>
          <w:p w:rsidR="006D67F1" w:rsidRPr="002C224A" w:rsidRDefault="006D67F1" w:rsidP="002E3AE9">
            <w:pPr>
              <w:jc w:val="center"/>
              <w:rPr>
                <w:b/>
                <w:color w:val="FFFFFF"/>
                <w:sz w:val="20"/>
              </w:rPr>
            </w:pPr>
            <w:r w:rsidRPr="002C224A">
              <w:rPr>
                <w:b/>
                <w:color w:val="FFFFFF"/>
                <w:sz w:val="20"/>
              </w:rPr>
              <w:t>Počet podpořených projektů přímo omezen alokací</w:t>
            </w:r>
          </w:p>
        </w:tc>
      </w:tr>
      <w:tr w:rsidR="006D67F1" w:rsidRPr="002C224A" w:rsidTr="002E3AE9">
        <w:trPr>
          <w:trHeight w:val="264"/>
        </w:trPr>
        <w:tc>
          <w:tcPr>
            <w:tcW w:w="960" w:type="dxa"/>
            <w:vMerge/>
            <w:shd w:val="clear" w:color="auto" w:fill="FF0000"/>
            <w:vAlign w:val="center"/>
          </w:tcPr>
          <w:p w:rsidR="006D67F1" w:rsidRPr="002C224A"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2C224A" w:rsidRDefault="006D67F1" w:rsidP="002E3AE9">
            <w:pPr>
              <w:jc w:val="center"/>
              <w:rPr>
                <w:b/>
                <w:bCs/>
                <w:color w:val="000000"/>
                <w:sz w:val="18"/>
                <w:szCs w:val="18"/>
              </w:rPr>
            </w:pPr>
          </w:p>
        </w:tc>
        <w:tc>
          <w:tcPr>
            <w:tcW w:w="2414" w:type="dxa"/>
            <w:shd w:val="clear" w:color="auto" w:fill="FF0000"/>
            <w:vAlign w:val="center"/>
          </w:tcPr>
          <w:p w:rsidR="006D67F1" w:rsidRPr="002C224A" w:rsidRDefault="006D67F1" w:rsidP="002E3AE9">
            <w:pPr>
              <w:jc w:val="center"/>
              <w:rPr>
                <w:b/>
                <w:color w:val="FFFFFF"/>
                <w:sz w:val="20"/>
              </w:rPr>
            </w:pPr>
            <w:r w:rsidRPr="002C224A">
              <w:rPr>
                <w:b/>
                <w:color w:val="FFFFFF"/>
                <w:sz w:val="20"/>
              </w:rPr>
              <w:t>Hrazení poplatků příjemci</w:t>
            </w:r>
          </w:p>
        </w:tc>
        <w:tc>
          <w:tcPr>
            <w:tcW w:w="2330" w:type="dxa"/>
            <w:shd w:val="clear" w:color="auto" w:fill="FF0000"/>
            <w:vAlign w:val="center"/>
          </w:tcPr>
          <w:p w:rsidR="006D67F1" w:rsidRPr="002C224A" w:rsidRDefault="006D67F1" w:rsidP="002E3AE9">
            <w:pPr>
              <w:jc w:val="center"/>
              <w:rPr>
                <w:b/>
                <w:color w:val="FFFFFF"/>
                <w:sz w:val="20"/>
              </w:rPr>
            </w:pPr>
            <w:r w:rsidRPr="002C224A">
              <w:rPr>
                <w:b/>
                <w:color w:val="FFFFFF"/>
                <w:sz w:val="20"/>
              </w:rPr>
              <w:t>Hrazení poplatků příjemci</w:t>
            </w:r>
          </w:p>
        </w:tc>
        <w:tc>
          <w:tcPr>
            <w:tcW w:w="2330" w:type="dxa"/>
            <w:shd w:val="clear" w:color="auto" w:fill="FF0000"/>
          </w:tcPr>
          <w:p w:rsidR="006D67F1" w:rsidRPr="002C224A" w:rsidRDefault="006D67F1" w:rsidP="002E3AE9">
            <w:pPr>
              <w:keepNext/>
              <w:jc w:val="center"/>
              <w:rPr>
                <w:b/>
                <w:color w:val="FFFFFF"/>
                <w:sz w:val="20"/>
              </w:rPr>
            </w:pPr>
            <w:r w:rsidRPr="002C224A">
              <w:rPr>
                <w:b/>
                <w:color w:val="FFFFFF"/>
                <w:sz w:val="20"/>
              </w:rPr>
              <w:t>Pomalejší čerpání</w:t>
            </w:r>
          </w:p>
        </w:tc>
      </w:tr>
    </w:tbl>
    <w:p w:rsidR="006D67F1" w:rsidRPr="002C224A" w:rsidRDefault="006D67F1" w:rsidP="006842C8">
      <w:pPr>
        <w:pStyle w:val="Titulek"/>
      </w:pPr>
      <w:r w:rsidRPr="002C224A">
        <w:t>Tabulka</w:t>
      </w:r>
      <w:r w:rsidR="00F6076B">
        <w:t xml:space="preserve"> </w:t>
      </w:r>
      <w:r w:rsidR="000857F9" w:rsidRPr="002C224A">
        <w:t>8</w:t>
      </w:r>
      <w:r w:rsidR="00F6076B">
        <w:t>6</w:t>
      </w:r>
      <w:r w:rsidRPr="002C224A">
        <w:t>: Přidaná hodnota, Nevýhody, problémy a rizika veřejné podpory pro příjemce a ŘO</w:t>
      </w:r>
    </w:p>
    <w:p w:rsidR="006D67F1" w:rsidRPr="00A50943" w:rsidRDefault="006D67F1" w:rsidP="006842C8">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67F1" w:rsidRPr="002C224A" w:rsidTr="002E3AE9">
        <w:tc>
          <w:tcPr>
            <w:tcW w:w="1729" w:type="dxa"/>
            <w:shd w:val="clear" w:color="auto" w:fill="548DD4"/>
          </w:tcPr>
          <w:p w:rsidR="006D67F1" w:rsidRPr="002C224A" w:rsidRDefault="006D67F1" w:rsidP="002E3AE9">
            <w:pPr>
              <w:pStyle w:val="Highlight2"/>
              <w:shd w:val="clear" w:color="auto" w:fill="8DB3E2"/>
              <w:jc w:val="center"/>
              <w:rPr>
                <w:rFonts w:ascii="Calibri" w:hAnsi="Calibri" w:cs="Calibri"/>
                <w:color w:val="FFFFFF"/>
                <w:sz w:val="22"/>
                <w:szCs w:val="22"/>
              </w:rPr>
            </w:pPr>
            <w:r w:rsidRPr="002C224A">
              <w:rPr>
                <w:rFonts w:ascii="Calibri" w:hAnsi="Calibri" w:cs="Calibri"/>
                <w:color w:val="FFFFFF"/>
                <w:sz w:val="22"/>
                <w:szCs w:val="22"/>
                <w:lang w:eastAsia="cs-CZ"/>
              </w:rPr>
              <w:t>Tržní selhání</w:t>
            </w:r>
          </w:p>
        </w:tc>
        <w:tc>
          <w:tcPr>
            <w:tcW w:w="2694" w:type="dxa"/>
            <w:shd w:val="clear" w:color="auto" w:fill="548DD4"/>
          </w:tcPr>
          <w:p w:rsidR="006D67F1" w:rsidRPr="002C224A" w:rsidRDefault="006D67F1" w:rsidP="002E3AE9">
            <w:pPr>
              <w:pStyle w:val="Highlight2"/>
              <w:shd w:val="clear" w:color="auto" w:fill="8DB3E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Záruční nástroj</w:t>
            </w:r>
          </w:p>
        </w:tc>
        <w:tc>
          <w:tcPr>
            <w:tcW w:w="2268" w:type="dxa"/>
            <w:shd w:val="clear" w:color="auto" w:fill="548DD4"/>
          </w:tcPr>
          <w:p w:rsidR="006D67F1" w:rsidRPr="002C224A" w:rsidRDefault="006D67F1" w:rsidP="002E3AE9">
            <w:pPr>
              <w:pStyle w:val="Highlight2"/>
              <w:shd w:val="clear" w:color="auto" w:fill="8DB3E2"/>
              <w:jc w:val="center"/>
              <w:rPr>
                <w:rFonts w:ascii="Calibri" w:hAnsi="Calibri" w:cs="Calibri"/>
                <w:color w:val="FFFFFF"/>
                <w:sz w:val="22"/>
                <w:szCs w:val="22"/>
              </w:rPr>
            </w:pPr>
            <w:r w:rsidRPr="002C224A">
              <w:rPr>
                <w:rFonts w:ascii="Calibri" w:hAnsi="Calibri" w:cs="Calibri"/>
                <w:bCs/>
                <w:color w:val="FFFFFF"/>
                <w:sz w:val="22"/>
                <w:szCs w:val="22"/>
                <w:lang w:eastAsia="cs-CZ"/>
              </w:rPr>
              <w:t>Zvýhodněný úvěr</w:t>
            </w:r>
          </w:p>
        </w:tc>
        <w:tc>
          <w:tcPr>
            <w:tcW w:w="2268" w:type="dxa"/>
            <w:shd w:val="clear" w:color="auto" w:fill="548DD4"/>
          </w:tcPr>
          <w:p w:rsidR="006D67F1" w:rsidRPr="002C224A" w:rsidRDefault="006D67F1" w:rsidP="002E3AE9">
            <w:pPr>
              <w:pStyle w:val="Highlight2"/>
              <w:shd w:val="clear" w:color="auto" w:fill="8DB3E2"/>
              <w:jc w:val="center"/>
              <w:rPr>
                <w:rFonts w:ascii="Calibri" w:hAnsi="Calibri" w:cs="Calibri"/>
                <w:bCs/>
                <w:color w:val="FFFFFF"/>
                <w:sz w:val="22"/>
                <w:szCs w:val="22"/>
                <w:lang w:eastAsia="cs-CZ"/>
              </w:rPr>
            </w:pPr>
            <w:r w:rsidRPr="002C224A">
              <w:rPr>
                <w:rFonts w:ascii="Calibri" w:hAnsi="Calibri" w:cs="Calibri"/>
                <w:bCs/>
                <w:color w:val="FFFFFF"/>
                <w:sz w:val="22"/>
                <w:szCs w:val="22"/>
                <w:lang w:eastAsia="cs-CZ"/>
              </w:rPr>
              <w:t>Dotace</w:t>
            </w:r>
          </w:p>
        </w:tc>
      </w:tr>
      <w:tr w:rsidR="006D67F1" w:rsidRPr="002C224A" w:rsidTr="002E3AE9">
        <w:trPr>
          <w:trHeight w:val="793"/>
        </w:trPr>
        <w:tc>
          <w:tcPr>
            <w:tcW w:w="1729" w:type="dxa"/>
          </w:tcPr>
          <w:p w:rsidR="006D67F1" w:rsidRPr="002C224A" w:rsidRDefault="006D67F1" w:rsidP="002E3AE9">
            <w:pPr>
              <w:pStyle w:val="Highlight2"/>
              <w:jc w:val="left"/>
              <w:rPr>
                <w:rFonts w:ascii="Calibri" w:hAnsi="Calibri" w:cs="Calibri"/>
              </w:rPr>
            </w:pPr>
            <w:r w:rsidRPr="002C224A">
              <w:rPr>
                <w:rFonts w:ascii="Calibri" w:hAnsi="Calibri" w:cs="Calibri"/>
                <w:color w:val="auto"/>
                <w:szCs w:val="20"/>
              </w:rPr>
              <w:lastRenderedPageBreak/>
              <w:t>Náklady projektu a návratnost</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auto"/>
                <w:szCs w:val="20"/>
              </w:rPr>
              <w:t>Nemá velký vliv na snížení nákladů projektu a jeho návratnost</w:t>
            </w:r>
          </w:p>
        </w:tc>
        <w:tc>
          <w:tcPr>
            <w:tcW w:w="2268" w:type="dxa"/>
          </w:tcPr>
          <w:p w:rsidR="006D67F1" w:rsidRPr="002C224A" w:rsidRDefault="006D67F1" w:rsidP="002E3AE9">
            <w:pPr>
              <w:pStyle w:val="Highlight2"/>
              <w:jc w:val="center"/>
              <w:rPr>
                <w:rFonts w:ascii="Calibri" w:hAnsi="Calibri" w:cs="Calibri"/>
                <w:b w:val="0"/>
              </w:rPr>
            </w:pPr>
            <w:r w:rsidRPr="002C224A">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auto"/>
                <w:szCs w:val="20"/>
              </w:rPr>
              <w:t>Výrazně snižuje náklady pro žadatele a vylepšuje tedy i návratnost projektu.</w:t>
            </w:r>
          </w:p>
        </w:tc>
      </w:tr>
      <w:tr w:rsidR="006D67F1" w:rsidRPr="002C224A" w:rsidTr="002E3AE9">
        <w:trPr>
          <w:trHeight w:val="1521"/>
        </w:trPr>
        <w:tc>
          <w:tcPr>
            <w:tcW w:w="1729" w:type="dxa"/>
          </w:tcPr>
          <w:p w:rsidR="006D67F1" w:rsidRPr="002C224A" w:rsidRDefault="006D67F1" w:rsidP="002E3AE9">
            <w:pPr>
              <w:pStyle w:val="Highlight2"/>
              <w:jc w:val="left"/>
              <w:rPr>
                <w:rFonts w:ascii="Calibri" w:hAnsi="Calibri" w:cs="Calibri"/>
                <w:bCs/>
                <w:color w:val="000000"/>
                <w:szCs w:val="20"/>
                <w:lang w:eastAsia="cs-CZ"/>
              </w:rPr>
            </w:pPr>
            <w:r w:rsidRPr="002C224A">
              <w:rPr>
                <w:rFonts w:ascii="Calibri" w:hAnsi="Calibri" w:cs="Calibri"/>
                <w:bCs/>
                <w:color w:val="000000"/>
                <w:szCs w:val="20"/>
                <w:lang w:eastAsia="cs-CZ"/>
              </w:rPr>
              <w:t>Riziko projektu</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 xml:space="preserve">Z pohledu úvěrování </w:t>
            </w:r>
            <w:r w:rsidR="003D7EB1">
              <w:rPr>
                <w:rFonts w:ascii="Calibri" w:hAnsi="Calibri" w:cs="Calibri"/>
                <w:b w:val="0"/>
                <w:color w:val="000000"/>
                <w:lang w:eastAsia="cs-CZ"/>
              </w:rPr>
              <w:t>Rozděluje riziko mezi konečného příjemce, banku a FN.</w:t>
            </w:r>
            <w:r w:rsidRPr="002C224A">
              <w:rPr>
                <w:rFonts w:ascii="Calibri" w:hAnsi="Calibri" w:cs="Calibri"/>
                <w:b w:val="0"/>
                <w:color w:val="000000"/>
                <w:lang w:eastAsia="cs-CZ"/>
              </w:rPr>
              <w:t xml:space="preserve"> Likvidnější zástava, výrazné snížení rizika pro úvěrující instituci</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 příjemce zůstává</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p>
        </w:tc>
        <w:tc>
          <w:tcPr>
            <w:tcW w:w="2268" w:type="dxa"/>
          </w:tcPr>
          <w:p w:rsidR="006D67F1" w:rsidRPr="002C224A" w:rsidRDefault="003D7EB1" w:rsidP="002E3AE9">
            <w:pPr>
              <w:pStyle w:val="Highlight2"/>
              <w:jc w:val="center"/>
              <w:rPr>
                <w:rFonts w:ascii="Calibri" w:hAnsi="Calibri" w:cs="Calibri"/>
                <w:b w:val="0"/>
                <w:color w:val="000000"/>
                <w:lang w:eastAsia="cs-CZ"/>
              </w:rPr>
            </w:pPr>
            <w:r>
              <w:rPr>
                <w:rFonts w:ascii="Calibri" w:hAnsi="Calibri" w:cs="Calibri"/>
                <w:b w:val="0"/>
                <w:color w:val="000000"/>
                <w:lang w:eastAsia="cs-CZ"/>
              </w:rPr>
              <w:t>Rozděluje riziko mezi konečného příjemce, banku a FN.</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Riziko zvýšených nákladů pro příjemce zůstává</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p>
        </w:tc>
        <w:tc>
          <w:tcPr>
            <w:tcW w:w="2268" w:type="dxa"/>
          </w:tcPr>
          <w:p w:rsidR="006D67F1" w:rsidRPr="002C224A" w:rsidRDefault="00031A1C" w:rsidP="002E3AE9">
            <w:pPr>
              <w:pStyle w:val="Highlight2"/>
              <w:jc w:val="center"/>
              <w:rPr>
                <w:rFonts w:ascii="Calibri" w:hAnsi="Calibri" w:cs="Calibri"/>
                <w:b w:val="0"/>
                <w:color w:val="000000"/>
                <w:lang w:eastAsia="cs-CZ"/>
              </w:rPr>
            </w:pPr>
            <w:r>
              <w:rPr>
                <w:rFonts w:ascii="Calibri" w:hAnsi="Calibri" w:cs="Calibri"/>
                <w:b w:val="0"/>
                <w:color w:val="000000"/>
                <w:lang w:eastAsia="cs-CZ"/>
              </w:rPr>
              <w:t>Dotace části nákladů snižuje rizika konečného příjemce</w:t>
            </w:r>
            <w:r w:rsidR="006D67F1" w:rsidRPr="002C224A">
              <w:rPr>
                <w:rFonts w:ascii="Calibri" w:hAnsi="Calibri" w:cs="Calibri"/>
                <w:b w:val="0"/>
                <w:color w:val="000000"/>
                <w:lang w:eastAsia="cs-CZ"/>
              </w:rPr>
              <w:t xml:space="preserve"> z negativního vývoje revitalizace. </w:t>
            </w:r>
            <w:r w:rsidR="00E05E2D">
              <w:rPr>
                <w:rFonts w:ascii="Calibri" w:hAnsi="Calibri" w:cs="Calibri"/>
                <w:b w:val="0"/>
                <w:color w:val="000000"/>
                <w:lang w:eastAsia="cs-CZ"/>
              </w:rPr>
              <w:t>Konečný příjemce přebírá riziko jen</w:t>
            </w:r>
            <w:r w:rsidR="006D67F1" w:rsidRPr="002C224A">
              <w:rPr>
                <w:rFonts w:ascii="Calibri" w:hAnsi="Calibri" w:cs="Calibri"/>
                <w:b w:val="0"/>
                <w:color w:val="000000"/>
                <w:lang w:eastAsia="cs-CZ"/>
              </w:rPr>
              <w:t xml:space="preserve"> do výše spoluúčasti způsobilých a nezpůsobilých nákladů</w:t>
            </w:r>
          </w:p>
          <w:p w:rsidR="006D67F1" w:rsidRPr="002C224A" w:rsidRDefault="006D67F1" w:rsidP="002E3AE9">
            <w:pPr>
              <w:pStyle w:val="Highlight2"/>
              <w:jc w:val="center"/>
              <w:rPr>
                <w:rFonts w:ascii="Calibri" w:hAnsi="Calibri" w:cs="Calibri"/>
                <w:b w:val="0"/>
                <w:color w:val="000000"/>
                <w:lang w:eastAsia="cs-CZ"/>
              </w:rPr>
            </w:pP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Zlepšená úvěrovatelnost dotovaných projektů</w:t>
            </w: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w:t>
            </w:r>
          </w:p>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rPr>
              <w:t xml:space="preserve"> ŘO má předem dané ztráty do absolutní výše dotace.</w:t>
            </w:r>
          </w:p>
        </w:tc>
      </w:tr>
      <w:tr w:rsidR="006D67F1" w:rsidRPr="002C224A" w:rsidTr="002E3AE9">
        <w:trPr>
          <w:trHeight w:val="1474"/>
        </w:trPr>
        <w:tc>
          <w:tcPr>
            <w:tcW w:w="1729" w:type="dxa"/>
          </w:tcPr>
          <w:p w:rsidR="006D67F1" w:rsidRPr="002C224A" w:rsidRDefault="006D67F1" w:rsidP="002E3AE9">
            <w:pPr>
              <w:rPr>
                <w:rFonts w:cs="Calibri"/>
                <w:b/>
                <w:sz w:val="20"/>
              </w:rPr>
            </w:pPr>
            <w:r w:rsidRPr="002C224A">
              <w:rPr>
                <w:rFonts w:cs="Calibri"/>
                <w:b/>
                <w:bCs/>
                <w:color w:val="000000"/>
                <w:sz w:val="20"/>
              </w:rPr>
              <w:t>Administrativní zátěž</w:t>
            </w:r>
          </w:p>
        </w:tc>
        <w:tc>
          <w:tcPr>
            <w:tcW w:w="2694" w:type="dxa"/>
          </w:tcPr>
          <w:p w:rsidR="006D67F1" w:rsidRPr="002C224A" w:rsidRDefault="006D67F1" w:rsidP="002E3AE9">
            <w:pPr>
              <w:pStyle w:val="Highlight2"/>
              <w:jc w:val="center"/>
              <w:rPr>
                <w:rFonts w:ascii="Calibri" w:hAnsi="Calibri" w:cs="Calibri"/>
                <w:b w:val="0"/>
                <w:color w:val="000000"/>
                <w:lang w:eastAsia="cs-CZ"/>
              </w:rPr>
            </w:pPr>
            <w:r w:rsidRPr="002C224A">
              <w:rPr>
                <w:rFonts w:ascii="Calibri" w:hAnsi="Calibri" w:cs="Calibri"/>
                <w:b w:val="0"/>
                <w:color w:val="000000"/>
                <w:lang w:eastAsia="cs-CZ"/>
              </w:rPr>
              <w:t>Jednoduchá administrace, bez rizika odebrání podpory z důvodu technických chyb</w:t>
            </w:r>
          </w:p>
          <w:p w:rsidR="006D67F1" w:rsidRPr="002C224A" w:rsidRDefault="006D67F1" w:rsidP="002E3AE9">
            <w:pPr>
              <w:pStyle w:val="Highlight2"/>
              <w:jc w:val="center"/>
              <w:rPr>
                <w:rFonts w:ascii="Calibri" w:hAnsi="Calibri" w:cs="Calibri"/>
                <w:b w:val="0"/>
                <w:bCs/>
                <w:color w:val="000000"/>
                <w:lang w:eastAsia="cs-CZ"/>
              </w:rPr>
            </w:pPr>
          </w:p>
        </w:tc>
        <w:tc>
          <w:tcPr>
            <w:tcW w:w="2268" w:type="dxa"/>
          </w:tcPr>
          <w:p w:rsidR="006D67F1" w:rsidRPr="002C224A" w:rsidRDefault="006D67F1" w:rsidP="002E3AE9">
            <w:pPr>
              <w:rPr>
                <w:sz w:val="20"/>
              </w:rPr>
            </w:pPr>
            <w:r w:rsidRPr="002C224A">
              <w:rPr>
                <w:rFonts w:cs="Calibri"/>
                <w:color w:val="000000"/>
                <w:sz w:val="20"/>
              </w:rPr>
              <w:t>Jednoduchá administrace, bez rizika odebrání podpory z důvodu technických chyb</w:t>
            </w:r>
          </w:p>
        </w:tc>
        <w:tc>
          <w:tcPr>
            <w:tcW w:w="2268" w:type="dxa"/>
          </w:tcPr>
          <w:p w:rsidR="006D67F1" w:rsidRPr="002C224A" w:rsidRDefault="006D67F1" w:rsidP="002E3AE9">
            <w:pPr>
              <w:rPr>
                <w:color w:val="000000"/>
                <w:sz w:val="20"/>
              </w:rPr>
            </w:pPr>
            <w:r w:rsidRPr="002C224A">
              <w:rPr>
                <w:rFonts w:cs="Calibri"/>
                <w:color w:val="000000"/>
                <w:sz w:val="20"/>
              </w:rPr>
              <w:t>Vysoká administrativní a regulační zátěž omezuje příjemce, zvyšuje náklady a přináší riziko odebrání dotace.</w:t>
            </w:r>
          </w:p>
        </w:tc>
      </w:tr>
      <w:tr w:rsidR="006D67F1" w:rsidRPr="002C224A" w:rsidTr="002E3AE9">
        <w:tc>
          <w:tcPr>
            <w:tcW w:w="1729" w:type="dxa"/>
          </w:tcPr>
          <w:p w:rsidR="006D67F1" w:rsidRPr="002C224A" w:rsidRDefault="006D67F1" w:rsidP="002E3AE9">
            <w:pPr>
              <w:pStyle w:val="Highlight2"/>
              <w:jc w:val="left"/>
              <w:rPr>
                <w:rFonts w:ascii="Calibri" w:hAnsi="Calibri" w:cs="Calibri"/>
                <w:bCs/>
                <w:color w:val="auto"/>
                <w:szCs w:val="20"/>
                <w:lang w:eastAsia="cs-CZ"/>
              </w:rPr>
            </w:pPr>
            <w:r w:rsidRPr="002C224A">
              <w:rPr>
                <w:rFonts w:ascii="Calibri" w:hAnsi="Calibri" w:cs="Calibri"/>
                <w:color w:val="auto"/>
                <w:szCs w:val="20"/>
              </w:rPr>
              <w:t>Celkový efekt na Investiční aktivitu a absorpci v SC</w:t>
            </w:r>
          </w:p>
        </w:tc>
        <w:tc>
          <w:tcPr>
            <w:tcW w:w="2694" w:type="dxa"/>
          </w:tcPr>
          <w:p w:rsidR="006D67F1" w:rsidRPr="002C224A" w:rsidRDefault="006D67F1" w:rsidP="002433DA">
            <w:pPr>
              <w:pStyle w:val="Highlight2"/>
              <w:jc w:val="center"/>
              <w:rPr>
                <w:rFonts w:ascii="Calibri" w:hAnsi="Calibri" w:cs="Calibri"/>
                <w:b w:val="0"/>
                <w:bCs/>
                <w:color w:val="000000"/>
                <w:lang w:eastAsia="cs-CZ"/>
              </w:rPr>
            </w:pPr>
            <w:r w:rsidRPr="002C224A">
              <w:rPr>
                <w:rFonts w:ascii="Calibri" w:hAnsi="Calibri" w:cs="Calibri"/>
                <w:b w:val="0"/>
                <w:bCs/>
                <w:color w:val="000000"/>
                <w:lang w:eastAsia="cs-CZ"/>
              </w:rPr>
              <w:t xml:space="preserve">Záruka může mít vliv na oblast rekonstrukce CZT, vzhledem k identifikovanému problému s ručením – což se týká menších subjektů. </w:t>
            </w:r>
          </w:p>
          <w:p w:rsidR="006D67F1" w:rsidRPr="002C224A" w:rsidRDefault="006D67F1" w:rsidP="002433DA">
            <w:pPr>
              <w:pStyle w:val="Highlight2"/>
              <w:jc w:val="center"/>
              <w:rPr>
                <w:rFonts w:ascii="Calibri" w:hAnsi="Calibri" w:cs="Calibri"/>
                <w:b w:val="0"/>
                <w:color w:val="000000"/>
                <w:lang w:eastAsia="cs-CZ"/>
              </w:rPr>
            </w:pPr>
            <w:r w:rsidRPr="002C224A">
              <w:rPr>
                <w:rFonts w:ascii="Calibri" w:hAnsi="Calibri" w:cs="Calibri"/>
                <w:b w:val="0"/>
                <w:bCs/>
                <w:color w:val="000000"/>
                <w:lang w:eastAsia="cs-CZ"/>
              </w:rPr>
              <w:t>Na druhou stranu neřeší primární problém dlouhé návratnosti a motivace k investicím v rámci regulovaného odvětví.</w:t>
            </w:r>
          </w:p>
        </w:tc>
        <w:tc>
          <w:tcPr>
            <w:tcW w:w="2268" w:type="dxa"/>
          </w:tcPr>
          <w:p w:rsidR="006D67F1" w:rsidRPr="002C224A" w:rsidRDefault="006D67F1" w:rsidP="002E3AE9">
            <w:pPr>
              <w:rPr>
                <w:sz w:val="20"/>
              </w:rPr>
            </w:pPr>
            <w:r w:rsidRPr="002C224A">
              <w:rPr>
                <w:sz w:val="20"/>
              </w:rPr>
              <w:t>Mírné zkrácení doby návratnosti, přístup k vyššímu externímu financování a příspěvek na projektovou přípravu</w:t>
            </w:r>
          </w:p>
          <w:p w:rsidR="006D67F1" w:rsidRPr="002C224A" w:rsidRDefault="006D67F1" w:rsidP="002E3AE9">
            <w:pPr>
              <w:rPr>
                <w:sz w:val="20"/>
              </w:rPr>
            </w:pPr>
            <w:r w:rsidRPr="002C224A">
              <w:rPr>
                <w:sz w:val="20"/>
              </w:rPr>
              <w:t>budou mít v rámci délky návratnosti a investiční aktivitě v regulovaném odvětví spíše nízký efekt.</w:t>
            </w:r>
          </w:p>
          <w:p w:rsidR="006D67F1" w:rsidRPr="002C224A" w:rsidRDefault="006D67F1" w:rsidP="002433DA">
            <w:pPr>
              <w:rPr>
                <w:rFonts w:cs="Calibri"/>
                <w:color w:val="000000"/>
                <w:sz w:val="20"/>
              </w:rPr>
            </w:pPr>
          </w:p>
        </w:tc>
        <w:tc>
          <w:tcPr>
            <w:tcW w:w="2268" w:type="dxa"/>
          </w:tcPr>
          <w:p w:rsidR="006D67F1" w:rsidRPr="002C224A" w:rsidRDefault="006D67F1" w:rsidP="002E3AE9">
            <w:pPr>
              <w:rPr>
                <w:color w:val="000000"/>
                <w:sz w:val="20"/>
              </w:rPr>
            </w:pPr>
            <w:r w:rsidRPr="002C224A">
              <w:rPr>
                <w:color w:val="000000"/>
                <w:sz w:val="20"/>
              </w:rPr>
              <w:t>Znatelný efekt na nákladovost a návratnost projektu může značně stimulovat aktivity v této oblasti.</w:t>
            </w:r>
          </w:p>
          <w:p w:rsidR="006D67F1" w:rsidRPr="002C224A" w:rsidRDefault="006D67F1" w:rsidP="002E3AE9">
            <w:pPr>
              <w:rPr>
                <w:rFonts w:cs="Calibri"/>
                <w:color w:val="000000"/>
                <w:sz w:val="20"/>
              </w:rPr>
            </w:pPr>
          </w:p>
        </w:tc>
      </w:tr>
      <w:tr w:rsidR="006D67F1" w:rsidRPr="002C224A" w:rsidTr="002E3AE9">
        <w:tc>
          <w:tcPr>
            <w:tcW w:w="1729" w:type="dxa"/>
          </w:tcPr>
          <w:p w:rsidR="006D67F1" w:rsidRPr="002C224A" w:rsidRDefault="006D67F1" w:rsidP="002E3AE9">
            <w:pPr>
              <w:pStyle w:val="Highlight2"/>
              <w:jc w:val="left"/>
              <w:rPr>
                <w:rFonts w:ascii="Calibri" w:hAnsi="Calibri" w:cs="Calibri"/>
                <w:color w:val="auto"/>
                <w:szCs w:val="20"/>
              </w:rPr>
            </w:pPr>
            <w:r w:rsidRPr="002C224A">
              <w:rPr>
                <w:rFonts w:ascii="Calibri" w:hAnsi="Calibri" w:cs="Calibri"/>
                <w:bCs/>
                <w:color w:val="000000"/>
                <w:lang w:eastAsia="cs-CZ"/>
              </w:rPr>
              <w:t>Efekt na narušení tržního prostředí</w:t>
            </w:r>
          </w:p>
        </w:tc>
        <w:tc>
          <w:tcPr>
            <w:tcW w:w="2694" w:type="dxa"/>
          </w:tcPr>
          <w:p w:rsidR="006D67F1" w:rsidRPr="002C224A" w:rsidRDefault="006D67F1" w:rsidP="002E3AE9">
            <w:pPr>
              <w:pStyle w:val="Highlight2"/>
              <w:jc w:val="center"/>
              <w:rPr>
                <w:rFonts w:ascii="Calibri" w:hAnsi="Calibri" w:cs="Calibri"/>
                <w:b w:val="0"/>
                <w:bCs/>
                <w:color w:val="000000"/>
                <w:szCs w:val="20"/>
                <w:lang w:eastAsia="cs-CZ"/>
              </w:rPr>
            </w:pPr>
            <w:r w:rsidRPr="002C224A">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D67F1" w:rsidRPr="002C224A" w:rsidRDefault="006D67F1" w:rsidP="002E3AE9">
            <w:pPr>
              <w:pStyle w:val="Highlight2"/>
              <w:jc w:val="center"/>
              <w:rPr>
                <w:rFonts w:ascii="Calibri" w:hAnsi="Calibri" w:cs="Calibri"/>
                <w:b w:val="0"/>
                <w:color w:val="000000"/>
                <w:szCs w:val="20"/>
                <w:lang w:eastAsia="cs-CZ"/>
              </w:rPr>
            </w:pPr>
            <w:r w:rsidRPr="002C224A">
              <w:rPr>
                <w:rFonts w:ascii="Calibri" w:hAnsi="Calibri" w:cs="Calibri"/>
                <w:b w:val="0"/>
                <w:color w:val="000000"/>
                <w:szCs w:val="20"/>
                <w:lang w:eastAsia="cs-CZ"/>
              </w:rPr>
              <w:t>Malý vliv na tržní prostředí, návratná podpora motivuje ekonomicky efektivní počínání subjektů</w:t>
            </w:r>
          </w:p>
          <w:p w:rsidR="006D67F1" w:rsidRPr="002C224A" w:rsidRDefault="006D67F1" w:rsidP="002E3AE9">
            <w:pPr>
              <w:pStyle w:val="Highlight2"/>
              <w:jc w:val="center"/>
              <w:rPr>
                <w:rFonts w:ascii="Calibri" w:hAnsi="Calibri" w:cs="Calibri"/>
                <w:b w:val="0"/>
                <w:color w:val="000000"/>
                <w:szCs w:val="20"/>
                <w:lang w:eastAsia="cs-CZ"/>
              </w:rPr>
            </w:pPr>
            <w:r w:rsidRPr="002C224A">
              <w:rPr>
                <w:rFonts w:ascii="Calibri" w:hAnsi="Calibri" w:cs="Calibri"/>
                <w:b w:val="0"/>
                <w:color w:val="000000"/>
                <w:szCs w:val="20"/>
                <w:lang w:eastAsia="cs-CZ"/>
              </w:rPr>
              <w:t>Doplnění soukromého finančního trhu</w:t>
            </w:r>
          </w:p>
          <w:p w:rsidR="006D67F1" w:rsidRPr="002C224A" w:rsidRDefault="006D67F1" w:rsidP="002E3AE9">
            <w:pPr>
              <w:rPr>
                <w:sz w:val="20"/>
              </w:rPr>
            </w:pPr>
            <w:r w:rsidRPr="002C224A">
              <w:rPr>
                <w:sz w:val="20"/>
              </w:rPr>
              <w:t>Nenarušuje tržní prostředí podobně jako provozní podpora</w:t>
            </w:r>
          </w:p>
        </w:tc>
        <w:tc>
          <w:tcPr>
            <w:tcW w:w="2268" w:type="dxa"/>
          </w:tcPr>
          <w:p w:rsidR="006D67F1" w:rsidRPr="002C224A" w:rsidRDefault="006D67F1" w:rsidP="002433DA">
            <w:pPr>
              <w:rPr>
                <w:color w:val="000000"/>
                <w:sz w:val="20"/>
              </w:rPr>
            </w:pPr>
            <w:r w:rsidRPr="002C224A">
              <w:rPr>
                <w:rFonts w:cs="Calibri"/>
                <w:bCs/>
                <w:color w:val="000000"/>
                <w:sz w:val="20"/>
              </w:rPr>
              <w:t>Dotace znamenají zvýhodnění pro podnikání dotčených subjektů, nicméně do značné míry vyrovnávají tržní selhání. V rámci trhu se nejedná o závažné narušení vzhledem k jeho zvláštnímu regulovanému a kvazi-monopolnímu charakteru.</w:t>
            </w:r>
          </w:p>
        </w:tc>
      </w:tr>
    </w:tbl>
    <w:p w:rsidR="006D67F1" w:rsidRPr="002C224A" w:rsidRDefault="006D67F1" w:rsidP="006842C8"/>
    <w:p w:rsidR="006D67F1" w:rsidRPr="002C224A" w:rsidRDefault="006D67F1" w:rsidP="006842C8">
      <w:pPr>
        <w:pStyle w:val="Titulek"/>
      </w:pPr>
      <w:r w:rsidRPr="002C224A">
        <w:t xml:space="preserve">Tabulka </w:t>
      </w:r>
      <w:r w:rsidR="000857F9" w:rsidRPr="002C224A">
        <w:t>8</w:t>
      </w:r>
      <w:r w:rsidR="00F6076B">
        <w:t>7</w:t>
      </w:r>
      <w:r w:rsidRPr="002C224A">
        <w:t xml:space="preserve"> – Přidaná hodnota podpory pro cíle SC 3.5</w:t>
      </w:r>
    </w:p>
    <w:p w:rsidR="006D67F1" w:rsidRPr="00A50943" w:rsidRDefault="006D67F1" w:rsidP="006842C8"/>
    <w:p w:rsidR="006D67F1" w:rsidRPr="002C224A" w:rsidRDefault="006D67F1" w:rsidP="006842C8">
      <w:r w:rsidRPr="002C224A">
        <w:t>Na základě porovnání přidané hodnoty je zřejmé, že výrazná selhání trhu řeší v porovnání lépe dotační podpora. Případný potenciál úvěrového a záručního nástroje a jejich absorpční kapacita musí být ještě ověřeny. Určité pozitivum skýtá jejich revolvingový efekt a vliv na přístup k financování.</w:t>
      </w:r>
    </w:p>
    <w:p w:rsidR="006D67F1" w:rsidRPr="002C224A" w:rsidRDefault="006D67F1" w:rsidP="00283266">
      <w:pPr>
        <w:pStyle w:val="Nadpis4"/>
        <w:rPr>
          <w:rFonts w:ascii="Calibri" w:hAnsi="Calibri"/>
        </w:rPr>
      </w:pPr>
      <w:r w:rsidRPr="002C224A">
        <w:rPr>
          <w:rFonts w:ascii="Calibri" w:hAnsi="Calibri"/>
        </w:rPr>
        <w:lastRenderedPageBreak/>
        <w:t>Soulad s jinými formami veřejných intervencí</w:t>
      </w:r>
    </w:p>
    <w:p w:rsidR="006D67F1" w:rsidRPr="00A50943" w:rsidRDefault="006D67F1" w:rsidP="00E01C2E">
      <w:pPr>
        <w:rPr>
          <w:b/>
        </w:rPr>
      </w:pPr>
    </w:p>
    <w:p w:rsidR="006D67F1" w:rsidRPr="002C224A" w:rsidRDefault="006D67F1" w:rsidP="00E01C2E">
      <w:r w:rsidRPr="00A50943">
        <w:t>Komplementarity vznikají zejmén</w:t>
      </w:r>
      <w:r w:rsidRPr="002C224A">
        <w:t>a v souvislosti s podporu energetické účinnosti ve specifickém cíli 3.2, kdy v SC 3.5 dochází k podpoře úspor energie při distribuci energie.</w:t>
      </w:r>
    </w:p>
    <w:p w:rsidR="006D67F1" w:rsidRPr="002C224A" w:rsidRDefault="006D67F1" w:rsidP="00E01C2E"/>
    <w:p w:rsidR="006D67F1" w:rsidRPr="002C224A" w:rsidRDefault="006D67F1" w:rsidP="003C3B8D">
      <w:pPr>
        <w:rPr>
          <w:lang w:eastAsia="en-US"/>
        </w:rPr>
      </w:pPr>
      <w:r w:rsidRPr="002C224A">
        <w:rPr>
          <w:lang w:eastAsia="en-US"/>
        </w:rPr>
        <w:t>Důležitou komplementaritu představuje také možnost zapojení Investičního plánu pro Evropu a Evropského fondu pro strategické investice.</w:t>
      </w:r>
    </w:p>
    <w:p w:rsidR="006D67F1" w:rsidRPr="002C224A" w:rsidRDefault="006D67F1" w:rsidP="00283266">
      <w:pPr>
        <w:pStyle w:val="Nadpis4"/>
        <w:rPr>
          <w:rFonts w:ascii="Calibri" w:hAnsi="Calibri"/>
        </w:rPr>
      </w:pPr>
      <w:r w:rsidRPr="002C224A">
        <w:rPr>
          <w:rFonts w:ascii="Calibri" w:hAnsi="Calibri"/>
        </w:rPr>
        <w:t>Možné řešení veřejné podpory</w:t>
      </w:r>
    </w:p>
    <w:p w:rsidR="006D67F1" w:rsidRPr="00A50943" w:rsidRDefault="006D67F1" w:rsidP="00283266"/>
    <w:p w:rsidR="006D67F1" w:rsidRPr="002C224A" w:rsidRDefault="006D67F1" w:rsidP="00283266">
      <w:r w:rsidRPr="002C224A">
        <w:t>Pro úvěrový finanční nástroj lze řešit veřejnou podporu poskytnutím podpory de minimis nebo podpory podle Obecného nařízení o blokových výjimkách č. 651/2014, v případě kapitálového finančního nástroje pouze podpory podle Obecného nařízení o blokových výjimkách č. 651/2014.</w:t>
      </w:r>
      <w:r w:rsidR="006701AB" w:rsidRPr="002C224A">
        <w:t xml:space="preserve"> Veřejná podpora je předpokládána pouze na úrovni konečných příjemců.</w:t>
      </w:r>
    </w:p>
    <w:p w:rsidR="006D67F1" w:rsidRPr="002C224A" w:rsidRDefault="006D67F1" w:rsidP="003C3B8D">
      <w:pPr>
        <w:rPr>
          <w:lang w:eastAsia="en-US"/>
        </w:rPr>
      </w:pPr>
    </w:p>
    <w:p w:rsidR="006D67F1" w:rsidRPr="002C224A" w:rsidRDefault="006D67F1" w:rsidP="00E01C2E"/>
    <w:p w:rsidR="006D67F1" w:rsidRPr="002C224A" w:rsidRDefault="006D67F1" w:rsidP="00875E68">
      <w:pPr>
        <w:pStyle w:val="Nadpis3"/>
        <w:rPr>
          <w:rFonts w:ascii="Calibri" w:hAnsi="Calibri"/>
        </w:rPr>
      </w:pPr>
      <w:bookmarkStart w:id="916" w:name="_Toc421534309"/>
      <w:r w:rsidRPr="002C224A">
        <w:rPr>
          <w:rFonts w:ascii="Calibri" w:hAnsi="Calibri"/>
        </w:rPr>
        <w:t>Odhad dodatečných veřejných a soukromých zdrojů</w:t>
      </w:r>
      <w:bookmarkEnd w:id="916"/>
    </w:p>
    <w:p w:rsidR="006D67F1" w:rsidRPr="002C224A" w:rsidRDefault="006D67F1" w:rsidP="00875E68">
      <w:pPr>
        <w:pStyle w:val="Nadpis4"/>
        <w:rPr>
          <w:rFonts w:ascii="Calibri" w:hAnsi="Calibri"/>
        </w:rPr>
      </w:pPr>
      <w:r w:rsidRPr="002C224A">
        <w:rPr>
          <w:rFonts w:ascii="Calibri" w:hAnsi="Calibri"/>
        </w:rPr>
        <w:t>Spolufinancování ze soukromých zdrojů až na úroveň konečného příjemce</w:t>
      </w:r>
    </w:p>
    <w:p w:rsidR="006D67F1" w:rsidRPr="002C224A" w:rsidRDefault="006D67F1" w:rsidP="004F5778">
      <w:r w:rsidRPr="00A50943">
        <w:t>Nástroj ve formě zvýhodněných úvěrů předpokládá spolufinancování ve formě komerčního úvěru, který bude předpokladem obdržení úvěru zvýhodněného. Podíl soukromých bankovních zdrojů na financování projektu se může pohybovat v závislosti na nastavení nás</w:t>
      </w:r>
      <w:r w:rsidRPr="002C224A">
        <w:t>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6D67F1" w:rsidRPr="002C224A" w:rsidRDefault="006D67F1" w:rsidP="004F5778"/>
    <w:p w:rsidR="006D67F1" w:rsidRPr="002C224A" w:rsidRDefault="006D67F1" w:rsidP="000150B2">
      <w:r w:rsidRPr="002C224A">
        <w:t xml:space="preserve">Předpokladem nástroje zvýhodněných úvěrů je též zachování podílu </w:t>
      </w:r>
      <w:r w:rsidR="00031A1C">
        <w:t>vlastních zdrojů konečného příjemce</w:t>
      </w:r>
      <w:r w:rsidRPr="002C224A">
        <w:t>, který může v závislosti na finanční strategii a potřebách podniku výrazně oscilovat. Vlastní zdroje budou využity jak na dofinancování způsobilých výdajů, tak především na podpoře nezpůsobilé výdaje projektů.</w:t>
      </w:r>
    </w:p>
    <w:p w:rsidR="006D67F1" w:rsidRPr="002C224A" w:rsidRDefault="006D67F1" w:rsidP="004F5778"/>
    <w:p w:rsidR="006D67F1" w:rsidRPr="002C224A" w:rsidRDefault="00AF0AAA" w:rsidP="004F5778">
      <w:r>
        <w:t>Podíl</w:t>
      </w:r>
      <w:r w:rsidR="006D67F1" w:rsidRPr="002C224A">
        <w:t xml:space="preserve"> vlastní</w:t>
      </w:r>
      <w:r>
        <w:t>ch</w:t>
      </w:r>
      <w:r w:rsidR="006D67F1" w:rsidRPr="002C224A">
        <w:t xml:space="preserve"> zdroj</w:t>
      </w:r>
      <w:r>
        <w:t>ů</w:t>
      </w:r>
      <w:r w:rsidR="006D67F1" w:rsidRPr="002C224A">
        <w:t xml:space="preserve"> žadatele </w:t>
      </w:r>
      <w:r>
        <w:t xml:space="preserve">odhadujeme </w:t>
      </w:r>
      <w:r w:rsidR="006D67F1" w:rsidRPr="002C224A">
        <w:t xml:space="preserve">na úrovni 10-30 % nákladů projektu. </w:t>
      </w:r>
    </w:p>
    <w:p w:rsidR="006D67F1" w:rsidRPr="002C224A" w:rsidRDefault="006D67F1" w:rsidP="00875E68"/>
    <w:p w:rsidR="006D67F1" w:rsidRPr="002C224A" w:rsidRDefault="006D67F1" w:rsidP="00875E68">
      <w:pPr>
        <w:pStyle w:val="Nadpis4"/>
        <w:rPr>
          <w:rFonts w:ascii="Calibri" w:hAnsi="Calibri"/>
        </w:rPr>
      </w:pPr>
      <w:r w:rsidRPr="002C224A">
        <w:rPr>
          <w:rFonts w:ascii="Calibri" w:hAnsi="Calibri"/>
        </w:rPr>
        <w:t>Identifikace klíčových subjektů</w:t>
      </w:r>
    </w:p>
    <w:p w:rsidR="006D67F1" w:rsidRPr="00A50943" w:rsidRDefault="006D67F1" w:rsidP="00875E68"/>
    <w:p w:rsidR="006D67F1" w:rsidRPr="002C224A" w:rsidRDefault="006D67F1" w:rsidP="00312C02">
      <w:r w:rsidRPr="002C224A">
        <w:t>Klíčovým soukromým subjektem pro nástroj zvýhodněných úvěrů jsou soukromé úvěrující instituce – komerční banky, které zajišťují soukromé spolufinancování. FN bude implementován skrze záruční, resp. úvěrový fond s vybraných správcem.</w:t>
      </w:r>
    </w:p>
    <w:p w:rsidR="006D67F1" w:rsidRPr="002C224A" w:rsidRDefault="006D67F1" w:rsidP="00312C02">
      <w:pPr>
        <w:pStyle w:val="Nadpis4"/>
        <w:rPr>
          <w:rFonts w:ascii="Calibri" w:hAnsi="Calibri"/>
        </w:rPr>
      </w:pPr>
      <w:r w:rsidRPr="002C224A">
        <w:rPr>
          <w:rFonts w:ascii="Calibri" w:hAnsi="Calibri"/>
        </w:rPr>
        <w:t>Odhad dodatečných zdrojů, který potenciálně finanční nástroj přiláká – očekávaný pákový efekt</w:t>
      </w:r>
    </w:p>
    <w:p w:rsidR="006D67F1" w:rsidRPr="00A50943" w:rsidRDefault="006D67F1" w:rsidP="00312C02"/>
    <w:p w:rsidR="006D67F1" w:rsidRPr="002C224A" w:rsidRDefault="006D67F1" w:rsidP="00312C02">
      <w:r w:rsidRPr="002C224A">
        <w:t>Dodatečné zdroje aktivované finančním nástrojem a tedy i výsledný pákový efekt jsou vždy závislé na konkrétním nastavení investiční strategie z hlediska požadovaného soukromého spolufinancování.</w:t>
      </w:r>
    </w:p>
    <w:p w:rsidR="006D67F1" w:rsidRPr="002C224A" w:rsidRDefault="006D67F1" w:rsidP="00312C02"/>
    <w:p w:rsidR="006D67F1" w:rsidRPr="002C224A" w:rsidRDefault="006D67F1" w:rsidP="00312C02">
      <w:r w:rsidRPr="002C224A">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2C224A" w:rsidRDefault="006D67F1" w:rsidP="00312C02">
      <w:pPr>
        <w:rPr>
          <w:b/>
        </w:rPr>
      </w:pPr>
      <w:r w:rsidRPr="002C224A">
        <w:t xml:space="preserve">Na základě výše uvedeného odhadovaného rozmezí spolufinancování a limitních hodnot se v případě zvýhodněných úvěrů může pohybovat pákový efekt v rozmezí 1,125-9 (bez vlastních zdrojů žadatele a </w:t>
      </w:r>
      <w:r w:rsidRPr="002C224A">
        <w:lastRenderedPageBreak/>
        <w:t xml:space="preserve">revolvingového efektu). Má-li být úvěrový nástroj pro konečného příjemce dostatečně zvýhodňující a odůvodněný, </w:t>
      </w:r>
      <w:r w:rsidRPr="002C224A">
        <w:rPr>
          <w:b/>
        </w:rPr>
        <w:t>nelze očekávat pákový efekt přesahující hodnotu 2(tedy podíl FN a soukromého úvěru 1:1).</w:t>
      </w:r>
    </w:p>
    <w:p w:rsidR="006D67F1" w:rsidRPr="002C224A" w:rsidRDefault="006D67F1" w:rsidP="00875E68"/>
    <w:p w:rsidR="006D67F1" w:rsidRPr="002C224A" w:rsidRDefault="006D67F1" w:rsidP="00875E68">
      <w:pPr>
        <w:pStyle w:val="Nadpis4"/>
        <w:rPr>
          <w:rFonts w:ascii="Calibri" w:hAnsi="Calibri"/>
        </w:rPr>
      </w:pPr>
      <w:r w:rsidRPr="002C224A">
        <w:rPr>
          <w:rFonts w:ascii="Calibri" w:hAnsi="Calibri"/>
        </w:rPr>
        <w:t>Posouzení potřeby a úroveň preferenčního odměňování</w:t>
      </w:r>
    </w:p>
    <w:p w:rsidR="006D67F1" w:rsidRPr="002C224A" w:rsidRDefault="006D67F1" w:rsidP="00E01C2E">
      <w:r w:rsidRPr="00A50943">
        <w:t>K motivování dostatečného pákového efektu a zapojení soukromých bankovních zdrojů na podporovaných projektech navrhujeme uplatňovat v rámci zvýhodně</w:t>
      </w:r>
      <w:r w:rsidRPr="002C224A">
        <w:t>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r w:rsidR="00C76073" w:rsidRPr="002C224A">
        <w:t xml:space="preserve"> Nejedná se o preferenční odměňování úvěrujících institucí, efekty nástroje by měly být plně přeneseny na konečného příjemce. Preferenční odměňování není navrhováno.</w:t>
      </w:r>
    </w:p>
    <w:p w:rsidR="006D67F1" w:rsidRPr="002C224A" w:rsidRDefault="006D67F1" w:rsidP="002433DA">
      <w:pPr>
        <w:pStyle w:val="Nadpis2"/>
        <w:rPr>
          <w:rFonts w:ascii="Calibri" w:hAnsi="Calibri"/>
          <w:lang w:eastAsia="en-US"/>
        </w:rPr>
      </w:pPr>
      <w:bookmarkStart w:id="917" w:name="_Toc416800470"/>
      <w:bookmarkStart w:id="918" w:name="_Toc421534310"/>
      <w:r w:rsidRPr="002C224A">
        <w:rPr>
          <w:rFonts w:ascii="Calibri" w:hAnsi="Calibri"/>
          <w:lang w:eastAsia="en-US"/>
        </w:rPr>
        <w:t xml:space="preserve">Specifický cíl 4.1- </w:t>
      </w:r>
      <w:r w:rsidRPr="002C224A">
        <w:rPr>
          <w:rFonts w:ascii="Calibri" w:hAnsi="Calibri"/>
        </w:rPr>
        <w:t>Zvětšit pokrytí vysokorychlostním přístupem k internetu</w:t>
      </w:r>
      <w:bookmarkEnd w:id="917"/>
      <w:bookmarkEnd w:id="918"/>
    </w:p>
    <w:p w:rsidR="006D67F1" w:rsidRPr="002C224A" w:rsidRDefault="006D67F1" w:rsidP="002413B6">
      <w:pPr>
        <w:pStyle w:val="Nadpis3"/>
        <w:rPr>
          <w:rFonts w:ascii="Calibri" w:hAnsi="Calibri"/>
        </w:rPr>
      </w:pPr>
      <w:bookmarkStart w:id="919" w:name="_Toc416800471"/>
      <w:bookmarkStart w:id="920" w:name="_Toc421534311"/>
      <w:r w:rsidRPr="002C224A">
        <w:rPr>
          <w:rFonts w:ascii="Calibri" w:hAnsi="Calibri"/>
        </w:rPr>
        <w:t>Zaměření specifického cíle</w:t>
      </w:r>
      <w:bookmarkEnd w:id="919"/>
      <w:bookmarkEnd w:id="920"/>
    </w:p>
    <w:p w:rsidR="006D67F1" w:rsidRPr="00A50943" w:rsidRDefault="006D67F1">
      <w:pPr>
        <w:pStyle w:val="Neslovannadpisy"/>
      </w:pPr>
      <w:r w:rsidRPr="00A50943">
        <w:t>Podporované aktivity:</w:t>
      </w:r>
    </w:p>
    <w:p w:rsidR="006D67F1" w:rsidRPr="002C224A" w:rsidRDefault="006D67F1" w:rsidP="002433DA">
      <w:pPr>
        <w:pStyle w:val="Odstavecseseznamem1"/>
        <w:numPr>
          <w:ilvl w:val="0"/>
          <w:numId w:val="8"/>
        </w:numPr>
      </w:pPr>
      <w:r w:rsidRPr="002C224A">
        <w:t>Modernizace resp. rozšiřování stávající infrastruktury pro vysokorychlostní přístup k internetu využitím optických prvků s cílem umožnit vysokorychlostní přístup k internetu přenosovou rychlostí alespoň 30 Mbit/s,</w:t>
      </w:r>
    </w:p>
    <w:p w:rsidR="006D67F1" w:rsidRPr="002C224A" w:rsidRDefault="006D67F1" w:rsidP="002433DA">
      <w:pPr>
        <w:pStyle w:val="Odstavecseseznamem1"/>
        <w:numPr>
          <w:ilvl w:val="0"/>
          <w:numId w:val="8"/>
        </w:numPr>
      </w:pPr>
      <w:r w:rsidRPr="002C224A">
        <w:t>zřizování nových sítí sestávajících z části nebo plně z optických vedení pro vysokorychlostní přístup k internetu umožňující přenosovou rychlost alespoň 30 Mbit/s; v případě zřizování nových sítí s pevným připojením do jednotlivých domácností musí tato síť umožnit přenosovou rychlost až 100 Mbit/s,</w:t>
      </w:r>
    </w:p>
    <w:p w:rsidR="006D67F1" w:rsidRPr="002C224A" w:rsidRDefault="006D67F1" w:rsidP="002433DA">
      <w:pPr>
        <w:pStyle w:val="Odstavecseseznamem1"/>
        <w:numPr>
          <w:ilvl w:val="0"/>
          <w:numId w:val="8"/>
        </w:numPr>
      </w:pPr>
      <w:r w:rsidRPr="002C224A">
        <w:t>vytváření pasivní infrastruktury pro vysokorychlostní přístup k internetu zejména v lokalitách předpokládaného budoucího stavebního rozvoje, přičemž tato aktivita může být podpořena pouze v kombinaci s jednou z předchozích dvou aktivit.</w:t>
      </w:r>
    </w:p>
    <w:p w:rsidR="006D67F1" w:rsidRPr="002C224A" w:rsidRDefault="006D67F1"/>
    <w:p w:rsidR="006D67F1" w:rsidRPr="002C224A" w:rsidRDefault="00031A1C">
      <w:pPr>
        <w:pStyle w:val="Neslovannadpisy"/>
      </w:pPr>
      <w:r>
        <w:t>Hlavní typ konečných příjemců</w:t>
      </w:r>
      <w:r w:rsidR="006D67F1" w:rsidRPr="002C224A">
        <w:t>:</w:t>
      </w:r>
    </w:p>
    <w:p w:rsidR="006D67F1" w:rsidRPr="002C224A" w:rsidRDefault="006D67F1" w:rsidP="008674AE">
      <w:r w:rsidRPr="002C224A">
        <w:t>Podnikatelské subjekty v elektronických komunikacích bez ohledu na velikost.</w:t>
      </w:r>
    </w:p>
    <w:p w:rsidR="006D67F1" w:rsidRPr="002C224A" w:rsidRDefault="006D67F1" w:rsidP="008674AE"/>
    <w:p w:rsidR="006D67F1" w:rsidRPr="002C224A" w:rsidRDefault="006D67F1" w:rsidP="000E21F7">
      <w:pPr>
        <w:pStyle w:val="Neslovannadpisy"/>
      </w:pPr>
      <w:r w:rsidRPr="002C224A">
        <w:t xml:space="preserve">Hlavní cílová skupina: </w:t>
      </w:r>
    </w:p>
    <w:p w:rsidR="006D67F1" w:rsidRPr="002C224A" w:rsidRDefault="006D67F1" w:rsidP="000E21F7">
      <w:r w:rsidRPr="002C224A">
        <w:t>Obyvatelé a podnikatelé, kteří nemají možnost využívat vysokorychlostní přístup k internetu o rychlosti alespoň 30 Mbit/s.</w:t>
      </w:r>
    </w:p>
    <w:p w:rsidR="006D67F1" w:rsidRPr="002C224A" w:rsidRDefault="006D67F1" w:rsidP="008674AE">
      <w:pPr>
        <w:pStyle w:val="Neslovannadpisy"/>
      </w:pPr>
    </w:p>
    <w:p w:rsidR="006D67F1" w:rsidRPr="002C224A" w:rsidRDefault="006D67F1" w:rsidP="008674AE">
      <w:pPr>
        <w:pStyle w:val="Neslovannadpisy"/>
      </w:pPr>
      <w:r w:rsidRPr="002C224A">
        <w:t>Cílové území:</w:t>
      </w:r>
    </w:p>
    <w:p w:rsidR="006D67F1" w:rsidRPr="002C224A" w:rsidRDefault="006D67F1" w:rsidP="008674AE">
      <w:r w:rsidRPr="002C224A">
        <w:t>Všechny regiony v ČR kromě hl. m. Prahy.</w:t>
      </w:r>
    </w:p>
    <w:p w:rsidR="006D67F1" w:rsidRPr="002C224A" w:rsidDel="000E21F7" w:rsidRDefault="006D67F1" w:rsidP="00CE0F8D"/>
    <w:p w:rsidR="006D67F1" w:rsidRPr="002C224A" w:rsidRDefault="006D67F1">
      <w:pPr>
        <w:pStyle w:val="Neslovannadpisy"/>
      </w:pPr>
      <w:r w:rsidRPr="002C224A">
        <w:t>Výběr aktivit k posouzení vhodnosti finančního nástroje</w:t>
      </w:r>
    </w:p>
    <w:p w:rsidR="006D67F1" w:rsidRPr="002C224A" w:rsidDel="000E21F7" w:rsidRDefault="006D67F1" w:rsidP="00CE0F8D">
      <w:r w:rsidRPr="002C224A">
        <w:t>K předběžnému posouzení byla i na základě indikace Evropské komise vybrána celá oblast budování NGA sítí v SC 4.1.</w:t>
      </w:r>
    </w:p>
    <w:p w:rsidR="006D67F1" w:rsidRPr="002C224A" w:rsidRDefault="006D67F1" w:rsidP="00CE0F8D"/>
    <w:p w:rsidR="006D67F1" w:rsidRPr="002C224A" w:rsidRDefault="006D67F1" w:rsidP="002433DA">
      <w:pPr>
        <w:pStyle w:val="Nadpis3"/>
        <w:rPr>
          <w:rFonts w:ascii="Calibri" w:hAnsi="Calibri"/>
        </w:rPr>
      </w:pPr>
      <w:bookmarkStart w:id="921" w:name="_Toc416800472"/>
      <w:bookmarkStart w:id="922" w:name="_Toc421534312"/>
      <w:r w:rsidRPr="002C224A">
        <w:rPr>
          <w:rFonts w:ascii="Calibri" w:hAnsi="Calibri"/>
        </w:rPr>
        <w:t>Analýza</w:t>
      </w:r>
      <w:bookmarkEnd w:id="921"/>
      <w:r w:rsidRPr="002C224A">
        <w:rPr>
          <w:rFonts w:ascii="Calibri" w:hAnsi="Calibri"/>
        </w:rPr>
        <w:t xml:space="preserve"> selhání trhu</w:t>
      </w:r>
      <w:bookmarkEnd w:id="922"/>
    </w:p>
    <w:p w:rsidR="006D67F1" w:rsidRPr="002C224A" w:rsidRDefault="006D67F1" w:rsidP="00872291">
      <w:pPr>
        <w:pStyle w:val="Nadpis4"/>
        <w:rPr>
          <w:rFonts w:ascii="Calibri" w:hAnsi="Calibri"/>
        </w:rPr>
      </w:pPr>
      <w:r w:rsidRPr="002C224A">
        <w:rPr>
          <w:rFonts w:ascii="Calibri" w:hAnsi="Calibri"/>
        </w:rPr>
        <w:t>Tržní analýza</w:t>
      </w:r>
    </w:p>
    <w:p w:rsidR="006D67F1" w:rsidRPr="00A50943" w:rsidRDefault="006D67F1"/>
    <w:p w:rsidR="006D67F1" w:rsidRPr="002C224A" w:rsidRDefault="006D67F1">
      <w:r w:rsidRPr="002C224A">
        <w:lastRenderedPageBreak/>
        <w:t xml:space="preserve">Hospodářsky rozvoj ve vyspělých státech je považován za nejdůležitější aspekt ekonomického růstu. Bez rozvoje ICT je hospodářský rozvoj nemožný a právě proto se orgány EU začaly zaobírat strategií na podporu rozvoje této oblasti, které nezbytnou součásti je spolehlivé a rychlé připojení k internetu. Pokrytí kvalitním připojením k internetu je důležité jak v případě firem, tak i domácnosti, protože moderní společnosti vyžaduje nové formy práce, komunikace, kdy vyhledávaní informací je úzce spjaté právě s přístupem k vysokorychlostnímu internetu. </w:t>
      </w:r>
    </w:p>
    <w:p w:rsidR="006D67F1" w:rsidRPr="002C224A" w:rsidRDefault="006D67F1"/>
    <w:p w:rsidR="006D67F1" w:rsidRPr="002C224A" w:rsidRDefault="006D67F1" w:rsidP="00CE0F8D">
      <w:r w:rsidRPr="002C224A">
        <w:t>Pokud chce Česká republika udržovat krok s vyspělými státy, musí se nezbytně otázce rozvoje síti nové generace (Next Generation Access) věnovat na vládní úrovni.</w:t>
      </w:r>
      <w:r w:rsidR="000E7BA3" w:rsidRPr="002C224A">
        <w:t xml:space="preserve"> </w:t>
      </w:r>
      <w:r w:rsidRPr="002C224A">
        <w:t xml:space="preserve">Specifický cíl 4.1 má za cíl zvětšit pokrytí vysokorychlostním přístupem k internetu. Rozšiřování sítí má probíhat buď rekonstrukci již existujících sítí elektronických komunikací, nebo výstavbou nových. </w:t>
      </w:r>
    </w:p>
    <w:p w:rsidR="006D67F1" w:rsidRPr="002C224A" w:rsidRDefault="006D67F1" w:rsidP="00CE0F8D"/>
    <w:p w:rsidR="006D67F1" w:rsidRPr="002C224A" w:rsidRDefault="006D67F1" w:rsidP="00DC3B1F">
      <w:pPr>
        <w:rPr>
          <w:sz w:val="24"/>
        </w:rPr>
      </w:pPr>
      <w:r w:rsidRPr="002C224A">
        <w:t>Dne 20. března 2013 vláda usnesením č. 203 schválila aktualizovanou Státní politiku v elektronických komunikacích – Digitální Česko v. 2.0, Cesta k digitální ekonomice</w:t>
      </w:r>
      <w:r w:rsidRPr="002C224A">
        <w:rPr>
          <w:rStyle w:val="Znakapoznpodarou"/>
          <w:rFonts w:ascii="Calibri" w:hAnsi="Calibri"/>
          <w:b/>
        </w:rPr>
        <w:footnoteReference w:id="46"/>
      </w:r>
      <w:r w:rsidRPr="00A50943">
        <w:t>. Jedním z bodů této strategie je Podpora rozvoje vysokorychlostních přístupových síti k internetu a zároveň usnadnění jej</w:t>
      </w:r>
      <w:r w:rsidRPr="002C224A">
        <w:t xml:space="preserve">ích výstavby. Podle tohoto vládního dokumentu je cílem do roku 2020 dosáhnout přístup k 30 Mbit/s internetu pro všechny obyvatelé a minimálně pro polovinu domácnosti přístup k internetu umožňujícímu přenosovou rychlost 100 Mbit/s. </w:t>
      </w:r>
    </w:p>
    <w:p w:rsidR="006D67F1" w:rsidRPr="00A50943" w:rsidRDefault="006D67F1" w:rsidP="00CE0F8D"/>
    <w:p w:rsidR="006D67F1" w:rsidRPr="002C224A" w:rsidRDefault="006D67F1" w:rsidP="00CE0F8D">
      <w:r w:rsidRPr="002C224A">
        <w:t>Cílovou skupinou jsou nejenom běžné domácnosti, ale také podnikatelé, kteří se nacházejí v oblastech, kde neexistuje žádná NGA síť (Next Generation Access) a v nejbližší době je nepravděpodobné, že by došlo ke změně stávající situace. Subjekty podnikající v oblasti elektronických komunikací nebudují NGA sítě oblastech s nižší hustotou zalidnění, protože to není ekonomicky výhodné. Investice do komunikační infrastruktury provádějí na liberalizovaných trzích soukromé subjekty na základě tržních mechanizmů a proto především v regionech s vysokou perspektivou poptávky, přičemž se dále rozšiřuje „propast v přístupu k vysokorychlostnímu připojení" mezi venkovskými a městskými oblastmi. Méně obydlené oblasti ČR by mohly zůstat v důsledku nedostatečné dostupnosti připojení k internetu – dokonce i při stoupající poptávce – dlouhodobě vyloučeny z hospodářského rozvoje.</w:t>
      </w:r>
    </w:p>
    <w:p w:rsidR="006D67F1" w:rsidRPr="002C224A" w:rsidRDefault="006D67F1" w:rsidP="001C5E56">
      <w:pPr>
        <w:jc w:val="left"/>
      </w:pPr>
    </w:p>
    <w:p w:rsidR="006D67F1" w:rsidRPr="00A50943" w:rsidRDefault="006D67F1" w:rsidP="00DC3B1F">
      <w:r w:rsidRPr="002C224A">
        <w:t>Pro lokalizaci oblastí se slabým nebo žádným přístupem k internetu prostřednictvím infrastruktury splňující kritéria NGA sítí bylo provedeno tzv. „mapování“ na území celé ČR. Šetření dostupnosti NGA sítě na úrovni nižší než je území obce, tj. na úrovni základní sídelní jednotky (ZSJ), provedl Český telekomunikační Úřad</w:t>
      </w:r>
      <w:r w:rsidRPr="002C224A">
        <w:rPr>
          <w:rStyle w:val="Znakapoznpodarou"/>
          <w:rFonts w:ascii="Calibri" w:hAnsi="Calibri"/>
        </w:rPr>
        <w:footnoteReference w:id="47"/>
      </w:r>
      <w:r w:rsidRPr="00A50943">
        <w:t>, Tyto výsledky byly využity rovněž při zpracování Národního plánu rozvoje sítí nové generace, jehož pracovní</w:t>
      </w:r>
      <w:r w:rsidRPr="002C224A">
        <w:t xml:space="preserve"> verze byla předmětem veřejné konzultace</w:t>
      </w:r>
      <w:r w:rsidRPr="002C224A">
        <w:rPr>
          <w:rStyle w:val="Znakapoznpodarou"/>
          <w:rFonts w:ascii="Calibri" w:hAnsi="Calibri"/>
        </w:rPr>
        <w:footnoteReference w:id="48"/>
      </w:r>
      <w:r w:rsidRPr="00A50943">
        <w:t xml:space="preserve">. </w:t>
      </w:r>
    </w:p>
    <w:p w:rsidR="006D67F1" w:rsidRPr="002C224A" w:rsidRDefault="006D67F1" w:rsidP="00CE0F8D"/>
    <w:p w:rsidR="006D67F1" w:rsidRPr="002C224A" w:rsidRDefault="006D67F1" w:rsidP="00CE0F8D">
      <w:pPr>
        <w:rPr>
          <w:b/>
        </w:rPr>
      </w:pPr>
      <w:r w:rsidRPr="002C224A">
        <w:rPr>
          <w:b/>
        </w:rPr>
        <w:t>Výsledkem mapování oblastí bylo rozčlenění ZSJ na tzv. bíle, šedé a černé oblasti:</w:t>
      </w:r>
    </w:p>
    <w:p w:rsidR="006D67F1" w:rsidRPr="002C224A" w:rsidRDefault="006D67F1" w:rsidP="002433DA">
      <w:pPr>
        <w:pStyle w:val="Odstavecseseznamem1"/>
        <w:numPr>
          <w:ilvl w:val="0"/>
          <w:numId w:val="2"/>
        </w:numPr>
      </w:pPr>
      <w:r w:rsidRPr="002C224A">
        <w:t>Bílá místa – lokalita, kde neexistuje žádná NGA síť a existuje vysoká pravděpodobnost, že v nejbližších 3 letech nebude síť vybudovaná za komerčních podmínek.</w:t>
      </w:r>
    </w:p>
    <w:p w:rsidR="006D67F1" w:rsidRPr="002C224A" w:rsidRDefault="006D67F1" w:rsidP="002433DA">
      <w:pPr>
        <w:pStyle w:val="Odstavecseseznamem1"/>
        <w:numPr>
          <w:ilvl w:val="0"/>
          <w:numId w:val="2"/>
        </w:numPr>
      </w:pPr>
      <w:r w:rsidRPr="002C224A">
        <w:t>Šedá místa – lokalita, kde existuje pouze jedna NGA síť od jednoho operátora a pravděpodobnost, že bude vybudovaná druhá v průběhu 3 let za komerčních podmínek, je nízká.</w:t>
      </w:r>
    </w:p>
    <w:p w:rsidR="006D67F1" w:rsidRPr="002C224A" w:rsidRDefault="006D67F1" w:rsidP="002433DA">
      <w:pPr>
        <w:pStyle w:val="Odstavecseseznamem1"/>
        <w:numPr>
          <w:ilvl w:val="0"/>
          <w:numId w:val="2"/>
        </w:numPr>
      </w:pPr>
      <w:r w:rsidRPr="002C224A">
        <w:t xml:space="preserve">Černá místa – lokalita, kde existují, nebo v nadcházejících 3 letech budou zavedeny alespoň 2 NGA sítě od různých provozovatelů. </w:t>
      </w:r>
    </w:p>
    <w:p w:rsidR="006D67F1" w:rsidRPr="002C224A" w:rsidRDefault="006D67F1" w:rsidP="00CE0F8D"/>
    <w:p w:rsidR="006D67F1" w:rsidRPr="002C224A" w:rsidRDefault="006D67F1" w:rsidP="00CE0F8D">
      <w:r w:rsidRPr="002C224A">
        <w:t>Geografické rozmístění bílých, šedých a černých oblastí je znázorněno na schématu níže.</w:t>
      </w:r>
    </w:p>
    <w:p w:rsidR="006D67F1" w:rsidRPr="002C224A" w:rsidRDefault="006D67F1" w:rsidP="00CE0F8D"/>
    <w:p w:rsidR="006D67F1" w:rsidRPr="00A50943" w:rsidRDefault="007A3F34">
      <w:pPr>
        <w:keepNext/>
      </w:pPr>
      <w:r w:rsidRPr="00A50943">
        <w:rPr>
          <w:noProof/>
        </w:rPr>
        <w:lastRenderedPageBreak/>
        <w:drawing>
          <wp:inline distT="0" distB="0" distL="0" distR="0" wp14:anchorId="0FD22246" wp14:editId="0B799579">
            <wp:extent cx="5715000" cy="3571875"/>
            <wp:effectExtent l="0" t="0" r="0" b="9525"/>
            <wp:docPr id="6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rsidR="006D67F1" w:rsidRPr="002C224A" w:rsidRDefault="006D67F1" w:rsidP="00DF6E0B">
      <w:pPr>
        <w:pStyle w:val="Titulek"/>
      </w:pPr>
      <w:r w:rsidRPr="002C224A">
        <w:t xml:space="preserve">Obrázek </w:t>
      </w:r>
      <w:r w:rsidR="00646277">
        <w:t>35</w:t>
      </w:r>
      <w:r w:rsidRPr="002C224A">
        <w:t>: Rozložení bílých, šedých a černých míst</w:t>
      </w:r>
    </w:p>
    <w:p w:rsidR="006D67F1" w:rsidRPr="002C224A" w:rsidRDefault="006D67F1" w:rsidP="00DF6E0B">
      <w:pPr>
        <w:pStyle w:val="Titulek"/>
      </w:pPr>
      <w:r w:rsidRPr="002C224A">
        <w:t xml:space="preserve">Zdroj: ČTÚ - </w:t>
      </w:r>
      <w:hyperlink r:id="rId47" w:history="1">
        <w:r w:rsidRPr="002C224A">
          <w:rPr>
            <w:rStyle w:val="Hypertextovodkaz"/>
          </w:rPr>
          <w:t>https://www.ctu.cz/ctu-online/pruzkum-nga.html</w:t>
        </w:r>
      </w:hyperlink>
    </w:p>
    <w:p w:rsidR="006D67F1" w:rsidRPr="00A50943" w:rsidRDefault="006D67F1" w:rsidP="00CE0F8D"/>
    <w:p w:rsidR="006D67F1" w:rsidRPr="002C224A" w:rsidRDefault="006D67F1" w:rsidP="001C5E56">
      <w:r w:rsidRPr="002C224A">
        <w:t xml:space="preserve">K 1. 7. 2014 bylo bílou barvou označeno 43,53 % základních sídelných jednotek, 24,8 % šedou barvou a 31,68 % barvou černou. </w:t>
      </w:r>
      <w:r w:rsidRPr="002C224A">
        <w:rPr>
          <w:b/>
        </w:rPr>
        <w:t>Podporu z veřejných finančních zdrojů mají nárok získat pouze lokality označené jako bíle oblastí a ve výjimečných případech šedé oblasti</w:t>
      </w:r>
      <w:r w:rsidRPr="002C224A">
        <w:t xml:space="preserve"> (pouze za předpokladu, že jediný operátor narušuje tržní prostředí). Při úvahách založených na výstupech NGA mapování ze srpna 2014 je třeba vycházet ze skutečnosti, že mapa je koncipována jako indikativní.  Pro konkrétní případy využití některé z forem veřejné podpory dojde k upřesnění a aktualizaci dat.</w:t>
      </w:r>
    </w:p>
    <w:p w:rsidR="006D67F1" w:rsidRPr="002C224A" w:rsidRDefault="006D67F1" w:rsidP="001C5E56"/>
    <w:p w:rsidR="006D67F1" w:rsidRPr="002C224A" w:rsidRDefault="006D67F1" w:rsidP="001C5E56">
      <w:r w:rsidRPr="002C224A">
        <w:t>Bíle a šedé oblasti mají převážně venkovský charakter, ve výskytu těchto nedostatečně pokrytých míst dosahuje ČR podprůměrné výsledky v evropském srovnání (EU28). Dostupnost vysokorychlostního internetu zejména ve venkovských oblastech dosahuje pouze 2,8 % (2013), což pro poskytovatelé elektronické komunikace znamená obrovskou investiční příležitost, především za předpokladu možnosti využívat na související investice veřejné zdroje financování.</w:t>
      </w:r>
    </w:p>
    <w:p w:rsidR="006D67F1" w:rsidRPr="002C224A" w:rsidRDefault="006D67F1" w:rsidP="001C5E56"/>
    <w:p w:rsidR="006D67F1" w:rsidRPr="002C224A" w:rsidRDefault="006D67F1" w:rsidP="001C5E56">
      <w:r w:rsidRPr="002C224A">
        <w:t>V průběhu roku 2014 využívalo přenosovou rychlost vyšší než 100 Mbit/s pouze 20 % společností a 7 % domácností. Tento jev je způsoben hlavně nízkou informovaností o existenci vysokorychlostního přístupu k internetu, ale také i nedostupnosti v místech, kde po něm existuje poptávka.</w:t>
      </w:r>
    </w:p>
    <w:p w:rsidR="006D67F1" w:rsidRPr="002C224A" w:rsidRDefault="006D67F1" w:rsidP="001C5E56"/>
    <w:p w:rsidR="006D67F1" w:rsidRPr="00A50943" w:rsidRDefault="006D67F1" w:rsidP="001C5E56">
      <w:r w:rsidRPr="002C224A">
        <w:t>V období 16. 2. 2015 až 22. 2. 2015 provedla společnost Seznam.cz měření rychlosti internetového připojení na území celé České republiky. Z výsledku lze vyčíst, že až 80 % české populace připojené na internet má rychlost k připojení nižší než 10 Mbit/s. Pouze 2,82 % uživatelů má připojení k internetu s rychlosti vyšší než 30 Mbit/s, z čeho nejvíc v Ústeckém kraji (4,4 %) a nejmíň v Královéhradeckém kraji (0,93 %). Z dalších zjištění se zjistilo, že nejvíc lidí se k internetu připojují prostřednictvím Wi-Fi (42 %).</w:t>
      </w:r>
      <w:r w:rsidR="000E7BA3" w:rsidRPr="002C224A">
        <w:t xml:space="preserve"> </w:t>
      </w:r>
      <w:r w:rsidRPr="002C224A">
        <w:t>Pomocí mobilu se připojuje na internet 29 % české populace.</w:t>
      </w:r>
      <w:r w:rsidRPr="002C224A">
        <w:rPr>
          <w:rStyle w:val="Znakapoznpodarou"/>
          <w:rFonts w:ascii="Calibri" w:hAnsi="Calibri"/>
        </w:rPr>
        <w:footnoteReference w:id="49"/>
      </w:r>
      <w:r w:rsidRPr="00A50943">
        <w:t xml:space="preserve"> Detailní mapu rychlosti internetu podle Seznam.cz lze vidět níže.</w:t>
      </w:r>
    </w:p>
    <w:p w:rsidR="006D67F1" w:rsidRPr="00A50943" w:rsidRDefault="007A3F34" w:rsidP="00132988">
      <w:r w:rsidRPr="00A50943">
        <w:rPr>
          <w:noProof/>
        </w:rPr>
        <w:lastRenderedPageBreak/>
        <w:drawing>
          <wp:inline distT="0" distB="0" distL="0" distR="0" wp14:anchorId="526805B8" wp14:editId="7BB0379C">
            <wp:extent cx="5581650" cy="3181350"/>
            <wp:effectExtent l="0" t="0" r="0" b="0"/>
            <wp:docPr id="67" name="Picture 11612" descr="https://www.seznam.cz/mapa-rychlosti-internetu/img/map/map-full.png?4.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2" descr="https://www.seznam.cz/mapa-rychlosti-internetu/img/map/map-full.png?4.24.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1650" cy="3181350"/>
                    </a:xfrm>
                    <a:prstGeom prst="rect">
                      <a:avLst/>
                    </a:prstGeom>
                    <a:noFill/>
                    <a:ln>
                      <a:noFill/>
                    </a:ln>
                  </pic:spPr>
                </pic:pic>
              </a:graphicData>
            </a:graphic>
          </wp:inline>
        </w:drawing>
      </w:r>
    </w:p>
    <w:p w:rsidR="006D67F1" w:rsidRPr="002C224A" w:rsidRDefault="006D67F1" w:rsidP="00132988">
      <w:pPr>
        <w:pStyle w:val="Titulek"/>
      </w:pPr>
      <w:r w:rsidRPr="002C224A">
        <w:t xml:space="preserve">Obrázek </w:t>
      </w:r>
      <w:r w:rsidR="00646277">
        <w:t>36</w:t>
      </w:r>
      <w:r w:rsidRPr="002C224A">
        <w:t>: mapa rychlosti internetu v ČR (stav 02/2015)</w:t>
      </w:r>
    </w:p>
    <w:p w:rsidR="006D67F1" w:rsidRPr="002C224A" w:rsidRDefault="006D67F1" w:rsidP="00132988">
      <w:pPr>
        <w:pStyle w:val="Titulek"/>
      </w:pPr>
      <w:r w:rsidRPr="002C224A">
        <w:rPr>
          <w:i/>
        </w:rPr>
        <w:t>(Zdroj: www.seznam.cz</w:t>
      </w:r>
      <w:r w:rsidRPr="002C224A">
        <w:t>)</w:t>
      </w:r>
    </w:p>
    <w:p w:rsidR="006D67F1" w:rsidRPr="00A50943" w:rsidRDefault="006D67F1" w:rsidP="001C5E56"/>
    <w:p w:rsidR="006D67F1" w:rsidRPr="002C224A" w:rsidRDefault="006D67F1" w:rsidP="001C5E56"/>
    <w:p w:rsidR="006D67F1" w:rsidRPr="002C224A" w:rsidRDefault="006D67F1" w:rsidP="001C5E56">
      <w:pPr>
        <w:rPr>
          <w:b/>
        </w:rPr>
      </w:pPr>
      <w:r w:rsidRPr="002C224A">
        <w:rPr>
          <w:b/>
        </w:rPr>
        <w:t>Strategickým cílem MPO je vybudování dostatečně rozvinuté a dostupné technologické základny v podobě adekvátní infrastruktury (NGA sítě) umožňující vysokorychlostní přístup k internetu v relevantních lokalitách ČR, ve kterých tato infrastruktura není a nelze předpokládat, že tam bude vybudována působením tržních mechanizmů za komerčních podmínek.</w:t>
      </w:r>
    </w:p>
    <w:p w:rsidR="006D67F1" w:rsidRPr="002C224A" w:rsidRDefault="006D67F1" w:rsidP="00CE0F8D"/>
    <w:p w:rsidR="006D67F1" w:rsidRPr="002C224A" w:rsidRDefault="006D67F1" w:rsidP="008A50E2">
      <w:r w:rsidRPr="002C224A">
        <w:t xml:space="preserve">Strana poptávky je tedy tvořená potřebou naplnění jednoho z cílů z programu Digitální Česko 2.0, kterým je poměrně ambiciózní kompletní odstranění bílých oblastí (výjimečně šedé). Všechna zmiňovaná opatření budou budována s ohledem na plnění </w:t>
      </w:r>
      <w:r w:rsidRPr="002C224A">
        <w:rPr>
          <w:b/>
        </w:rPr>
        <w:t>koncepce Digitální Česko 2.0</w:t>
      </w:r>
      <w:r w:rsidRPr="002C224A">
        <w:t>. I když jsou bílé oblasti většinou venkovské či horské oblasti, stále je potřeba brát ohled na strukturální problémy regionů, kde se bílá místa posuzují podle Strategie regionálního rozvoje s důrazem na vyvážený rozvoj ČR.</w:t>
      </w:r>
    </w:p>
    <w:p w:rsidR="006D67F1" w:rsidRPr="002C224A" w:rsidRDefault="006D67F1" w:rsidP="008A50E2"/>
    <w:p w:rsidR="006D67F1" w:rsidRPr="002C224A" w:rsidRDefault="006D67F1" w:rsidP="008A50E2">
      <w:r w:rsidRPr="002C224A">
        <w:t>Je nutné dodat, že velká část bílých míst není ve skutečnosti odstřižena od internetu, nýbrž působí zde poskytovatelé internetového připojení ovšem prostřednictvím síťové infrastruktury, která neodpovídá parametrům NGA sítí. Je tedy nutné přistupovat opatrně ke kvantifikaci skutečné investiční potřeby a přístupu k tržnímu prostředí v rámci všech poskytovatelů internetu.</w:t>
      </w:r>
    </w:p>
    <w:p w:rsidR="006D67F1" w:rsidRPr="002C224A" w:rsidRDefault="006D67F1" w:rsidP="008A50E2"/>
    <w:p w:rsidR="006D67F1" w:rsidRPr="002C224A" w:rsidRDefault="006D67F1" w:rsidP="008A50E2">
      <w:pPr>
        <w:rPr>
          <w:b/>
        </w:rPr>
      </w:pPr>
      <w:r w:rsidRPr="002C224A">
        <w:rPr>
          <w:b/>
        </w:rPr>
        <w:t>Investiční modely:</w:t>
      </w:r>
    </w:p>
    <w:p w:rsidR="006D67F1" w:rsidRPr="002C224A" w:rsidRDefault="006D67F1" w:rsidP="002433DA">
      <w:pPr>
        <w:pStyle w:val="Odstavecseseznamem1"/>
        <w:numPr>
          <w:ilvl w:val="0"/>
          <w:numId w:val="2"/>
        </w:numPr>
      </w:pPr>
      <w:r w:rsidRPr="002C224A">
        <w:t>Bottom-up model</w:t>
      </w:r>
    </w:p>
    <w:p w:rsidR="006D67F1" w:rsidRPr="002C224A" w:rsidRDefault="006D67F1" w:rsidP="002433DA">
      <w:pPr>
        <w:pStyle w:val="Odstavecseseznamem1"/>
        <w:numPr>
          <w:ilvl w:val="0"/>
          <w:numId w:val="2"/>
        </w:numPr>
      </w:pPr>
      <w:r w:rsidRPr="002C224A">
        <w:t xml:space="preserve">Private design, build and operate (DBO) model – preferovaný a vhodný. ŘO poskytne dotace operátorovi, který provozuje síť a zajišťuje poskytování služby vysokorychlostního přístupu k internetu. Veřejný subjekt nemá žádnou specifickou roli ve vlastnictví nebo provozování, jenom ukládá povinnosti podmiňující přístup k veřejné podpoře.  </w:t>
      </w:r>
    </w:p>
    <w:p w:rsidR="006D67F1" w:rsidRPr="002C224A" w:rsidRDefault="006D67F1" w:rsidP="002433DA">
      <w:pPr>
        <w:pStyle w:val="Odstavecseseznamem1"/>
        <w:numPr>
          <w:ilvl w:val="0"/>
          <w:numId w:val="2"/>
        </w:numPr>
      </w:pPr>
      <w:r w:rsidRPr="002C224A">
        <w:t>Public outsourcing model</w:t>
      </w:r>
    </w:p>
    <w:p w:rsidR="006D67F1" w:rsidRPr="002C224A" w:rsidRDefault="006D67F1" w:rsidP="002433DA">
      <w:pPr>
        <w:pStyle w:val="Odstavecseseznamem1"/>
        <w:numPr>
          <w:ilvl w:val="0"/>
          <w:numId w:val="2"/>
        </w:numPr>
      </w:pPr>
      <w:r w:rsidRPr="002C224A">
        <w:t>Joint venture model</w:t>
      </w:r>
    </w:p>
    <w:p w:rsidR="006D67F1" w:rsidRPr="002C224A" w:rsidRDefault="006D67F1" w:rsidP="00CE0F8D"/>
    <w:p w:rsidR="006D67F1" w:rsidRPr="002C224A" w:rsidRDefault="006D67F1">
      <w:r w:rsidRPr="002C224A">
        <w:rPr>
          <w:b/>
        </w:rPr>
        <w:t>SC 4.1 je novou oblastí podpory, která nebyla doposud podporována v rámci OPPI, ani dalších operačních programů.</w:t>
      </w:r>
      <w:r w:rsidRPr="002C224A">
        <w:t xml:space="preserve"> </w:t>
      </w:r>
      <w:r w:rsidR="000E7BA3" w:rsidRPr="002C224A">
        <w:t>P</w:t>
      </w:r>
      <w:r w:rsidRPr="002C224A">
        <w:t>odniky tedy neměly dosud přístup k veřejným zdrojům financování tohoto typu.</w:t>
      </w:r>
      <w:r w:rsidR="000E7BA3" w:rsidRPr="002C224A">
        <w:t xml:space="preserve"> </w:t>
      </w:r>
      <w:r w:rsidRPr="002C224A">
        <w:t xml:space="preserve">Vláda v tuto chvíli neplánuje využít na stavbu NGA sítí žádné veřejné národní zdroje. V dubnu </w:t>
      </w:r>
      <w:r w:rsidRPr="002C224A">
        <w:lastRenderedPageBreak/>
        <w:t>2014 bylo rozhodnuto, že na jejich výstavbu nebudou použity ani výnosy z aukce prodeje kmitočtů v letech 2013 – 2014.</w:t>
      </w:r>
    </w:p>
    <w:p w:rsidR="006D67F1" w:rsidRPr="002C224A" w:rsidRDefault="006D67F1" w:rsidP="00171AF5"/>
    <w:p w:rsidR="006D67F1" w:rsidRPr="002C224A" w:rsidRDefault="006D67F1" w:rsidP="00872291">
      <w:pPr>
        <w:pStyle w:val="Nadpis4"/>
        <w:rPr>
          <w:rFonts w:ascii="Calibri" w:hAnsi="Calibri"/>
        </w:rPr>
      </w:pPr>
      <w:bookmarkStart w:id="923" w:name="_Toc416800473"/>
      <w:r w:rsidRPr="002C224A">
        <w:rPr>
          <w:rFonts w:ascii="Calibri" w:hAnsi="Calibri"/>
        </w:rPr>
        <w:t>Odhad absorpční kapacity veřejné podpory a finančního nástroje</w:t>
      </w:r>
    </w:p>
    <w:p w:rsidR="006D67F1" w:rsidRPr="00A50943" w:rsidRDefault="006D67F1" w:rsidP="00906FF8">
      <w:pPr>
        <w:rPr>
          <w:lang w:eastAsia="en-US"/>
        </w:rPr>
      </w:pPr>
    </w:p>
    <w:bookmarkEnd w:id="923"/>
    <w:p w:rsidR="006D67F1" w:rsidRPr="002C224A" w:rsidRDefault="006D67F1" w:rsidP="00906FF8">
      <w:r w:rsidRPr="002C224A">
        <w:rPr>
          <w:b/>
        </w:rPr>
        <w:t>Průměrný celkový náklad na kilometr sítě se podle odhadu ICT Unie ČR pohybuje v rozmezí 1,5-</w:t>
      </w:r>
      <w:smartTag w:uri="urn:schemas-microsoft-com:office:smarttags" w:element="metricconverter">
        <w:smartTagPr>
          <w:attr w:name="ProductID" w:val="2 mil"/>
        </w:smartTagPr>
        <w:r w:rsidRPr="002C224A">
          <w:rPr>
            <w:b/>
          </w:rPr>
          <w:t>2 mil</w:t>
        </w:r>
      </w:smartTag>
      <w:r w:rsidRPr="002C224A">
        <w:rPr>
          <w:b/>
        </w:rPr>
        <w:t>. Kč.</w:t>
      </w:r>
      <w:r w:rsidR="000E7BA3" w:rsidRPr="002C224A">
        <w:rPr>
          <w:b/>
        </w:rPr>
        <w:t xml:space="preserve"> </w:t>
      </w:r>
      <w:r w:rsidRPr="002C224A">
        <w:t xml:space="preserve">Variabilita bílých míst a projektů je nicméně veliká. I při znalost počtu zhruba 10 tis. bílých míst identifikovaných při posledním šetření lze tedy vyslovit pouze řádový odhad celkových investic potřebných na zasíťování současných bílých míst. Dle odhadu Deloitte Advisory vycházející z rozlohy ČR, počtu obcí se zohledněním vojenských újezdů a průměrné vzdálenosti mezi nimi je odvozeno, že na zasíťování 1 typového bílého místa (ZSJ) je potřeba zhruba 6 - </w:t>
      </w:r>
      <w:smartTag w:uri="urn:schemas-microsoft-com:office:smarttags" w:element="metricconverter">
        <w:smartTagPr>
          <w:attr w:name="ProductID" w:val="8 km"/>
        </w:smartTagPr>
        <w:r w:rsidRPr="002C224A">
          <w:t>8 km</w:t>
        </w:r>
      </w:smartTag>
      <w:r w:rsidRPr="002C224A">
        <w:t xml:space="preserve"> sítě. Na základě těchto předpokladů lze modelově určit relevantní investiční potřebu v rozmezí 90-160 mld. Kč. </w:t>
      </w:r>
      <w:r w:rsidRPr="002C224A">
        <w:rPr>
          <w:b/>
        </w:rPr>
        <w:t>Celková suma tedy zřejmě bezpečně přesahuje 100 mld. Kč a řádově tedy i alokované zdroje OPPIK</w:t>
      </w:r>
      <w:r w:rsidRPr="002C224A">
        <w:t>.</w:t>
      </w:r>
      <w:r w:rsidR="000E7BA3" w:rsidRPr="002C224A">
        <w:t xml:space="preserve"> </w:t>
      </w:r>
      <w:r w:rsidRPr="002C224A">
        <w:t>Kritickým zhodnocením nicméně ještě musí projít účelnost prosazování NGA na řadě bílých lokalit.</w:t>
      </w:r>
    </w:p>
    <w:p w:rsidR="006D67F1" w:rsidRPr="002C224A" w:rsidRDefault="006D67F1" w:rsidP="00F80B02"/>
    <w:p w:rsidR="006D67F1" w:rsidRPr="002C224A" w:rsidRDefault="006D67F1" w:rsidP="00F80B02">
      <w:r w:rsidRPr="002C224A">
        <w:t>Reálná investiční poptávka bude extrémně závislá na dostupnosti podpory, jak vyplývá ze samotné definice bílých míst. V praxi zde lze počítat pouze s minimální absorpční kapacitou zvýhodněných úvěrů na cílové lokality.</w:t>
      </w:r>
    </w:p>
    <w:p w:rsidR="006D67F1" w:rsidRPr="002C224A" w:rsidRDefault="006D67F1" w:rsidP="00171AF5"/>
    <w:p w:rsidR="006D67F1" w:rsidRPr="002C224A" w:rsidRDefault="006D67F1" w:rsidP="00872291">
      <w:pPr>
        <w:pStyle w:val="Nadpis4"/>
        <w:rPr>
          <w:rFonts w:ascii="Calibri" w:hAnsi="Calibri"/>
        </w:rPr>
      </w:pPr>
      <w:bookmarkStart w:id="924" w:name="_Toc416800474"/>
      <w:r w:rsidRPr="002C224A">
        <w:rPr>
          <w:rFonts w:ascii="Calibri" w:hAnsi="Calibri"/>
        </w:rPr>
        <w:t>Identifikace selhání trhu a suboptimálních investičních situací</w:t>
      </w:r>
    </w:p>
    <w:p w:rsidR="006D67F1" w:rsidRPr="00A50943" w:rsidRDefault="006D67F1" w:rsidP="00171AF5"/>
    <w:bookmarkEnd w:id="924"/>
    <w:p w:rsidR="006D67F1" w:rsidRPr="002C224A" w:rsidRDefault="006D67F1" w:rsidP="00171AF5">
      <w:r w:rsidRPr="002C224A">
        <w:t>Hlavním tržním selháním při rozvoji síti nové generace jsou vysoké náklady na výstavbu a zároveň slabá poptávka po těchto službách v méně zalidněných bílých oblastech generující nižší výnosy. Náklady navyšují hlavně administrativní náklady výstavby, věcná břemena a vícenáklady bez přímé vazby na stavbu (např. morální zastarávání technologie, které tlačí na rychlou návratnost investic). Administrativní překážky při výstavbě vznikají z důvodu neexistence definice „výstavby ve veřejném zájmu“.</w:t>
      </w:r>
    </w:p>
    <w:p w:rsidR="006D67F1" w:rsidRPr="002C224A" w:rsidRDefault="006D67F1" w:rsidP="00171AF5"/>
    <w:p w:rsidR="006D67F1" w:rsidRPr="002C224A" w:rsidRDefault="006D67F1" w:rsidP="00171AF5">
      <w:r w:rsidRPr="002C224A">
        <w:t xml:space="preserve">Suboptimální investiční situace na trhu ČR vzniká i ze skutečnosti, že </w:t>
      </w:r>
      <w:r w:rsidRPr="002C224A">
        <w:rPr>
          <w:b/>
        </w:rPr>
        <w:t>poptávka od domácností po vysokých rychlostech připojení je dosud nízká a mnohde nestačí pro pokrytí vysokých investičních nákladů.</w:t>
      </w:r>
      <w:r w:rsidRPr="002C224A">
        <w:t xml:space="preserve"> Benefity rychlého přístupu k internetu pro rozvoj určitého druhu podnikání a služeb v perifernějších oblastech logicky nejsou ochotny individuální domácnosti financovat.</w:t>
      </w:r>
    </w:p>
    <w:p w:rsidR="006D67F1" w:rsidRPr="002C224A" w:rsidRDefault="006D67F1" w:rsidP="00171AF5"/>
    <w:p w:rsidR="006D67F1" w:rsidRPr="002C224A" w:rsidRDefault="006D67F1" w:rsidP="00171AF5">
      <w:r w:rsidRPr="002C224A">
        <w:t xml:space="preserve">Alternativní mobilní sítě se budují v oblastech s nízkou hustotou zalidnění, ale v současné době nedokážou poskytovat kvalitu a robustnost připojení  odpovídající NGA sítím.  </w:t>
      </w:r>
    </w:p>
    <w:p w:rsidR="006D67F1" w:rsidRPr="002C224A" w:rsidRDefault="006D67F1" w:rsidP="00171AF5"/>
    <w:p w:rsidR="006D67F1" w:rsidRPr="002C224A" w:rsidRDefault="006D67F1" w:rsidP="00872291">
      <w:pPr>
        <w:pStyle w:val="Nadpis4"/>
        <w:rPr>
          <w:rFonts w:ascii="Calibri" w:hAnsi="Calibri"/>
        </w:rPr>
      </w:pPr>
      <w:bookmarkStart w:id="925" w:name="_Toc416383885"/>
      <w:bookmarkStart w:id="926" w:name="_Toc416447882"/>
      <w:bookmarkStart w:id="927" w:name="_Toc416383886"/>
      <w:bookmarkStart w:id="928" w:name="_Toc416447883"/>
      <w:bookmarkStart w:id="929" w:name="_Toc416383887"/>
      <w:bookmarkStart w:id="930" w:name="_Toc416447884"/>
      <w:bookmarkStart w:id="931" w:name="_Toc416383888"/>
      <w:bookmarkStart w:id="932" w:name="_Toc416447885"/>
      <w:bookmarkStart w:id="933" w:name="_Toc416383889"/>
      <w:bookmarkStart w:id="934" w:name="_Toc416447886"/>
      <w:bookmarkStart w:id="935" w:name="_Toc416383890"/>
      <w:bookmarkStart w:id="936" w:name="_Toc416447887"/>
      <w:bookmarkStart w:id="937" w:name="_Toc416383891"/>
      <w:bookmarkStart w:id="938" w:name="_Toc416447888"/>
      <w:bookmarkStart w:id="939" w:name="_Toc416800475"/>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2C224A">
        <w:rPr>
          <w:rFonts w:ascii="Calibri" w:hAnsi="Calibri"/>
        </w:rPr>
        <w:t>Návrh řešení identifikovaných tržních selhání</w:t>
      </w:r>
    </w:p>
    <w:p w:rsidR="006D67F1" w:rsidRPr="00A50943" w:rsidRDefault="006D67F1" w:rsidP="00171AF5"/>
    <w:bookmarkEnd w:id="939"/>
    <w:p w:rsidR="006D67F1" w:rsidRPr="002C224A" w:rsidRDefault="006D67F1" w:rsidP="00171AF5">
      <w:r w:rsidRPr="002C224A">
        <w:t>Vzhledem k vysokým investičním nákladům na budování NGA sítí a předpokládané nízké výnosnosti většinou řídce osídlených „bílých“ oblastí je nutné motivovat subjekty k takto cílené aktivitě veřejnou podporou, ze státních či evropských zdrojů. I z toho důvodu je v SC 4.1 předpoklad velkého využití dotační podpory.</w:t>
      </w:r>
    </w:p>
    <w:p w:rsidR="006D67F1" w:rsidRPr="002C224A" w:rsidRDefault="006D67F1" w:rsidP="00171AF5"/>
    <w:p w:rsidR="006D67F1" w:rsidRPr="002C224A" w:rsidRDefault="006D67F1" w:rsidP="00171AF5">
      <w:r w:rsidRPr="002C224A">
        <w:t xml:space="preserve">Při důsledném dodržení definice bílých míst jako oblastí za hranicí tržní rentabilnosti investic do NGA sítí je potenciál SC 4.1 pro využití </w:t>
      </w:r>
      <w:r w:rsidR="0093234A" w:rsidRPr="002C224A">
        <w:t>návratných finančních nástrojů z definice velmi malý</w:t>
      </w:r>
      <w:r w:rsidRPr="002C224A">
        <w:t>. Hlavní část potenciálních investorů v této oblasti tvoří velké telekomunikační společnosti, které nemají v porovnání s MSP problém s přístupem k externímu financování za nízké sazby.</w:t>
      </w:r>
      <w:r w:rsidR="00ED0B05" w:rsidRPr="002C224A">
        <w:t xml:space="preserve"> </w:t>
      </w:r>
      <w:r w:rsidRPr="002C224A">
        <w:t xml:space="preserve">Identifikovanou bariérou je především nákladovost a výnosnost investic. Za současných obecně nízkých úrokových </w:t>
      </w:r>
      <w:r w:rsidRPr="002C224A">
        <w:lastRenderedPageBreak/>
        <w:t>sazeb je potenciál dostatečného zvýhodnění</w:t>
      </w:r>
      <w:r w:rsidR="0093234A" w:rsidRPr="002C224A">
        <w:t xml:space="preserve"> projektů</w:t>
      </w:r>
      <w:r w:rsidRPr="002C224A">
        <w:t xml:space="preserve"> jejich snížením velmi omezený. Oblast je dle našeho názoru vhodná primárně pro dotační podporu.</w:t>
      </w:r>
    </w:p>
    <w:p w:rsidR="0093234A" w:rsidRPr="002C224A" w:rsidRDefault="0093234A" w:rsidP="00171AF5"/>
    <w:p w:rsidR="0093234A" w:rsidRPr="002C224A" w:rsidRDefault="0093234A" w:rsidP="0093234A">
      <w:pPr>
        <w:rPr>
          <w:lang w:eastAsia="en-US"/>
        </w:rPr>
      </w:pPr>
      <w:r w:rsidRPr="002C224A">
        <w:t xml:space="preserve">Finanční nástroje mohou v dané oblasti být využity na investice, které jsou svou rentabilitou bližší tržnímu realizování (čili podpora posilování NGA infrastruktury mimo definovaná „bílá“ místa). Proto lze uvažovat o jejich aplikaci mimo rámec OP PIK, např. s podporou </w:t>
      </w:r>
      <w:r w:rsidRPr="002C224A">
        <w:rPr>
          <w:lang w:eastAsia="en-US"/>
        </w:rPr>
        <w:t>Investičního plánu pro Evropu, za účelem vhodného doplnění výsledků OP PIK.</w:t>
      </w:r>
    </w:p>
    <w:p w:rsidR="006D67F1" w:rsidRPr="002C224A" w:rsidRDefault="006D67F1" w:rsidP="00171AF5"/>
    <w:p w:rsidR="006D67F1" w:rsidRPr="002C224A" w:rsidRDefault="006D67F1">
      <w:pPr>
        <w:overflowPunct/>
        <w:autoSpaceDE/>
        <w:autoSpaceDN/>
        <w:adjustRightInd/>
        <w:jc w:val="left"/>
        <w:textAlignment w:val="auto"/>
      </w:pPr>
      <w:bookmarkStart w:id="940" w:name="_Toc416383893"/>
      <w:bookmarkStart w:id="941" w:name="_Toc416383894"/>
      <w:bookmarkStart w:id="942" w:name="_Toc416383895"/>
      <w:bookmarkStart w:id="943" w:name="_Toc416383896"/>
      <w:bookmarkStart w:id="944" w:name="_Toc416383897"/>
      <w:bookmarkStart w:id="945" w:name="_Toc416383898"/>
      <w:bookmarkStart w:id="946" w:name="_Toc416383899"/>
      <w:bookmarkStart w:id="947" w:name="_Toc416383900"/>
      <w:bookmarkStart w:id="948" w:name="_Toc416383901"/>
      <w:bookmarkStart w:id="949" w:name="_Toc416383902"/>
      <w:bookmarkEnd w:id="940"/>
      <w:bookmarkEnd w:id="941"/>
      <w:bookmarkEnd w:id="942"/>
      <w:bookmarkEnd w:id="943"/>
      <w:bookmarkEnd w:id="944"/>
      <w:bookmarkEnd w:id="945"/>
      <w:bookmarkEnd w:id="946"/>
      <w:bookmarkEnd w:id="947"/>
      <w:bookmarkEnd w:id="948"/>
      <w:bookmarkEnd w:id="949"/>
      <w:r w:rsidRPr="002C224A">
        <w:br w:type="page"/>
      </w:r>
    </w:p>
    <w:p w:rsidR="006D67F1" w:rsidRPr="002C224A" w:rsidRDefault="006D67F1" w:rsidP="002433DA">
      <w:pPr>
        <w:pStyle w:val="Nadpis1"/>
        <w:rPr>
          <w:rFonts w:ascii="Calibri" w:hAnsi="Calibri"/>
        </w:rPr>
      </w:pPr>
      <w:bookmarkStart w:id="950" w:name="_Toc416383905"/>
      <w:bookmarkStart w:id="951" w:name="_Toc416447890"/>
      <w:bookmarkStart w:id="952" w:name="_Toc414464596"/>
      <w:bookmarkStart w:id="953" w:name="_Toc416800476"/>
      <w:bookmarkStart w:id="954" w:name="_Toc421534313"/>
      <w:bookmarkEnd w:id="950"/>
      <w:bookmarkEnd w:id="951"/>
      <w:r w:rsidRPr="002C224A">
        <w:rPr>
          <w:rFonts w:ascii="Calibri" w:hAnsi="Calibri"/>
        </w:rPr>
        <w:lastRenderedPageBreak/>
        <w:t>Blok II.: Návrh vhodné strategie</w:t>
      </w:r>
      <w:bookmarkEnd w:id="952"/>
      <w:bookmarkEnd w:id="953"/>
      <w:bookmarkEnd w:id="954"/>
    </w:p>
    <w:p w:rsidR="006D67F1" w:rsidRPr="00A50943" w:rsidRDefault="006D67F1" w:rsidP="00CE3165"/>
    <w:p w:rsidR="006D67F1" w:rsidRPr="002C224A" w:rsidRDefault="006D67F1" w:rsidP="00CE3165">
      <w:pPr>
        <w:rPr>
          <w:b/>
        </w:rPr>
      </w:pPr>
      <w:r w:rsidRPr="002C224A">
        <w:t xml:space="preserve">Cílem této kapitoly je shrnout základní atributy spojené s návrhem nastavení finančních nástrojů v oblastech OP PIK, ve kterých bylo potvrzeno selhání trhu a vhodnost přesunu dotačního schématu do alternativní formy financování. Pro každou oblast byl rozpracován návrh finančního nástroje, který se snaží o vyjasnění klíčových otázek pro možnost implementace navrhovaných nástrojů. </w:t>
      </w:r>
    </w:p>
    <w:p w:rsidR="006D67F1" w:rsidRPr="002C224A" w:rsidRDefault="006D67F1" w:rsidP="00CE3165">
      <w:pPr>
        <w:rPr>
          <w:b/>
        </w:rPr>
      </w:pPr>
    </w:p>
    <w:p w:rsidR="006D67F1" w:rsidRPr="002C224A" w:rsidRDefault="006D67F1" w:rsidP="00CE3165">
      <w:pPr>
        <w:spacing w:after="240"/>
      </w:pPr>
      <w:r w:rsidRPr="002C224A">
        <w:t>Návrh investiční strategie v členění dle oblastí podpory je zpracován v následující struktuře:</w:t>
      </w:r>
    </w:p>
    <w:p w:rsidR="006D67F1" w:rsidRPr="002C224A" w:rsidRDefault="006D67F1" w:rsidP="002433DA">
      <w:pPr>
        <w:pStyle w:val="Odstavecseseznamem1"/>
        <w:numPr>
          <w:ilvl w:val="0"/>
          <w:numId w:val="28"/>
        </w:numPr>
        <w:overflowPunct/>
        <w:autoSpaceDE/>
        <w:autoSpaceDN/>
        <w:adjustRightInd/>
        <w:spacing w:after="120"/>
        <w:contextualSpacing w:val="0"/>
        <w:textAlignment w:val="auto"/>
      </w:pPr>
      <w:r w:rsidRPr="002C224A">
        <w:t>Odůvodnění volby oblasti podpory a návrhu nástroje;</w:t>
      </w:r>
    </w:p>
    <w:p w:rsidR="006D67F1" w:rsidRPr="002C224A" w:rsidRDefault="006D67F1" w:rsidP="002433DA">
      <w:pPr>
        <w:pStyle w:val="Odstavecseseznamem1"/>
        <w:numPr>
          <w:ilvl w:val="0"/>
          <w:numId w:val="28"/>
        </w:numPr>
        <w:overflowPunct/>
        <w:autoSpaceDE/>
        <w:autoSpaceDN/>
        <w:adjustRightInd/>
        <w:spacing w:after="120"/>
        <w:contextualSpacing w:val="0"/>
        <w:textAlignment w:val="auto"/>
      </w:pPr>
      <w:r w:rsidRPr="002C224A">
        <w:t>Schéma fungování navrhovaného finančního nástroje;</w:t>
      </w:r>
    </w:p>
    <w:p w:rsidR="006D67F1" w:rsidRPr="002C224A" w:rsidRDefault="006D67F1" w:rsidP="002433DA">
      <w:pPr>
        <w:pStyle w:val="Odstavecseseznamem1"/>
        <w:numPr>
          <w:ilvl w:val="0"/>
          <w:numId w:val="28"/>
        </w:numPr>
        <w:overflowPunct/>
        <w:autoSpaceDE/>
        <w:autoSpaceDN/>
        <w:adjustRightInd/>
        <w:spacing w:after="120"/>
        <w:contextualSpacing w:val="0"/>
        <w:textAlignment w:val="auto"/>
      </w:pPr>
      <w:r w:rsidRPr="002C224A">
        <w:t>Základní parametry finančního nástroje;</w:t>
      </w:r>
    </w:p>
    <w:p w:rsidR="006D67F1" w:rsidRPr="002C224A" w:rsidRDefault="006D67F1" w:rsidP="002433DA">
      <w:pPr>
        <w:pStyle w:val="Odstavecseseznamem1"/>
        <w:numPr>
          <w:ilvl w:val="0"/>
          <w:numId w:val="28"/>
        </w:numPr>
        <w:overflowPunct/>
        <w:autoSpaceDE/>
        <w:autoSpaceDN/>
        <w:adjustRightInd/>
        <w:spacing w:after="120"/>
        <w:contextualSpacing w:val="0"/>
        <w:textAlignment w:val="auto"/>
      </w:pPr>
      <w:r w:rsidRPr="002C224A">
        <w:t>Posouzení zkušeností získaných v minulosti</w:t>
      </w:r>
    </w:p>
    <w:p w:rsidR="006D67F1" w:rsidRPr="002C224A" w:rsidRDefault="006D67F1" w:rsidP="002433DA">
      <w:pPr>
        <w:pStyle w:val="Odstavecseseznamem1"/>
        <w:numPr>
          <w:ilvl w:val="0"/>
          <w:numId w:val="28"/>
        </w:numPr>
        <w:overflowPunct/>
        <w:autoSpaceDE/>
        <w:autoSpaceDN/>
        <w:adjustRightInd/>
        <w:spacing w:after="120"/>
        <w:contextualSpacing w:val="0"/>
        <w:textAlignment w:val="auto"/>
      </w:pPr>
      <w:r w:rsidRPr="002C224A">
        <w:t>Očekávané výsledky finančního nástroje</w:t>
      </w:r>
    </w:p>
    <w:p w:rsidR="006D67F1" w:rsidRPr="002C224A" w:rsidRDefault="006D67F1" w:rsidP="00C72C85">
      <w:pPr>
        <w:pStyle w:val="Odstavecseseznamem1"/>
        <w:overflowPunct/>
        <w:autoSpaceDE/>
        <w:autoSpaceDN/>
        <w:adjustRightInd/>
        <w:spacing w:after="120"/>
        <w:contextualSpacing w:val="0"/>
        <w:textAlignment w:val="auto"/>
      </w:pPr>
    </w:p>
    <w:p w:rsidR="006D67F1" w:rsidRPr="002C224A" w:rsidRDefault="006D67F1" w:rsidP="006F771D">
      <w:pPr>
        <w:pStyle w:val="Nadpis2"/>
        <w:rPr>
          <w:rFonts w:ascii="Calibri" w:hAnsi="Calibri"/>
        </w:rPr>
      </w:pPr>
      <w:bookmarkStart w:id="955" w:name="_Toc421534314"/>
      <w:bookmarkStart w:id="956" w:name="_Toc416800477"/>
      <w:r w:rsidRPr="002C224A">
        <w:rPr>
          <w:rFonts w:ascii="Calibri" w:hAnsi="Calibri"/>
        </w:rPr>
        <w:t>Posouzení zkušeností získaných v minulosti</w:t>
      </w:r>
      <w:bookmarkEnd w:id="955"/>
    </w:p>
    <w:p w:rsidR="006D67F1" w:rsidRPr="002C224A" w:rsidRDefault="006D67F1" w:rsidP="006F771D">
      <w:pPr>
        <w:pStyle w:val="Nadpis3"/>
        <w:rPr>
          <w:rFonts w:ascii="Calibri" w:hAnsi="Calibri"/>
        </w:rPr>
      </w:pPr>
      <w:bookmarkStart w:id="957" w:name="_Toc421534315"/>
      <w:r w:rsidRPr="002C224A">
        <w:rPr>
          <w:rFonts w:ascii="Calibri" w:hAnsi="Calibri"/>
        </w:rPr>
        <w:t>Specifický cíl 1.1</w:t>
      </w:r>
      <w:bookmarkEnd w:id="956"/>
      <w:bookmarkEnd w:id="957"/>
    </w:p>
    <w:p w:rsidR="006D67F1" w:rsidRPr="002C224A" w:rsidRDefault="006D67F1" w:rsidP="006F771D">
      <w:pPr>
        <w:pStyle w:val="Nadpis4"/>
        <w:rPr>
          <w:rFonts w:ascii="Calibri" w:hAnsi="Calibri"/>
        </w:rPr>
      </w:pPr>
      <w:bookmarkStart w:id="958" w:name="_Toc416383908"/>
      <w:bookmarkStart w:id="959" w:name="_Toc416447893"/>
      <w:bookmarkStart w:id="960" w:name="_Toc416383909"/>
      <w:bookmarkStart w:id="961" w:name="_Toc416447894"/>
      <w:bookmarkStart w:id="962" w:name="_Toc416383910"/>
      <w:bookmarkStart w:id="963" w:name="_Toc416447895"/>
      <w:bookmarkStart w:id="964" w:name="_Toc414464598"/>
      <w:bookmarkStart w:id="965" w:name="_Toc416800478"/>
      <w:bookmarkEnd w:id="958"/>
      <w:bookmarkEnd w:id="959"/>
      <w:bookmarkEnd w:id="960"/>
      <w:bookmarkEnd w:id="961"/>
      <w:bookmarkEnd w:id="962"/>
      <w:bookmarkEnd w:id="963"/>
      <w:r w:rsidRPr="002C224A">
        <w:rPr>
          <w:rFonts w:ascii="Calibri" w:hAnsi="Calibri"/>
        </w:rPr>
        <w:t>Závěry vyvozené z implementace podobných nástrojů v minulosti</w:t>
      </w:r>
    </w:p>
    <w:p w:rsidR="006D67F1" w:rsidRPr="00A50943" w:rsidRDefault="006D67F1" w:rsidP="00A02873"/>
    <w:p w:rsidR="006D67F1" w:rsidRPr="002C224A" w:rsidRDefault="006D67F1" w:rsidP="00A02873">
      <w:r w:rsidRPr="002C224A">
        <w:t>Navrhovaný nástroj navazuje na podporu, která byla poskytována v programovém období 2007-2013. Sledované oblasti byly doposud řešeny převážně formou dotace.</w:t>
      </w:r>
    </w:p>
    <w:p w:rsidR="006D67F1" w:rsidRPr="002C224A" w:rsidRDefault="006D67F1" w:rsidP="00A02873"/>
    <w:p w:rsidR="006D67F1" w:rsidRPr="002C224A" w:rsidRDefault="006D67F1" w:rsidP="00A02873">
      <w:r w:rsidRPr="002C224A">
        <w:t xml:space="preserve">Hlavním programem podpory pro podnikové inovace vyšších řádů (minimálně 5 pro MSP a 6 pro VP) byl </w:t>
      </w:r>
      <w:r w:rsidRPr="002C224A">
        <w:rPr>
          <w:b/>
        </w:rPr>
        <w:t>program Inovace v OP PI,</w:t>
      </w:r>
      <w:r w:rsidRPr="002C224A">
        <w:t xml:space="preserve"> jehož detailní výsledky z pohledu nabídky zdrojů a poptávky jsou uvedeny v bloku I.</w:t>
      </w:r>
      <w:r w:rsidR="00ED0B05" w:rsidRPr="002C224A">
        <w:t xml:space="preserve"> </w:t>
      </w:r>
      <w:r w:rsidRPr="002C224A">
        <w:rPr>
          <w:b/>
        </w:rPr>
        <w:t>Program vykázal výrazný převis poptávky</w:t>
      </w:r>
      <w:r w:rsidRPr="002C224A">
        <w:t>, přestože musíme zohlednit částečnou duplicitu žádostí v jednotlivých výzvách. V oblasti inovačních projektů podniků bylo do konce roku 2014 přijato MPO 4335registračních žádostí o celkových uznatelných nákladech158 mld. Kč a 65,4 mld. Kč požadované dotace. Podpořeno bylo 1643 projektů (38 %)v objemu 51 mld. uznatelných nákladů a požadovanou dotací 22,3 mld. Kč.</w:t>
      </w:r>
      <w:r w:rsidR="00ED0B05" w:rsidRPr="002C224A">
        <w:t xml:space="preserve"> </w:t>
      </w:r>
      <w:r w:rsidRPr="002C224A">
        <w:t xml:space="preserve">Průměrná velikost podpořeného projektu z hlediska jeho způsobilých nákladů byla tedy </w:t>
      </w:r>
      <w:smartTag w:uri="urn:schemas-microsoft-com:office:smarttags" w:element="metricconverter">
        <w:smartTagPr>
          <w:attr w:name="ProductID" w:val="30 mil"/>
        </w:smartTagPr>
        <w:r w:rsidRPr="002C224A">
          <w:t>30 mil</w:t>
        </w:r>
      </w:smartTag>
      <w:r w:rsidRPr="002C224A">
        <w:t>. Kč.</w:t>
      </w:r>
    </w:p>
    <w:p w:rsidR="006D67F1" w:rsidRPr="002C224A" w:rsidRDefault="006D67F1" w:rsidP="00A02873"/>
    <w:p w:rsidR="006D67F1" w:rsidRPr="002C224A" w:rsidRDefault="006D67F1" w:rsidP="00A02873">
      <w:r w:rsidRPr="002C224A">
        <w:t>Stejně jako program TIP a další dotační programy ve VaVaI byla tedy minulá podpora inovacím formou dotací úspěšná z hlediska absorpční kapacity a zvýšení inovačních investic, které byly nicméně podmíněny vynaložením velkého množství nenávratných veřejných zdrojů. Nevýhodou nenávratné dotační podpory byl nižší tlak na ekonomický úspěch a racionálnost projektu, který mohl částečně snížit kvalitu projektů.</w:t>
      </w:r>
    </w:p>
    <w:p w:rsidR="006D67F1" w:rsidRPr="002C224A" w:rsidRDefault="006D67F1" w:rsidP="00A02873"/>
    <w:p w:rsidR="006D67F1" w:rsidRPr="002C224A" w:rsidRDefault="006D67F1" w:rsidP="00A02873">
      <w:r w:rsidRPr="002C224A">
        <w:t>Reakce příjemců na dotační podporu ve VaVaI v tomto období (dotazník MPO 2014) z části udávají stále problematickou míru administrativní složitosti a nákladů – malé společnosti ve velké míře museli čerpat služby specializovaných poradenských společností na přípravu projektů i administraci. Objevily se též stížnosti na nadměrné posuzování formálních a technických chyb v rámci dotačních projektů, které mohou vést až k riziku odebrání dotace. Výrazný problém představovala v dotačních projektech nutnost veřejných výběrových řízení, které znesnadňovaly postup v projektu a výběr dodavatelů. U dotačních projektů zpravidla nasazovaly dodavatelé vyšší ceny.</w:t>
      </w:r>
    </w:p>
    <w:p w:rsidR="006D67F1" w:rsidRPr="002C224A" w:rsidRDefault="006D67F1" w:rsidP="00A02873"/>
    <w:p w:rsidR="006D67F1" w:rsidRPr="002C224A" w:rsidRDefault="006D67F1" w:rsidP="00A02873">
      <w:r w:rsidRPr="002C224A">
        <w:lastRenderedPageBreak/>
        <w:t xml:space="preserve">Ve sledovaném období byl spuštěn též úvěrový </w:t>
      </w:r>
      <w:r w:rsidR="00ED0B05" w:rsidRPr="002C224A">
        <w:t>P</w:t>
      </w:r>
      <w:r w:rsidRPr="002C224A">
        <w:t xml:space="preserve">rogram Inostart, který se svým zaměřením pohybuje na pomezí SC </w:t>
      </w:r>
      <w:smartTag w:uri="urn:schemas-microsoft-com:office:smarttags" w:element="metricconverter">
        <w:smartTagPr>
          <w:attr w:name="ProductID" w:val="1.1 a"/>
        </w:smartTagPr>
        <w:r w:rsidRPr="002C224A">
          <w:t>1.1 a</w:t>
        </w:r>
      </w:smartTag>
      <w:r w:rsidRPr="002C224A">
        <w:t xml:space="preserve"> SC 2.1 – jedná se o podporu začínajících podnikatelů, ovšem podmíněnou vysoce inovativním zaměřením. Z hlediska SC 1.1 lze jako indikativní zkušenost z tohoto programu uvést fakt, že dle úvodních zkušeností pilotního spuštění programu v Olomouckém a Moravskoslezském kraji byla absorpční kapacita omezena z velké míry právě požadavkem inovací, který u přihlášených nebyl vždy v dostatečné míře naplněn. Jednalo se však o úzký segment společností do 3 let existence, který jde mimo primární zaměření SC 1.1.</w:t>
      </w:r>
    </w:p>
    <w:p w:rsidR="006D67F1" w:rsidRPr="002C224A" w:rsidRDefault="006D67F1" w:rsidP="00A02873"/>
    <w:p w:rsidR="006D67F1" w:rsidRDefault="006D67F1" w:rsidP="00A02873">
      <w:r w:rsidRPr="002C224A">
        <w:t>Záruční program v oblasti VaVaI projektů byl realizován v ČR v rámci Risk Sharing Instrument EIF. Tímto způsobem realizovalo zaručené úvěry hned několik bank v ČR (UniCredit Bank, Česká spořitelna, Komerční banka, GE Money Bank), které se typicky týkaly právě cílových projektů programu Inovace OP PIK. Nutno však dodat, že pro tento program neplatila omezení z hlediska dalších kombinací veřejné podpory, která budou platit pro finanční nástroje v rámci ESIF.</w:t>
      </w:r>
    </w:p>
    <w:p w:rsidR="009D7C4E" w:rsidRDefault="009D7C4E" w:rsidP="009D7C4E">
      <w:pPr>
        <w:pStyle w:val="Nadpis4"/>
        <w:rPr>
          <w:rFonts w:ascii="Calibri" w:hAnsi="Calibri"/>
        </w:rPr>
      </w:pPr>
      <w:r w:rsidRPr="002C224A">
        <w:rPr>
          <w:rFonts w:ascii="Calibri" w:hAnsi="Calibri"/>
        </w:rPr>
        <w:t>Přehled zahraničních zkušeností s obdobnými finančními nástroji</w:t>
      </w:r>
    </w:p>
    <w:p w:rsidR="00746834" w:rsidRPr="000F1064" w:rsidRDefault="00746834" w:rsidP="00331BB7">
      <w:r>
        <w:t xml:space="preserve">V rámci podpory inovací </w:t>
      </w:r>
      <w:r w:rsidR="00D570BD">
        <w:t xml:space="preserve">v Evropě </w:t>
      </w:r>
      <w:r>
        <w:t>jsou stejně jako v ČR využívány evropské programy EIB/EIF</w:t>
      </w:r>
      <w:r w:rsidR="00DF0CD6">
        <w:t xml:space="preserve"> (RSI), které usnadňují úvěrování inovačních projektů</w:t>
      </w:r>
      <w:r>
        <w:t>.</w:t>
      </w:r>
      <w:r w:rsidR="00DF0CD6">
        <w:t xml:space="preserve"> Obvyklou metodou podpory podnikových inovací zejména MSP jsou obdobně k ČR dotace.</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9D7C4E" w:rsidRPr="002C224A" w:rsidTr="003A22D4">
        <w:trPr>
          <w:trHeight w:val="482"/>
        </w:trPr>
        <w:tc>
          <w:tcPr>
            <w:tcW w:w="2000" w:type="dxa"/>
            <w:shd w:val="clear" w:color="auto" w:fill="548DD4"/>
            <w:noWrap/>
            <w:vAlign w:val="center"/>
          </w:tcPr>
          <w:p w:rsidR="009D7C4E" w:rsidRPr="00A50943" w:rsidRDefault="00224C09" w:rsidP="003A22D4">
            <w:pPr>
              <w:jc w:val="center"/>
              <w:rPr>
                <w:b/>
                <w:color w:val="FFFFFF"/>
              </w:rPr>
            </w:pPr>
            <w:r>
              <w:rPr>
                <w:b/>
                <w:color w:val="FFFFFF"/>
              </w:rPr>
              <w:t>Německo</w:t>
            </w:r>
          </w:p>
        </w:tc>
        <w:tc>
          <w:tcPr>
            <w:tcW w:w="6800" w:type="dxa"/>
            <w:shd w:val="clear" w:color="auto" w:fill="FFFFFF"/>
            <w:noWrap/>
          </w:tcPr>
          <w:p w:rsidR="009D7C4E" w:rsidRDefault="00D523B4" w:rsidP="00CA7379">
            <w:pPr>
              <w:rPr>
                <w:b/>
              </w:rPr>
            </w:pPr>
            <w:r w:rsidRPr="00331BB7">
              <w:rPr>
                <w:b/>
              </w:rPr>
              <w:t>Spolkový program podpory inovací Zentrales Innovationsprogramm Mittelstand (ZIM)</w:t>
            </w:r>
            <w:r>
              <w:t xml:space="preserve"> </w:t>
            </w:r>
            <w:r w:rsidRPr="00331BB7">
              <w:t>je zaměřen na malé</w:t>
            </w:r>
            <w:r w:rsidR="00863A04">
              <w:t>,</w:t>
            </w:r>
            <w:r w:rsidRPr="00331BB7">
              <w:t xml:space="preserve"> střední</w:t>
            </w:r>
            <w:r w:rsidR="00863A04">
              <w:t xml:space="preserve"> a midcap</w:t>
            </w:r>
            <w:r w:rsidRPr="00331BB7">
              <w:t xml:space="preserve"> podniky. </w:t>
            </w:r>
            <w:r w:rsidR="00A84355" w:rsidRPr="00331BB7">
              <w:t>Na jednotlivé inovační projekty mohou podniky obdržet nevratnou dotaci 25-45 % způsobilých výdajů dle typu regionu a velikosti podniku.</w:t>
            </w:r>
          </w:p>
          <w:p w:rsidR="00C9443E" w:rsidRDefault="00C9443E" w:rsidP="00FF3302">
            <w:pPr>
              <w:rPr>
                <w:lang w:eastAsia="en-US"/>
              </w:rPr>
            </w:pPr>
          </w:p>
          <w:p w:rsidR="00C9443E" w:rsidRPr="00331BB7" w:rsidRDefault="00C9443E" w:rsidP="00025356">
            <w:pPr>
              <w:rPr>
                <w:lang w:eastAsia="en-US"/>
              </w:rPr>
            </w:pPr>
            <w:r>
              <w:rPr>
                <w:lang w:eastAsia="en-US"/>
              </w:rPr>
              <w:t>Podporovány jsou i projekty kooperace dvou a více podniků</w:t>
            </w:r>
            <w:r w:rsidR="00863A04">
              <w:rPr>
                <w:lang w:eastAsia="en-US"/>
              </w:rPr>
              <w:t>, případně přímo sítě spolupráce malých podniků a univerzit.</w:t>
            </w:r>
          </w:p>
          <w:p w:rsidR="00A84355" w:rsidRDefault="00A84355" w:rsidP="00A225C2">
            <w:pPr>
              <w:rPr>
                <w:lang w:eastAsia="en-US"/>
              </w:rPr>
            </w:pPr>
          </w:p>
          <w:p w:rsidR="00A84355" w:rsidRPr="00331BB7" w:rsidRDefault="00A84355" w:rsidP="00F117B4">
            <w:pPr>
              <w:rPr>
                <w:lang w:eastAsia="en-US"/>
              </w:rPr>
            </w:pPr>
          </w:p>
        </w:tc>
      </w:tr>
    </w:tbl>
    <w:p w:rsidR="00224C09" w:rsidRPr="002C224A" w:rsidRDefault="00224C09" w:rsidP="00224C09">
      <w:pPr>
        <w:pStyle w:val="Titulek"/>
      </w:pPr>
      <w:r w:rsidRPr="002C224A">
        <w:t>Tabulka 8</w:t>
      </w:r>
      <w:r w:rsidR="00F6076B">
        <w:t>8</w:t>
      </w:r>
      <w:r w:rsidRPr="002C224A">
        <w:t>: příklady zahraničních zkušeností s obdobnými FN</w:t>
      </w:r>
    </w:p>
    <w:p w:rsidR="006D67F1" w:rsidRPr="002C224A" w:rsidRDefault="006D67F1" w:rsidP="006F771D">
      <w:pPr>
        <w:pStyle w:val="Nadpis4"/>
        <w:rPr>
          <w:rFonts w:ascii="Calibri" w:hAnsi="Calibri"/>
        </w:rPr>
      </w:pPr>
      <w:r w:rsidRPr="002C224A">
        <w:rPr>
          <w:rFonts w:ascii="Calibri" w:hAnsi="Calibri"/>
        </w:rPr>
        <w:t>Aplikace zkušeností na současné podmínky</w:t>
      </w:r>
    </w:p>
    <w:p w:rsidR="00DF0CD6" w:rsidRPr="00A50943" w:rsidRDefault="00DF0CD6" w:rsidP="00A02873">
      <w:r>
        <w:t xml:space="preserve">Dotační podpora je pro podporu inovačních aktivit stále užívanou metodou nejen u nás, ale též v Evropě. V rámci širší dostupnosti financování na inovační projekty je nicméně stejně důležité aktivně podporovat přístup zejména MSP k zvýhodněným úvěrovým produktům. </w:t>
      </w:r>
    </w:p>
    <w:p w:rsidR="006D67F1" w:rsidRPr="002C224A" w:rsidRDefault="006D67F1" w:rsidP="00A02873">
      <w:r w:rsidRPr="002C224A">
        <w:t>Záruční nástroj pokládáme na základě zkušeností</w:t>
      </w:r>
      <w:r w:rsidR="00DF0CD6">
        <w:t xml:space="preserve"> s dotační podporou v ČR</w:t>
      </w:r>
      <w:r w:rsidRPr="002C224A">
        <w:t xml:space="preserve"> za možnou doplňující alternativu k dotační podpoře, která umožní flexibilnější a administrativně snazší formu podpory pro společnosti, které mají problém s obdržením bankovního financování.</w:t>
      </w:r>
    </w:p>
    <w:p w:rsidR="006D67F1" w:rsidRPr="002C224A" w:rsidRDefault="006D67F1" w:rsidP="009920E2">
      <w:pPr>
        <w:rPr>
          <w:b/>
        </w:rPr>
      </w:pPr>
    </w:p>
    <w:p w:rsidR="006D67F1" w:rsidRPr="002C224A" w:rsidRDefault="006D67F1" w:rsidP="009920E2">
      <w:pPr>
        <w:pStyle w:val="Nadpis3"/>
        <w:rPr>
          <w:rFonts w:ascii="Calibri" w:hAnsi="Calibri"/>
        </w:rPr>
      </w:pPr>
      <w:bookmarkStart w:id="966" w:name="_Toc421534316"/>
      <w:r w:rsidRPr="002C224A">
        <w:rPr>
          <w:rFonts w:ascii="Calibri" w:hAnsi="Calibri"/>
        </w:rPr>
        <w:t>Specifický cíl 1.2</w:t>
      </w:r>
      <w:bookmarkEnd w:id="966"/>
    </w:p>
    <w:p w:rsidR="006D67F1" w:rsidRPr="002C224A" w:rsidRDefault="006D67F1" w:rsidP="009920E2">
      <w:pPr>
        <w:pStyle w:val="Nadpis4"/>
        <w:rPr>
          <w:rFonts w:ascii="Calibri" w:hAnsi="Calibri"/>
        </w:rPr>
      </w:pPr>
      <w:r w:rsidRPr="002C224A">
        <w:rPr>
          <w:rFonts w:ascii="Calibri" w:hAnsi="Calibri"/>
        </w:rPr>
        <w:t>Závěry vyvozené z implementace podobných nástrojů v minulosti</w:t>
      </w:r>
    </w:p>
    <w:p w:rsidR="006D67F1" w:rsidRPr="00A50943" w:rsidRDefault="006D67F1" w:rsidP="009920E2"/>
    <w:p w:rsidR="006D67F1" w:rsidRPr="002C224A" w:rsidRDefault="006D67F1" w:rsidP="009920E2">
      <w:r w:rsidRPr="002C224A">
        <w:t>Sledovaná oblast podpory specifického cíle 1.2 OP PIK, zaměřená na aktivity vedoucí ke komercializaci výsledků výzkumu pomocí aktivit ověření proveditelnosti („proof – of – concept“), byla v programovém období 2007-2013 podporovaná skrze OP</w:t>
      </w:r>
      <w:r w:rsidR="00175562" w:rsidRPr="002C224A">
        <w:t xml:space="preserve"> </w:t>
      </w:r>
      <w:r w:rsidRPr="002C224A">
        <w:t>VaVpI, a to dotační podporou. Druhým zdrojem financování byl ještě stále běžící program TAČR GAMA, který se také soustředil na podporu pre-seed aktivit, přičemž ve výzvách byly vybírány za základě vnitřních kritérií podpořené instituce, nikoli přímo projekty.</w:t>
      </w:r>
    </w:p>
    <w:p w:rsidR="006D67F1" w:rsidRPr="002C224A" w:rsidRDefault="006D67F1" w:rsidP="009920E2"/>
    <w:p w:rsidR="006D67F1" w:rsidRPr="002C224A" w:rsidRDefault="006D67F1" w:rsidP="009920E2">
      <w:r w:rsidRPr="002C224A">
        <w:t xml:space="preserve">V minulosti byl v rámci SC 3.1 OP VaVpI registrován více než dvojnásobný převis poptávky po zdrojích v poměru k dostupné alokaci, obdobně byla nedostatečná alokace v programu GAMA (viz kap. 5.1.2), což indikuje pozitivní zkušenost z hlediska zájmu výzkumných institucí. Vlivem podpory bylo dosaženo </w:t>
      </w:r>
      <w:r w:rsidRPr="002C224A">
        <w:lastRenderedPageBreak/>
        <w:t>částečné zlepšení vnitřních procesů při výběru komercializačních projektů, stejně jako začaly fungovat při podpořených pracovištích v rámci OP VaVpI centra pro transfer technologií. Kvalita a udržitelnost těchto výsledků je nicméně značně různorodá, rozporuplné je i dosavadní hodnocení. Na jednu stranu bylo vytvořeno několik velmi kvalitně fungujících pracovišť, na straně druhé tato kvalita často kolísá a podpora komercializace stojí na několika málo individualitách, s omezeným potenciálem udržitelnosti.</w:t>
      </w:r>
    </w:p>
    <w:p w:rsidR="006D67F1" w:rsidRPr="002C224A" w:rsidRDefault="006D67F1" w:rsidP="009920E2"/>
    <w:p w:rsidR="006D67F1" w:rsidRPr="002C224A" w:rsidRDefault="006D67F1" w:rsidP="0005341B">
      <w:r w:rsidRPr="002C224A">
        <w:t>Zainteresované subjekty napříč obory a potenciálními skupinami příjemců potvrzují, že současná koncepce finanční podpory VaV nedosahuje požadovaných výsledků. Slabou stránkou dosavadní podpory komercializace zůstávala konečná fáze pre-seed – tedy kvalifikovaná podpora vytvoření spin-offů a prodeje nehmotného vlastnictví. Významné rezervy existují stále v efektivním propojení vědců s odborníky v komerční sféře. Problém činí charakter dosavadní grantové podpory, která nebyla pro subjekty dostatečně motivační a postrádala dostatečnou vazbu na hmatatelné výsledky a především jejich komerční využitelnost. Právě oblast komercializace má přitom potenciál být úzce svázána s kritérii odvislými od komerčních výsledků.</w:t>
      </w:r>
    </w:p>
    <w:p w:rsidR="006D67F1" w:rsidRPr="002C224A" w:rsidRDefault="006D67F1" w:rsidP="0005341B"/>
    <w:p w:rsidR="006D67F1" w:rsidRPr="002C224A" w:rsidRDefault="006D67F1" w:rsidP="0005341B">
      <w:r w:rsidRPr="002C224A">
        <w:t>Fakt, že komercializační aktivity jsou stále spíše na okraji hlavních aktivit veřejných VO, zdůrazňuje potřebu cílené veřejné podpory zvláště do této oblasti.</w:t>
      </w:r>
    </w:p>
    <w:p w:rsidR="006D67F1" w:rsidRPr="002C224A" w:rsidRDefault="006D67F1" w:rsidP="009920E2"/>
    <w:p w:rsidR="006D67F1" w:rsidRPr="002C224A" w:rsidRDefault="006D67F1" w:rsidP="009920E2">
      <w:pPr>
        <w:pStyle w:val="Nadpis4"/>
        <w:rPr>
          <w:rFonts w:ascii="Calibri" w:hAnsi="Calibri"/>
        </w:rPr>
      </w:pPr>
      <w:r w:rsidRPr="002C224A">
        <w:rPr>
          <w:rFonts w:ascii="Calibri" w:hAnsi="Calibri"/>
        </w:rPr>
        <w:t>Přehled zahraničních zkušeností s obdobnými finančními nástroji</w:t>
      </w:r>
    </w:p>
    <w:p w:rsidR="006D67F1" w:rsidRPr="00A50943" w:rsidRDefault="006D67F1" w:rsidP="009920E2"/>
    <w:p w:rsidR="006D67F1" w:rsidRPr="002C224A" w:rsidRDefault="006D67F1" w:rsidP="009920E2">
      <w:r w:rsidRPr="002C224A">
        <w:t>Pro aktivity proof-of-concept i pre-seed existuje v zahraničí řada schémat a forem podpory. Je zřejmé, že pro tuto oblast je důležitá kombinace různých forem podpory, zajištění kvalitních a kvalifikovaných investorů, kteří jsou schopni projekty hodnotit a také provázání na další financování, které umožní projektům plynule přecházet do dalších fází.</w:t>
      </w:r>
    </w:p>
    <w:p w:rsidR="006D67F1" w:rsidRPr="002C224A" w:rsidRDefault="006D67F1" w:rsidP="009920E2"/>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67F1" w:rsidRPr="002C224A" w:rsidTr="006F771D">
        <w:trPr>
          <w:trHeight w:val="482"/>
        </w:trPr>
        <w:tc>
          <w:tcPr>
            <w:tcW w:w="2000" w:type="dxa"/>
            <w:shd w:val="clear" w:color="auto" w:fill="548DD4"/>
            <w:noWrap/>
            <w:vAlign w:val="center"/>
          </w:tcPr>
          <w:p w:rsidR="006D67F1" w:rsidRPr="002C224A" w:rsidRDefault="006D67F1" w:rsidP="006F771D">
            <w:pPr>
              <w:jc w:val="center"/>
              <w:rPr>
                <w:b/>
                <w:color w:val="FFFFFF"/>
              </w:rPr>
            </w:pPr>
            <w:r w:rsidRPr="002C224A">
              <w:rPr>
                <w:b/>
                <w:color w:val="FFFFFF"/>
              </w:rPr>
              <w:t>BRIdge VC (Polsko)</w:t>
            </w:r>
          </w:p>
        </w:tc>
        <w:tc>
          <w:tcPr>
            <w:tcW w:w="6800" w:type="dxa"/>
            <w:shd w:val="clear" w:color="auto" w:fill="FFFFFF"/>
            <w:noWrap/>
          </w:tcPr>
          <w:p w:rsidR="006D67F1" w:rsidRPr="002C224A" w:rsidRDefault="006D67F1" w:rsidP="00B87A55">
            <w:pPr>
              <w:jc w:val="left"/>
              <w:rPr>
                <w:color w:val="000000"/>
                <w:szCs w:val="19"/>
              </w:rPr>
            </w:pPr>
            <w:r w:rsidRPr="002C224A">
              <w:rPr>
                <w:color w:val="000000"/>
                <w:szCs w:val="19"/>
              </w:rPr>
              <w:t>V rámci programu jsou propojeny společné investice veřejných a soukromých prostředků do technologických projektů založených na výsledcích VaV. Program je spravovaný agenturou National Centre for Research and Development (NCRD).</w:t>
            </w:r>
          </w:p>
          <w:p w:rsidR="006D67F1" w:rsidRPr="002C224A" w:rsidRDefault="006D67F1" w:rsidP="00B87A55">
            <w:pPr>
              <w:jc w:val="left"/>
              <w:rPr>
                <w:color w:val="000000"/>
                <w:szCs w:val="19"/>
              </w:rPr>
            </w:pPr>
          </w:p>
          <w:p w:rsidR="006D67F1" w:rsidRPr="002C224A" w:rsidRDefault="006D67F1" w:rsidP="00B87A55">
            <w:pPr>
              <w:jc w:val="left"/>
              <w:rPr>
                <w:color w:val="000000"/>
                <w:szCs w:val="19"/>
              </w:rPr>
            </w:pPr>
            <w:r w:rsidRPr="002C224A">
              <w:rPr>
                <w:color w:val="000000"/>
                <w:szCs w:val="19"/>
              </w:rPr>
              <w:t>NCRD přizvalo k realizaci fondy rizikového kapitálu, které se připojí k vytvoření „vehicles“ (celkem byly vytvořeny 3 tyto nástroje) a budou spolufinancovat vybrané projekty, a dále poradenské společnosti, které zajistí poradenské a coaching služby.</w:t>
            </w:r>
          </w:p>
          <w:p w:rsidR="006D67F1" w:rsidRPr="002C224A" w:rsidRDefault="006D67F1" w:rsidP="00B87A55">
            <w:pPr>
              <w:jc w:val="left"/>
              <w:rPr>
                <w:color w:val="000000"/>
                <w:szCs w:val="19"/>
              </w:rPr>
            </w:pPr>
            <w:r w:rsidRPr="002C224A">
              <w:rPr>
                <w:color w:val="000000"/>
                <w:szCs w:val="19"/>
              </w:rPr>
              <w:t>Projekty jsou financovány ve třech fázích:</w:t>
            </w:r>
          </w:p>
          <w:p w:rsidR="006D67F1" w:rsidRPr="002C224A" w:rsidRDefault="006D67F1" w:rsidP="00B87A55">
            <w:pPr>
              <w:numPr>
                <w:ilvl w:val="0"/>
                <w:numId w:val="32"/>
              </w:numPr>
              <w:overflowPunct/>
              <w:autoSpaceDE/>
              <w:autoSpaceDN/>
              <w:adjustRightInd/>
              <w:jc w:val="left"/>
              <w:textAlignment w:val="auto"/>
              <w:rPr>
                <w:b/>
                <w:bCs/>
                <w:color w:val="000000"/>
                <w:sz w:val="32"/>
                <w:szCs w:val="19"/>
              </w:rPr>
            </w:pPr>
            <w:r w:rsidRPr="002C224A">
              <w:rPr>
                <w:color w:val="000000"/>
                <w:szCs w:val="19"/>
              </w:rPr>
              <w:t>pre-incubation stage – 80 % nenávratné podpory, 20 % rizikového financování</w:t>
            </w:r>
          </w:p>
          <w:p w:rsidR="006D67F1" w:rsidRPr="002C224A" w:rsidRDefault="006D67F1" w:rsidP="00B87A55">
            <w:pPr>
              <w:numPr>
                <w:ilvl w:val="0"/>
                <w:numId w:val="32"/>
              </w:numPr>
              <w:overflowPunct/>
              <w:autoSpaceDE/>
              <w:autoSpaceDN/>
              <w:adjustRightInd/>
              <w:jc w:val="left"/>
              <w:textAlignment w:val="auto"/>
              <w:rPr>
                <w:b/>
                <w:bCs/>
                <w:color w:val="000000"/>
                <w:sz w:val="32"/>
                <w:szCs w:val="19"/>
              </w:rPr>
            </w:pPr>
            <w:r w:rsidRPr="002C224A">
              <w:rPr>
                <w:color w:val="000000"/>
                <w:szCs w:val="19"/>
              </w:rPr>
              <w:t>incubation stage– 70 % nenávratné podpory, 30 % rizikového financování</w:t>
            </w:r>
          </w:p>
          <w:p w:rsidR="006D67F1" w:rsidRPr="002C224A" w:rsidRDefault="006D67F1" w:rsidP="00B87A55">
            <w:pPr>
              <w:numPr>
                <w:ilvl w:val="0"/>
                <w:numId w:val="32"/>
              </w:numPr>
              <w:overflowPunct/>
              <w:autoSpaceDE/>
              <w:autoSpaceDN/>
              <w:adjustRightInd/>
              <w:jc w:val="left"/>
              <w:textAlignment w:val="auto"/>
              <w:rPr>
                <w:b/>
                <w:bCs/>
                <w:color w:val="000000"/>
                <w:sz w:val="32"/>
                <w:szCs w:val="19"/>
              </w:rPr>
            </w:pPr>
            <w:r w:rsidRPr="002C224A">
              <w:rPr>
                <w:color w:val="000000"/>
                <w:szCs w:val="19"/>
              </w:rPr>
              <w:t>post-incubation/ acceleration stage– 50 % nenávratné podpory, 50 % rizikového financování</w:t>
            </w:r>
          </w:p>
          <w:p w:rsidR="006D67F1" w:rsidRPr="002C224A" w:rsidRDefault="006D67F1" w:rsidP="00B87A55">
            <w:pPr>
              <w:ind w:left="720"/>
              <w:jc w:val="left"/>
              <w:rPr>
                <w:color w:val="000000"/>
                <w:szCs w:val="19"/>
              </w:rPr>
            </w:pPr>
          </w:p>
          <w:p w:rsidR="006D67F1" w:rsidRPr="002C224A" w:rsidRDefault="006D67F1" w:rsidP="00B87A55">
            <w:pPr>
              <w:jc w:val="left"/>
              <w:rPr>
                <w:color w:val="000000"/>
                <w:szCs w:val="19"/>
              </w:rPr>
            </w:pPr>
            <w:r w:rsidRPr="002C224A">
              <w:rPr>
                <w:color w:val="000000"/>
                <w:szCs w:val="19"/>
              </w:rPr>
              <w:t xml:space="preserve">Kromě finančních prostředků jsou podpořeným projektům nabídnuty poradenské služby zahrnující základní poradenství v oblasti podnikání a specializované služby, jako due diligence analýzy. </w:t>
            </w:r>
          </w:p>
          <w:p w:rsidR="006D67F1" w:rsidRPr="002C224A" w:rsidRDefault="006D67F1" w:rsidP="00B87A55">
            <w:pPr>
              <w:jc w:val="left"/>
              <w:rPr>
                <w:color w:val="000000"/>
                <w:szCs w:val="19"/>
              </w:rPr>
            </w:pPr>
          </w:p>
          <w:p w:rsidR="006D67F1" w:rsidRPr="002C224A" w:rsidRDefault="006D67F1" w:rsidP="00B87A55">
            <w:pPr>
              <w:jc w:val="left"/>
              <w:rPr>
                <w:rFonts w:cs="Calibri"/>
                <w:color w:val="000000"/>
              </w:rPr>
            </w:pPr>
            <w:r w:rsidRPr="002C224A">
              <w:rPr>
                <w:color w:val="000000"/>
                <w:szCs w:val="19"/>
              </w:rPr>
              <w:t xml:space="preserve">Pokud projekt podpořený prostřednictvím poradenských služeb vytvoří v důsledku komercializace příjem na úroveň nejméně čtyřikrát vyšší než 25% hodnoty poradenských služeb poskytovaných NCRD, musí následně uhradit </w:t>
            </w:r>
            <w:r w:rsidRPr="002C224A">
              <w:rPr>
                <w:color w:val="000000"/>
                <w:szCs w:val="19"/>
              </w:rPr>
              <w:lastRenderedPageBreak/>
              <w:t>NCRD částku, která se rovná hodnotě alespoň 25% nákladů na služby přijaté od NCRD v rámci této komponenty.</w:t>
            </w:r>
          </w:p>
        </w:tc>
      </w:tr>
      <w:tr w:rsidR="006D67F1" w:rsidRPr="002C224A" w:rsidTr="006F771D">
        <w:trPr>
          <w:trHeight w:val="1260"/>
        </w:trPr>
        <w:tc>
          <w:tcPr>
            <w:tcW w:w="2000" w:type="dxa"/>
            <w:shd w:val="clear" w:color="auto" w:fill="548DD4"/>
            <w:noWrap/>
            <w:vAlign w:val="center"/>
          </w:tcPr>
          <w:p w:rsidR="006D67F1" w:rsidRPr="002C224A" w:rsidRDefault="006D67F1" w:rsidP="006F771D">
            <w:pPr>
              <w:jc w:val="center"/>
              <w:rPr>
                <w:b/>
                <w:color w:val="FFFFFF"/>
              </w:rPr>
            </w:pPr>
            <w:r w:rsidRPr="002C224A">
              <w:rPr>
                <w:b/>
                <w:color w:val="FFFFFF"/>
              </w:rPr>
              <w:lastRenderedPageBreak/>
              <w:t>IP Group, FusionIP (Velká Británie)</w:t>
            </w:r>
          </w:p>
        </w:tc>
        <w:tc>
          <w:tcPr>
            <w:tcW w:w="6800" w:type="dxa"/>
            <w:shd w:val="clear" w:color="auto" w:fill="FFFFFF"/>
            <w:noWrap/>
          </w:tcPr>
          <w:p w:rsidR="006D67F1" w:rsidRPr="002C224A" w:rsidRDefault="006D67F1" w:rsidP="00B87A55">
            <w:pPr>
              <w:jc w:val="left"/>
              <w:rPr>
                <w:color w:val="000000"/>
              </w:rPr>
            </w:pPr>
            <w:r w:rsidRPr="002C224A">
              <w:rPr>
                <w:color w:val="000000"/>
              </w:rPr>
              <w:t xml:space="preserve">Jedná se o společnosti (firmy) zaměřené na podporu komercializace. Společnosti jsou úzce provázány na univerzity (mají smlouvy s celkem 14 významnými britskými univerzitami). Jejich cílem je zajištění komercializace výsledků jejich VaV prostřednictvím poskytování potřebného kapitálu a poradenství zainvestovaným společnostem. </w:t>
            </w:r>
          </w:p>
          <w:p w:rsidR="006D67F1" w:rsidRPr="002C224A" w:rsidRDefault="006D67F1" w:rsidP="00B87A55">
            <w:pPr>
              <w:jc w:val="left"/>
              <w:rPr>
                <w:color w:val="000000"/>
              </w:rPr>
            </w:pPr>
          </w:p>
          <w:p w:rsidR="006D67F1" w:rsidRPr="002C224A" w:rsidRDefault="006D67F1" w:rsidP="00B87A55">
            <w:pPr>
              <w:jc w:val="left"/>
              <w:rPr>
                <w:color w:val="000000"/>
              </w:rPr>
            </w:pPr>
            <w:r w:rsidRPr="002C224A">
              <w:rPr>
                <w:color w:val="000000"/>
              </w:rPr>
              <w:t xml:space="preserve">Potřebný a dostatečný deal flow je zajištěn díky exkluzivní spolupráci s danými univerzitami. Tým společností pracuje v úzkém kontaktu s partnery na univerzitách s cílem identifikovat slibný výzkum. Pro identifikované slibné případy jsou dále vytvářeny a rozvíjeny business (obchodní) modely, jsou vyhodnocovány a testovány a na základě toho je rozhodováno, zda a jak s nimi pokračovat dále. </w:t>
            </w:r>
          </w:p>
          <w:p w:rsidR="006D67F1" w:rsidRPr="002C224A" w:rsidRDefault="006D67F1" w:rsidP="00B87A55">
            <w:pPr>
              <w:jc w:val="left"/>
              <w:rPr>
                <w:color w:val="000000"/>
              </w:rPr>
            </w:pPr>
          </w:p>
          <w:p w:rsidR="006D67F1" w:rsidRPr="002C224A" w:rsidRDefault="006D67F1" w:rsidP="00B87A55">
            <w:pPr>
              <w:jc w:val="left"/>
              <w:rPr>
                <w:color w:val="000000"/>
              </w:rPr>
            </w:pPr>
            <w:r w:rsidRPr="002C224A">
              <w:rPr>
                <w:color w:val="000000"/>
              </w:rPr>
              <w:t>V momentě, kdy projekt dospěje do fáze komercializace, je zajištěno potřebné financování pro založení společnosti a pokračování komercializace. Díky široké struktuře portfolia a úzké spolupráci s výzkumnými týmy (poradenství) se výrazně snížilo riziko neúspěchu.</w:t>
            </w:r>
          </w:p>
        </w:tc>
      </w:tr>
      <w:tr w:rsidR="006D67F1" w:rsidRPr="002C224A" w:rsidTr="006F771D">
        <w:trPr>
          <w:trHeight w:val="315"/>
        </w:trPr>
        <w:tc>
          <w:tcPr>
            <w:tcW w:w="2000" w:type="dxa"/>
            <w:shd w:val="clear" w:color="auto" w:fill="548DD4"/>
            <w:noWrap/>
            <w:vAlign w:val="center"/>
          </w:tcPr>
          <w:p w:rsidR="006D67F1" w:rsidRPr="002C224A" w:rsidRDefault="006D67F1" w:rsidP="006F771D">
            <w:pPr>
              <w:jc w:val="center"/>
              <w:rPr>
                <w:b/>
                <w:color w:val="000000"/>
              </w:rPr>
            </w:pPr>
            <w:r w:rsidRPr="002C224A">
              <w:rPr>
                <w:b/>
                <w:color w:val="FFFFFF"/>
              </w:rPr>
              <w:t>Technology enterprise commercialisation scheme (Singapore)</w:t>
            </w:r>
          </w:p>
        </w:tc>
        <w:tc>
          <w:tcPr>
            <w:tcW w:w="6800" w:type="dxa"/>
            <w:shd w:val="clear" w:color="auto" w:fill="FFFFFF"/>
            <w:noWrap/>
          </w:tcPr>
          <w:p w:rsidR="006D67F1" w:rsidRPr="002C224A" w:rsidRDefault="006D67F1" w:rsidP="00B87A55">
            <w:r w:rsidRPr="002C224A">
              <w:t xml:space="preserve">Podpora je zaměřena na dva typy projektů: </w:t>
            </w:r>
          </w:p>
          <w:p w:rsidR="006D67F1" w:rsidRPr="002C224A" w:rsidRDefault="006D67F1" w:rsidP="00B87A55">
            <w:pPr>
              <w:numPr>
                <w:ilvl w:val="0"/>
                <w:numId w:val="33"/>
              </w:numPr>
              <w:overflowPunct/>
              <w:autoSpaceDE/>
              <w:autoSpaceDN/>
              <w:adjustRightInd/>
              <w:textAlignment w:val="auto"/>
              <w:rPr>
                <w:b/>
                <w:bCs/>
                <w:color w:val="1F497D"/>
                <w:sz w:val="32"/>
              </w:rPr>
            </w:pPr>
            <w:r w:rsidRPr="002C224A">
              <w:t>Proof-Of-Concept: technická životaschopnost nápadu musí být ještě prokázána, projekty jsou podporovány do výše 100 % nákladů prostřednictvím dotace.</w:t>
            </w:r>
          </w:p>
          <w:p w:rsidR="006D67F1" w:rsidRPr="002C224A" w:rsidRDefault="006D67F1" w:rsidP="00B87A55">
            <w:pPr>
              <w:numPr>
                <w:ilvl w:val="0"/>
                <w:numId w:val="33"/>
              </w:numPr>
              <w:overflowPunct/>
              <w:autoSpaceDE/>
              <w:autoSpaceDN/>
              <w:adjustRightInd/>
              <w:textAlignment w:val="auto"/>
              <w:rPr>
                <w:b/>
                <w:bCs/>
                <w:color w:val="1F497D"/>
                <w:sz w:val="32"/>
              </w:rPr>
            </w:pPr>
            <w:r w:rsidRPr="002C224A">
              <w:t>Proof-Of-Value: PoC fáze je realizována, komerční hodnota daného nápadu / řešení musí být ověřena, nicméně předběžný zájem ze strany komerčního partnera by měl být prokázán. Projekty jsou financovány do výše pouze 85 % nákladů.</w:t>
            </w:r>
          </w:p>
          <w:p w:rsidR="006D67F1" w:rsidRPr="002C224A" w:rsidRDefault="006D67F1" w:rsidP="00B87A55"/>
          <w:p w:rsidR="006D67F1" w:rsidRPr="002C224A" w:rsidRDefault="006D67F1" w:rsidP="00B87A55">
            <w:r w:rsidRPr="002C224A">
              <w:t>Projekty mohou být podávány v průběhu celého roku. Návrhy se přezkoumávají každé dva měsíce nebo dříve. Každý návrh projektu musí projít skrze třístupňový hodnotící proces s přísnými kritérii – vyhodnocení způsobilosti – vyhodnocení technických a obchodních aspektů – prezentace na panelu.</w:t>
            </w:r>
          </w:p>
        </w:tc>
      </w:tr>
      <w:tr w:rsidR="006D67F1" w:rsidRPr="002C224A" w:rsidTr="006F771D">
        <w:trPr>
          <w:trHeight w:val="315"/>
        </w:trPr>
        <w:tc>
          <w:tcPr>
            <w:tcW w:w="2000" w:type="dxa"/>
            <w:shd w:val="clear" w:color="auto" w:fill="548DD4"/>
            <w:noWrap/>
            <w:vAlign w:val="center"/>
          </w:tcPr>
          <w:p w:rsidR="006D67F1" w:rsidRPr="002C224A" w:rsidRDefault="006D67F1" w:rsidP="00F4422F">
            <w:pPr>
              <w:jc w:val="center"/>
              <w:rPr>
                <w:b/>
                <w:color w:val="FFFFFF"/>
              </w:rPr>
            </w:pPr>
            <w:r w:rsidRPr="002C224A">
              <w:rPr>
                <w:b/>
                <w:color w:val="FFFFFF"/>
              </w:rPr>
              <w:t>North East Proof</w:t>
            </w:r>
            <w:r w:rsidR="004803A3" w:rsidRPr="002C224A">
              <w:rPr>
                <w:b/>
                <w:color w:val="FFFFFF"/>
              </w:rPr>
              <w:t>-</w:t>
            </w:r>
            <w:r w:rsidRPr="002C224A">
              <w:rPr>
                <w:b/>
                <w:color w:val="FFFFFF"/>
              </w:rPr>
              <w:t>of</w:t>
            </w:r>
            <w:r w:rsidR="004803A3" w:rsidRPr="002C224A">
              <w:rPr>
                <w:b/>
                <w:color w:val="FFFFFF"/>
              </w:rPr>
              <w:t>-</w:t>
            </w:r>
            <w:r w:rsidRPr="002C224A">
              <w:rPr>
                <w:b/>
                <w:color w:val="FFFFFF"/>
              </w:rPr>
              <w:t xml:space="preserve"> Concept Fund</w:t>
            </w:r>
          </w:p>
        </w:tc>
        <w:tc>
          <w:tcPr>
            <w:tcW w:w="6800" w:type="dxa"/>
            <w:shd w:val="clear" w:color="auto" w:fill="FFFFFF"/>
            <w:noWrap/>
          </w:tcPr>
          <w:p w:rsidR="006D67F1" w:rsidRPr="002C224A" w:rsidRDefault="006D67F1" w:rsidP="00B87A55">
            <w:r w:rsidRPr="002C224A">
              <w:t xml:space="preserve">Veřejný fond zaměřený na kapitálové vstupy do rozvíjejících se výzkumných projektů </w:t>
            </w:r>
            <w:r w:rsidRPr="002C224A">
              <w:rPr>
                <w:b/>
              </w:rPr>
              <w:t>těsně před fází komercializace</w:t>
            </w:r>
            <w:r w:rsidRPr="002C224A">
              <w:t xml:space="preserve">, který je svým charakterem na hranici SC </w:t>
            </w:r>
            <w:smartTag w:uri="urn:schemas-microsoft-com:office:smarttags" w:element="metricconverter">
              <w:smartTagPr>
                <w:attr w:name="ProductID" w:val="1.2 a"/>
              </w:smartTagPr>
              <w:r w:rsidRPr="002C224A">
                <w:t>1.2 a</w:t>
              </w:r>
            </w:smartTag>
            <w:r w:rsidRPr="002C224A">
              <w:t xml:space="preserve"> SC 2.1.  North East Proof</w:t>
            </w:r>
            <w:r w:rsidR="004803A3" w:rsidRPr="002C224A">
              <w:t>-</w:t>
            </w:r>
            <w:r w:rsidRPr="002C224A">
              <w:t>of</w:t>
            </w:r>
            <w:r w:rsidR="004803A3" w:rsidRPr="002C224A">
              <w:t>-</w:t>
            </w:r>
            <w:r w:rsidRPr="002C224A">
              <w:t>Concept Fund (POC) byl zřízen v roce 2004, s cílem překonat problém s nedostatečným objemem dostupnosti investorů do vlastního kapitálu rozvíjejících se firem, kdy tento problém pociťují především podniky v jejich počátečních fázích rozvoje. Cílem fondu je katalyzovat investice do inovací z vědecké a technologické oblasti jak v akademické tak i již existující MSP komunitě. Kapitál byl poskytnut z Evropského fondu pro regionální rozvoj.</w:t>
            </w:r>
          </w:p>
          <w:p w:rsidR="006D67F1" w:rsidRPr="002C224A" w:rsidRDefault="006D67F1" w:rsidP="00B87A55"/>
          <w:p w:rsidR="006D67F1" w:rsidRPr="002C224A" w:rsidRDefault="006D67F1" w:rsidP="00B87A55">
            <w:pPr>
              <w:rPr>
                <w:b/>
              </w:rPr>
            </w:pPr>
            <w:r w:rsidRPr="002C224A">
              <w:t xml:space="preserve">POC fond je určený k podpoře technologických podniků, které se nacházejí ve velmi rizikovém stádiu. Investice jsou relativně malé - 60000 až </w:t>
            </w:r>
            <w:smartTag w:uri="urn:schemas-microsoft-com:office:smarttags" w:element="metricconverter">
              <w:smartTagPr>
                <w:attr w:name="ProductID" w:val="vníistberńЈjsouŁЈꒀミ袈!稌ࢌ镐ࡾŜЈ镴ࡾ偸ࢣ㌀࢕ŗЈje ŔЌꏐョꑔミꎠョ袈!ヘ"/>
              </w:smartTagPr>
              <w:r w:rsidRPr="002C224A">
                <w:t>90000 liber</w:t>
              </w:r>
            </w:smartTag>
            <w:r w:rsidRPr="002C224A">
              <w:t xml:space="preserve"> pro univerzitní pre-start projekty.  POC Fund má disponibilní alokací 10 milionů liber. </w:t>
            </w:r>
            <w:r w:rsidRPr="002C224A">
              <w:rPr>
                <w:b/>
              </w:rPr>
              <w:t>Investice by měly být použity k otestování základní myšlenky, ochraně práv duševního vlastnictví nebo průzkumu poptávky na trhu.</w:t>
            </w:r>
          </w:p>
          <w:p w:rsidR="006D67F1" w:rsidRPr="002C224A" w:rsidRDefault="006D67F1" w:rsidP="00B87A55">
            <w:pPr>
              <w:rPr>
                <w:b/>
              </w:rPr>
            </w:pPr>
          </w:p>
          <w:p w:rsidR="006D67F1" w:rsidRPr="002C224A" w:rsidRDefault="006D67F1" w:rsidP="00310966">
            <w:r w:rsidRPr="002C224A">
              <w:lastRenderedPageBreak/>
              <w:t xml:space="preserve">Investice jsou rozprostřeny napříč širokou škálou technologických odvětví. </w:t>
            </w:r>
            <w:r w:rsidRPr="002C224A">
              <w:rPr>
                <w:b/>
              </w:rPr>
              <w:t>POC Fond není zaměřen pouze na podporu inovací v tradičních průmyslových odvětvích, ale podporuje také růst silných spojenectví (klastrů) ve zdravotnictví, energetice a ostatním průmyslu.</w:t>
            </w:r>
            <w:r w:rsidR="00ED0B05" w:rsidRPr="002C224A">
              <w:rPr>
                <w:b/>
              </w:rPr>
              <w:t xml:space="preserve"> </w:t>
            </w:r>
            <w:r w:rsidRPr="002C224A">
              <w:t>Velkou část investic zabírá sektor ICT.</w:t>
            </w:r>
          </w:p>
          <w:p w:rsidR="006D67F1" w:rsidRPr="002C224A" w:rsidRDefault="006D67F1" w:rsidP="00310966"/>
          <w:p w:rsidR="006D67F1" w:rsidRPr="002C224A" w:rsidRDefault="006D67F1" w:rsidP="00310966">
            <w:r w:rsidRPr="002C224A">
              <w:t>Hlavní zdroj žadatelů a posléze podpořených záměrů je tvořen regionální podnikatelskou základnou, poměrně významnou část však tvoří též univerzity.</w:t>
            </w:r>
            <w:r w:rsidR="00ED0B05" w:rsidRPr="002C224A">
              <w:t xml:space="preserve"> </w:t>
            </w:r>
            <w:r w:rsidRPr="002C224A">
              <w:rPr>
                <w:b/>
              </w:rPr>
              <w:t>POC ve spojení s univerzitami, s centry excelence a se zástupci průmyslu a dalších organizací zrychluje přenos podnikatelských nápadů přímo do funkčního tržního prostředí.</w:t>
            </w:r>
          </w:p>
          <w:p w:rsidR="006D67F1" w:rsidRPr="002C224A" w:rsidRDefault="006D67F1" w:rsidP="00310966"/>
          <w:p w:rsidR="006D67F1" w:rsidRPr="002C224A" w:rsidRDefault="006D67F1" w:rsidP="00310966">
            <w:r w:rsidRPr="002C224A">
              <w:t xml:space="preserve">Tzv. „míra přežití projektů“ je obecně vysoká a dále se rozrůstá portfolio podpořených projektů, které dále úspěšně rostou a přistupují k dalšímu rozvoji dodatečným posilováním spojenectvím s dalšími investory (seed fáze), kdy tyto další investice již dosahují výše </w:t>
            </w:r>
            <w:smartTag w:uri="urn:schemas-microsoft-com:office:smarttags" w:element="metricconverter">
              <w:smartTagPr>
                <w:attr w:name="ProductID" w:val="7 mil"/>
              </w:smartTagPr>
              <w:r w:rsidRPr="002C224A">
                <w:t>7 mil</w:t>
              </w:r>
            </w:smartTag>
            <w:r w:rsidRPr="002C224A">
              <w:t>. liber, za účelem financování růstu a vývoje společnosti.</w:t>
            </w:r>
          </w:p>
          <w:p w:rsidR="006D67F1" w:rsidRPr="002C224A" w:rsidRDefault="006D67F1" w:rsidP="00B87A55"/>
        </w:tc>
      </w:tr>
    </w:tbl>
    <w:p w:rsidR="006D67F1" w:rsidRPr="002C224A" w:rsidRDefault="006D67F1" w:rsidP="009920E2">
      <w:pPr>
        <w:pStyle w:val="Titulek"/>
      </w:pPr>
      <w:r w:rsidRPr="002C224A">
        <w:lastRenderedPageBreak/>
        <w:t>Tabulka</w:t>
      </w:r>
      <w:r w:rsidR="00F6076B">
        <w:t xml:space="preserve"> </w:t>
      </w:r>
      <w:r w:rsidR="000857F9" w:rsidRPr="002C224A">
        <w:t>8</w:t>
      </w:r>
      <w:r w:rsidR="00F6076B">
        <w:t>9</w:t>
      </w:r>
      <w:r w:rsidRPr="002C224A">
        <w:rPr>
          <w:noProof/>
        </w:rPr>
        <w:t>:</w:t>
      </w:r>
      <w:r w:rsidRPr="002C224A">
        <w:t xml:space="preserve"> Příklady zahraničních schémat podpory pro aktivity Proof-Of-Concept</w:t>
      </w:r>
    </w:p>
    <w:p w:rsidR="006D67F1" w:rsidRPr="00A50943" w:rsidRDefault="006D67F1" w:rsidP="0076305E"/>
    <w:p w:rsidR="006D67F1" w:rsidRPr="002C224A" w:rsidRDefault="006D67F1" w:rsidP="006F771D">
      <w:pPr>
        <w:pStyle w:val="Nadpis4"/>
        <w:rPr>
          <w:rFonts w:ascii="Calibri" w:hAnsi="Calibri"/>
        </w:rPr>
      </w:pPr>
      <w:r w:rsidRPr="002C224A">
        <w:rPr>
          <w:rFonts w:ascii="Calibri" w:hAnsi="Calibri"/>
        </w:rPr>
        <w:t>Aplikace zkušeností na současné podmínky</w:t>
      </w:r>
    </w:p>
    <w:p w:rsidR="006D67F1" w:rsidRPr="002C224A" w:rsidRDefault="006D67F1" w:rsidP="00DD631F">
      <w:r w:rsidRPr="00A50943">
        <w:t xml:space="preserve">Zahraniční zkušenosti ukazují, že fáze komercializace je podporována velmi rozličnými způsoby, </w:t>
      </w:r>
      <w:r w:rsidRPr="002C224A">
        <w:t xml:space="preserve">které často zahrnují jak podobu grantovou, tak návratné kapitálové vstupy, i ve vzájemné kombinaci. </w:t>
      </w:r>
    </w:p>
    <w:p w:rsidR="006D67F1" w:rsidRPr="002C224A" w:rsidRDefault="006D67F1" w:rsidP="00DD631F">
      <w:r w:rsidRPr="002C224A">
        <w:t>často podporována formou grantovou, používány jsou však i návratné kapitálové vstupy. Důležitým bodem se v oblasti spin-off jeví propojení s další fází investic a podpory novým podnikatelským projektům.</w:t>
      </w:r>
    </w:p>
    <w:p w:rsidR="006D67F1" w:rsidRPr="002C224A" w:rsidRDefault="006D67F1" w:rsidP="00DD631F"/>
    <w:p w:rsidR="006D67F1" w:rsidRPr="002C224A" w:rsidRDefault="006D67F1" w:rsidP="006F771D">
      <w:r w:rsidRPr="002C224A">
        <w:t>Z dosavadních zkušeností s podporou vyplývá potřeba posunout podporu komercializační fáze o další stupeň výše a využít posun v této oblasti v minulém programovacím období. Nová forma podpory musí být více provázána se závěrečnou fází komercializace, investičním prostředím a komerčními kritérii poskytování prostředků. Nutný je flexibilní zdroj financování, který nebude vytvářet přehnané administrativní bariéry pro rozvoj projektů, zároveň je však podrobí odbornému dohledu. Výrazná role kapitálových vstupů, i s vědomím velké rizikovosti předpokládaného portfolia projektů, je tedy možným řešením těchto potřeb. Předpokladem je především kvalitní odborné zázemí potenciálního pre-seed fondu OP PIK.</w:t>
      </w:r>
    </w:p>
    <w:p w:rsidR="006D67F1" w:rsidRPr="002C224A" w:rsidRDefault="006D67F1" w:rsidP="006F771D"/>
    <w:p w:rsidR="006D67F1" w:rsidRPr="002C224A" w:rsidRDefault="006D67F1" w:rsidP="009920E2">
      <w:pPr>
        <w:pStyle w:val="Nadpis3"/>
        <w:rPr>
          <w:rFonts w:ascii="Calibri" w:hAnsi="Calibri"/>
        </w:rPr>
      </w:pPr>
      <w:bookmarkStart w:id="967" w:name="_Toc417544650"/>
      <w:bookmarkStart w:id="968" w:name="_Toc417544651"/>
      <w:bookmarkStart w:id="969" w:name="_Toc417544652"/>
      <w:bookmarkStart w:id="970" w:name="_Toc421534317"/>
      <w:bookmarkEnd w:id="967"/>
      <w:bookmarkEnd w:id="968"/>
      <w:bookmarkEnd w:id="969"/>
      <w:r w:rsidRPr="002C224A">
        <w:rPr>
          <w:rFonts w:ascii="Calibri" w:hAnsi="Calibri"/>
        </w:rPr>
        <w:t>Specifický cíl 2.1</w:t>
      </w:r>
      <w:bookmarkEnd w:id="970"/>
    </w:p>
    <w:p w:rsidR="006D67F1" w:rsidRPr="002C224A" w:rsidRDefault="006D67F1" w:rsidP="009920E2">
      <w:pPr>
        <w:pStyle w:val="Nadpis4"/>
        <w:rPr>
          <w:rFonts w:ascii="Calibri" w:hAnsi="Calibri"/>
        </w:rPr>
      </w:pPr>
      <w:r w:rsidRPr="002C224A">
        <w:rPr>
          <w:rFonts w:ascii="Calibri" w:hAnsi="Calibri"/>
        </w:rPr>
        <w:t>Závěry vyvozené z implementace podobných nástrojů v minulosti</w:t>
      </w:r>
    </w:p>
    <w:p w:rsidR="006D67F1" w:rsidRPr="00A50943" w:rsidRDefault="006D67F1" w:rsidP="006F771D"/>
    <w:p w:rsidR="006D67F1" w:rsidRPr="002C224A" w:rsidRDefault="006D67F1" w:rsidP="009920E2">
      <w:pPr>
        <w:pStyle w:val="Neslovannadpisy"/>
      </w:pPr>
      <w:r w:rsidRPr="002C224A">
        <w:t xml:space="preserve">Dluhové nástroje </w:t>
      </w:r>
    </w:p>
    <w:p w:rsidR="006D67F1" w:rsidRPr="002C224A" w:rsidRDefault="006D67F1" w:rsidP="009920E2">
      <w:r w:rsidRPr="002C224A">
        <w:t>Návrh využití úvěrových a záručních nástrojů je podepřen zkušeností z minulosti, tedy zájmem o podporu čerpanou za využití finančních nástrojů v programovém období 2007-2013, za využití programů Start, Záruka, Progres OPPI, jako i zkušeností se zájmem o obdobné nástroje poskytované z národních zdrojů programy ČMZRB. Níže jsou uvedeny konkrétní výsledky jednotlivých programů.</w:t>
      </w:r>
    </w:p>
    <w:p w:rsidR="006D67F1" w:rsidRPr="002C224A" w:rsidRDefault="006D67F1" w:rsidP="009920E2"/>
    <w:p w:rsidR="006D67F1" w:rsidRPr="002C224A" w:rsidRDefault="006D67F1" w:rsidP="009920E2">
      <w:pPr>
        <w:rPr>
          <w:b/>
          <w:i/>
        </w:rPr>
      </w:pPr>
      <w:r w:rsidRPr="002C224A">
        <w:rPr>
          <w:b/>
          <w:i/>
        </w:rPr>
        <w:t>START</w:t>
      </w:r>
    </w:p>
    <w:p w:rsidR="006D67F1" w:rsidRPr="002C224A" w:rsidRDefault="006D67F1" w:rsidP="009920E2">
      <w:pPr>
        <w:rPr>
          <w:i/>
          <w:u w:val="single"/>
        </w:rPr>
      </w:pPr>
      <w:r w:rsidRPr="002C224A">
        <w:rPr>
          <w:i/>
          <w:u w:val="single"/>
        </w:rPr>
        <w:t>Úvěry</w:t>
      </w:r>
    </w:p>
    <w:p w:rsidR="006D67F1" w:rsidRPr="002C224A" w:rsidRDefault="006D67F1" w:rsidP="009920E2">
      <w:pPr>
        <w:numPr>
          <w:ilvl w:val="0"/>
          <w:numId w:val="36"/>
        </w:numPr>
        <w:overflowPunct/>
        <w:autoSpaceDE/>
        <w:autoSpaceDN/>
        <w:adjustRightInd/>
        <w:textAlignment w:val="auto"/>
        <w:rPr>
          <w:i/>
        </w:rPr>
      </w:pPr>
      <w:r w:rsidRPr="002C224A">
        <w:rPr>
          <w:i/>
        </w:rPr>
        <w:lastRenderedPageBreak/>
        <w:t xml:space="preserve">Z celkového objemu uzavřených smluv </w:t>
      </w:r>
      <w:smartTag w:uri="urn:schemas-microsoft-com:office:smarttags" w:element="metricconverter">
        <w:smartTagPr>
          <w:attr w:name="ProductID" w:val="2,254 mil"/>
        </w:smartTagPr>
        <w:r w:rsidRPr="002C224A">
          <w:rPr>
            <w:i/>
          </w:rPr>
          <w:t>2,254 mil</w:t>
        </w:r>
      </w:smartTag>
      <w:r w:rsidRPr="002C224A">
        <w:rPr>
          <w:i/>
        </w:rPr>
        <w:t>. EUR (</w:t>
      </w:r>
      <w:smartTag w:uri="urn:schemas-microsoft-com:office:smarttags" w:element="metricconverter">
        <w:smartTagPr>
          <w:attr w:name="ProductID" w:val="62,5 mil"/>
        </w:smartTagPr>
        <w:r w:rsidRPr="002C224A">
          <w:rPr>
            <w:i/>
          </w:rPr>
          <w:t>62,5 mil</w:t>
        </w:r>
      </w:smartTag>
      <w:r w:rsidRPr="002C224A">
        <w:rPr>
          <w:i/>
        </w:rPr>
        <w:t>. Kč) a počtu 97 úvěrů bylo k 31. 12. 2014 celkem 16 úvěrů s pohledávkami po splatnosti, výše těchto pohledávek, včetně sankčních úroků, činila 142 527 EUR (mil. 3,952 Kč), což představovalo 6,3 % z objemu poskytnutých úvěrů a 17,6 % z počtu poskytnutých úvěrů. Zůstatek jistiny úvěru do splatnosti činil k 31. 12. 2014 částku 76 529 EUR (</w:t>
      </w:r>
      <w:smartTag w:uri="urn:schemas-microsoft-com:office:smarttags" w:element="metricconverter">
        <w:smartTagPr>
          <w:attr w:name="ProductID" w:val="2,122 mil"/>
        </w:smartTagPr>
        <w:r w:rsidRPr="002C224A">
          <w:rPr>
            <w:i/>
          </w:rPr>
          <w:t>2,122 mil</w:t>
        </w:r>
      </w:smartTag>
      <w:r w:rsidRPr="002C224A">
        <w:rPr>
          <w:i/>
        </w:rPr>
        <w:t xml:space="preserve">. Kč). Výše splacené jistiny činila k 31.12.2013  částku   </w:t>
      </w:r>
      <w:smartTag w:uri="urn:schemas-microsoft-com:office:smarttags" w:element="metricconverter">
        <w:smartTagPr>
          <w:attr w:name="ProductID" w:val="2,107 mil"/>
        </w:smartTagPr>
        <w:r w:rsidRPr="002C224A">
          <w:rPr>
            <w:i/>
          </w:rPr>
          <w:t>2,107 mil</w:t>
        </w:r>
      </w:smartTag>
      <w:r w:rsidRPr="002C224A">
        <w:rPr>
          <w:i/>
        </w:rPr>
        <w:t>. EUR (</w:t>
      </w:r>
      <w:smartTag w:uri="urn:schemas-microsoft-com:office:smarttags" w:element="metricconverter">
        <w:smartTagPr>
          <w:attr w:name="ProductID" w:val="58,428 mil"/>
        </w:smartTagPr>
        <w:r w:rsidRPr="002C224A">
          <w:rPr>
            <w:i/>
          </w:rPr>
          <w:t>58,428 mil</w:t>
        </w:r>
      </w:smartTag>
      <w:r w:rsidRPr="002C224A">
        <w:rPr>
          <w:i/>
        </w:rPr>
        <w:t xml:space="preserve">. Kč), tj. 93,5 % vyčerpaných úvěrů. Plně splaceno bylo již 51 úvěrů v celkové výši </w:t>
      </w:r>
      <w:smartTag w:uri="urn:schemas-microsoft-com:office:smarttags" w:element="metricconverter">
        <w:smartTagPr>
          <w:attr w:name="ProductID" w:val="1,203 mil"/>
        </w:smartTagPr>
        <w:r w:rsidRPr="002C224A">
          <w:rPr>
            <w:i/>
          </w:rPr>
          <w:t>1,203 mil</w:t>
        </w:r>
      </w:smartTag>
      <w:r w:rsidRPr="002C224A">
        <w:rPr>
          <w:i/>
        </w:rPr>
        <w:t>. EUR (</w:t>
      </w:r>
      <w:smartTag w:uri="urn:schemas-microsoft-com:office:smarttags" w:element="metricconverter">
        <w:smartTagPr>
          <w:attr w:name="ProductID" w:val="33,362 mil"/>
        </w:smartTagPr>
        <w:r w:rsidRPr="002C224A">
          <w:rPr>
            <w:i/>
          </w:rPr>
          <w:t>33,362 mil</w:t>
        </w:r>
      </w:smartTag>
      <w:r w:rsidRPr="002C224A">
        <w:rPr>
          <w:i/>
        </w:rPr>
        <w:t>. Kč)</w:t>
      </w:r>
    </w:p>
    <w:p w:rsidR="006D67F1" w:rsidRPr="002C224A" w:rsidRDefault="006D67F1" w:rsidP="009920E2">
      <w:pPr>
        <w:numPr>
          <w:ilvl w:val="0"/>
          <w:numId w:val="36"/>
        </w:numPr>
        <w:overflowPunct/>
        <w:autoSpaceDE/>
        <w:autoSpaceDN/>
        <w:adjustRightInd/>
        <w:textAlignment w:val="auto"/>
        <w:rPr>
          <w:i/>
        </w:rPr>
      </w:pPr>
      <w:r w:rsidRPr="002C224A">
        <w:rPr>
          <w:i/>
        </w:rPr>
        <w:t>V programu START nebyly dosud odepsány žádné pohledávky pro nedobytnost.</w:t>
      </w:r>
      <w:r w:rsidR="003B7609" w:rsidRPr="002C224A">
        <w:rPr>
          <w:i/>
        </w:rPr>
        <w:t xml:space="preserve"> </w:t>
      </w:r>
      <w:r w:rsidRPr="002C224A">
        <w:rPr>
          <w:i/>
        </w:rPr>
        <w:t>S přihlédnutím k tomu, že splácení úvěrů probíhalo v období nepříznivého ekonomického vývoje, je vývoj</w:t>
      </w:r>
      <w:r w:rsidRPr="002C224A">
        <w:rPr>
          <w:i/>
          <w:u w:val="single"/>
        </w:rPr>
        <w:t xml:space="preserve"> vytvořeného portfolia úvěrů velmi dobrý.</w:t>
      </w:r>
    </w:p>
    <w:p w:rsidR="006D67F1" w:rsidRPr="002C224A" w:rsidRDefault="006D67F1" w:rsidP="009920E2">
      <w:pPr>
        <w:rPr>
          <w:i/>
          <w:u w:val="single"/>
        </w:rPr>
      </w:pPr>
    </w:p>
    <w:p w:rsidR="006D67F1" w:rsidRPr="002C224A" w:rsidRDefault="006D67F1" w:rsidP="009920E2">
      <w:pPr>
        <w:rPr>
          <w:i/>
          <w:u w:val="single"/>
        </w:rPr>
      </w:pPr>
      <w:r w:rsidRPr="002C224A">
        <w:rPr>
          <w:i/>
          <w:u w:val="single"/>
        </w:rPr>
        <w:t>Záruky</w:t>
      </w:r>
    </w:p>
    <w:p w:rsidR="006D67F1" w:rsidRPr="002C224A" w:rsidRDefault="006D67F1" w:rsidP="009920E2">
      <w:pPr>
        <w:numPr>
          <w:ilvl w:val="0"/>
          <w:numId w:val="37"/>
        </w:numPr>
        <w:overflowPunct/>
        <w:autoSpaceDE/>
        <w:autoSpaceDN/>
        <w:adjustRightInd/>
        <w:textAlignment w:val="auto"/>
        <w:rPr>
          <w:i/>
        </w:rPr>
      </w:pPr>
      <w:r w:rsidRPr="002C224A">
        <w:rPr>
          <w:i/>
        </w:rPr>
        <w:t xml:space="preserve">Z celkové výše poskytnutých záruk </w:t>
      </w:r>
      <w:smartTag w:uri="urn:schemas-microsoft-com:office:smarttags" w:element="metricconverter">
        <w:smartTagPr>
          <w:attr w:name="ProductID" w:val="3,657 mil"/>
        </w:smartTagPr>
        <w:r w:rsidRPr="002C224A">
          <w:rPr>
            <w:i/>
          </w:rPr>
          <w:t>3,657 mil</w:t>
        </w:r>
      </w:smartTag>
      <w:r w:rsidRPr="002C224A">
        <w:rPr>
          <w:i/>
        </w:rPr>
        <w:t>. EUR (</w:t>
      </w:r>
      <w:smartTag w:uri="urn:schemas-microsoft-com:office:smarttags" w:element="metricconverter">
        <w:smartTagPr>
          <w:attr w:name="ProductID" w:val="101,4 mil"/>
        </w:smartTagPr>
        <w:r w:rsidRPr="002C224A">
          <w:rPr>
            <w:i/>
          </w:rPr>
          <w:t>101,4 mil</w:t>
        </w:r>
      </w:smartTag>
      <w:r w:rsidRPr="002C224A">
        <w:rPr>
          <w:i/>
        </w:rPr>
        <w:t>. Kč) a počtu záruk 85, bylo poskytnuto plnění ze záruk ve výši 217 506 EUR (</w:t>
      </w:r>
      <w:smartTag w:uri="urn:schemas-microsoft-com:office:smarttags" w:element="metricconverter">
        <w:smartTagPr>
          <w:attr w:name="ProductID" w:val="6,031 mil"/>
        </w:smartTagPr>
        <w:r w:rsidRPr="002C224A">
          <w:rPr>
            <w:i/>
          </w:rPr>
          <w:t>6,031 mil</w:t>
        </w:r>
      </w:smartTag>
      <w:r w:rsidRPr="002C224A">
        <w:rPr>
          <w:i/>
        </w:rPr>
        <w:t xml:space="preserve">. Kč) pro 9 záruk, což představuje 5,95% z výše poskytnutých záruk a 10,58 % z počtu poskytnutých záruk. </w:t>
      </w:r>
    </w:p>
    <w:p w:rsidR="006D67F1" w:rsidRPr="002C224A" w:rsidRDefault="006D67F1" w:rsidP="009920E2">
      <w:pPr>
        <w:numPr>
          <w:ilvl w:val="0"/>
          <w:numId w:val="37"/>
        </w:numPr>
        <w:overflowPunct/>
        <w:autoSpaceDE/>
        <w:autoSpaceDN/>
        <w:adjustRightInd/>
        <w:textAlignment w:val="auto"/>
        <w:rPr>
          <w:i/>
        </w:rPr>
      </w:pPr>
      <w:r w:rsidRPr="002C224A">
        <w:rPr>
          <w:i/>
        </w:rPr>
        <w:t xml:space="preserve">Po ukončení procesu vymáhání byly pro nedobytnost odepsány pohledávky ve výši </w:t>
      </w:r>
      <w:smartTag w:uri="urn:schemas-microsoft-com:office:smarttags" w:element="metricconverter">
        <w:smartTagPr>
          <w:attr w:name="ProductID" w:val="0,3 mil"/>
        </w:smartTagPr>
        <w:r w:rsidRPr="002C224A">
          <w:rPr>
            <w:i/>
          </w:rPr>
          <w:t>0,3 mil</w:t>
        </w:r>
      </w:smartTag>
      <w:r w:rsidRPr="002C224A">
        <w:rPr>
          <w:i/>
        </w:rPr>
        <w:t>. Kč u 2 záruk. Stav tohoto portfolia záruk a jeho vývoj je zatím poměrně příznivý. Je však třeba brát v úvahu charakter záručního instrumentu, který primárně necílí na revolving, ale pákový efekt. ČMZRB neočekává na konci výrazné přebytky na záručním účtu.</w:t>
      </w:r>
    </w:p>
    <w:p w:rsidR="006D67F1" w:rsidRPr="002C224A" w:rsidRDefault="006D67F1" w:rsidP="009920E2">
      <w:pPr>
        <w:rPr>
          <w:b/>
          <w:i/>
        </w:rPr>
      </w:pPr>
    </w:p>
    <w:p w:rsidR="006D67F1" w:rsidRPr="002C224A" w:rsidRDefault="006D67F1" w:rsidP="009920E2">
      <w:pPr>
        <w:rPr>
          <w:b/>
          <w:i/>
        </w:rPr>
      </w:pPr>
      <w:r w:rsidRPr="002C224A">
        <w:rPr>
          <w:b/>
          <w:i/>
        </w:rPr>
        <w:t>ZÁRUKA</w:t>
      </w:r>
    </w:p>
    <w:p w:rsidR="006D67F1" w:rsidRPr="002C224A" w:rsidRDefault="006D67F1" w:rsidP="009920E2">
      <w:pPr>
        <w:numPr>
          <w:ilvl w:val="0"/>
          <w:numId w:val="38"/>
        </w:numPr>
        <w:overflowPunct/>
        <w:autoSpaceDE/>
        <w:autoSpaceDN/>
        <w:adjustRightInd/>
        <w:textAlignment w:val="auto"/>
        <w:rPr>
          <w:i/>
        </w:rPr>
      </w:pPr>
      <w:r w:rsidRPr="002C224A">
        <w:rPr>
          <w:i/>
        </w:rPr>
        <w:t xml:space="preserve">Z celkové výše poskytnutých záruk </w:t>
      </w:r>
      <w:smartTag w:uri="urn:schemas-microsoft-com:office:smarttags" w:element="metricconverter">
        <w:smartTagPr>
          <w:attr w:name="ProductID" w:val="409,041 mil"/>
        </w:smartTagPr>
        <w:r w:rsidRPr="002C224A">
          <w:rPr>
            <w:i/>
          </w:rPr>
          <w:t>409,041 mil</w:t>
        </w:r>
      </w:smartTag>
      <w:r w:rsidRPr="002C224A">
        <w:rPr>
          <w:i/>
        </w:rPr>
        <w:t>. EUR (</w:t>
      </w:r>
      <w:smartTag w:uri="urn:schemas-microsoft-com:office:smarttags" w:element="metricconverter">
        <w:smartTagPr>
          <w:attr w:name="ProductID" w:val="11 341,9 mil"/>
        </w:smartTagPr>
        <w:r w:rsidRPr="002C224A">
          <w:rPr>
            <w:i/>
          </w:rPr>
          <w:t>11 341,9 mil</w:t>
        </w:r>
      </w:smartTag>
      <w:r w:rsidRPr="002C224A">
        <w:rPr>
          <w:i/>
        </w:rPr>
        <w:t xml:space="preserve">. Kč) a počtu 2 011 záruk, bylo k 31. 12. 2014 poskytnuto plnění ve výši </w:t>
      </w:r>
      <w:smartTag w:uri="urn:schemas-microsoft-com:office:smarttags" w:element="metricconverter">
        <w:smartTagPr>
          <w:attr w:name="ProductID" w:val="12,847 mil"/>
        </w:smartTagPr>
        <w:r w:rsidRPr="002C224A">
          <w:rPr>
            <w:i/>
          </w:rPr>
          <w:t>12,847 mil</w:t>
        </w:r>
      </w:smartTag>
      <w:r w:rsidRPr="002C224A">
        <w:rPr>
          <w:i/>
        </w:rPr>
        <w:t>. EUR (</w:t>
      </w:r>
      <w:smartTag w:uri="urn:schemas-microsoft-com:office:smarttags" w:element="metricconverter">
        <w:smartTagPr>
          <w:attr w:name="ProductID" w:val="356,208 mil"/>
        </w:smartTagPr>
        <w:r w:rsidRPr="002C224A">
          <w:rPr>
            <w:i/>
          </w:rPr>
          <w:t>356,208 mil</w:t>
        </w:r>
      </w:smartTag>
      <w:r w:rsidRPr="002C224A">
        <w:rPr>
          <w:i/>
        </w:rPr>
        <w:t xml:space="preserve">. Kč u 181 záruk, což představuje 3,1 % z výše vystavených záruk a 9,0 % z počtu poskytnutých záruk. </w:t>
      </w:r>
    </w:p>
    <w:p w:rsidR="006D67F1" w:rsidRPr="002C224A" w:rsidRDefault="006D67F1" w:rsidP="009920E2">
      <w:pPr>
        <w:numPr>
          <w:ilvl w:val="0"/>
          <w:numId w:val="38"/>
        </w:numPr>
        <w:overflowPunct/>
        <w:autoSpaceDE/>
        <w:autoSpaceDN/>
        <w:adjustRightInd/>
        <w:textAlignment w:val="auto"/>
        <w:rPr>
          <w:i/>
        </w:rPr>
      </w:pPr>
      <w:r w:rsidRPr="002C224A">
        <w:rPr>
          <w:i/>
        </w:rPr>
        <w:t>Po ukončení procesu vymáhání byly pro nedobytnost odepsány pohledávky takto:</w:t>
      </w:r>
    </w:p>
    <w:p w:rsidR="006D67F1" w:rsidRPr="002C224A" w:rsidRDefault="006D67F1" w:rsidP="009920E2">
      <w:pPr>
        <w:numPr>
          <w:ilvl w:val="1"/>
          <w:numId w:val="38"/>
        </w:numPr>
        <w:overflowPunct/>
        <w:autoSpaceDE/>
        <w:autoSpaceDN/>
        <w:adjustRightInd/>
        <w:textAlignment w:val="auto"/>
        <w:rPr>
          <w:i/>
        </w:rPr>
      </w:pPr>
      <w:r w:rsidRPr="002C224A">
        <w:rPr>
          <w:i/>
        </w:rPr>
        <w:t>S-Záruky EUR 1 305 540 (</w:t>
      </w:r>
      <w:smartTag w:uri="urn:schemas-microsoft-com:office:smarttags" w:element="metricconverter">
        <w:smartTagPr>
          <w:attr w:name="ProductID" w:val="36,2 mil"/>
        </w:smartTagPr>
        <w:r w:rsidRPr="002C224A">
          <w:rPr>
            <w:i/>
          </w:rPr>
          <w:t>36,2 mil</w:t>
        </w:r>
      </w:smartTag>
      <w:r w:rsidRPr="002C224A">
        <w:rPr>
          <w:i/>
        </w:rPr>
        <w:t>. Kč) u 12 záruk,</w:t>
      </w:r>
    </w:p>
    <w:p w:rsidR="006D67F1" w:rsidRPr="002C224A" w:rsidRDefault="006D67F1" w:rsidP="009920E2">
      <w:pPr>
        <w:numPr>
          <w:ilvl w:val="1"/>
          <w:numId w:val="38"/>
        </w:numPr>
        <w:overflowPunct/>
        <w:autoSpaceDE/>
        <w:autoSpaceDN/>
        <w:adjustRightInd/>
        <w:textAlignment w:val="auto"/>
        <w:rPr>
          <w:i/>
        </w:rPr>
      </w:pPr>
      <w:r w:rsidRPr="002C224A">
        <w:rPr>
          <w:i/>
        </w:rPr>
        <w:t>M-záruky EUR 2 445 182 (</w:t>
      </w:r>
      <w:smartTag w:uri="urn:schemas-microsoft-com:office:smarttags" w:element="metricconverter">
        <w:smartTagPr>
          <w:attr w:name="ProductID" w:val="67,8 mil"/>
        </w:smartTagPr>
        <w:r w:rsidRPr="002C224A">
          <w:rPr>
            <w:i/>
          </w:rPr>
          <w:t>67,8 mil</w:t>
        </w:r>
      </w:smartTag>
      <w:r w:rsidRPr="002C224A">
        <w:rPr>
          <w:i/>
        </w:rPr>
        <w:t xml:space="preserve">. Kč) u 36 záruk.            </w:t>
      </w:r>
    </w:p>
    <w:p w:rsidR="006D67F1" w:rsidRPr="002C224A" w:rsidRDefault="006D67F1" w:rsidP="009920E2">
      <w:pPr>
        <w:numPr>
          <w:ilvl w:val="0"/>
          <w:numId w:val="38"/>
        </w:numPr>
        <w:overflowPunct/>
        <w:autoSpaceDE/>
        <w:autoSpaceDN/>
        <w:adjustRightInd/>
        <w:textAlignment w:val="auto"/>
        <w:rPr>
          <w:i/>
        </w:rPr>
      </w:pPr>
      <w:r w:rsidRPr="002C224A">
        <w:rPr>
          <w:i/>
        </w:rPr>
        <w:t>Při interpretaci výsledků je třeba zohlednit neukončený cyklus. Z charakteru záručního instrumentu vychází minimální revolving. ČMZRB neočekává na konci výrazné přebytky na záručním účtu.</w:t>
      </w:r>
    </w:p>
    <w:p w:rsidR="006D67F1" w:rsidRPr="002C224A" w:rsidRDefault="006D67F1" w:rsidP="009920E2">
      <w:pPr>
        <w:rPr>
          <w:b/>
          <w:i/>
        </w:rPr>
      </w:pPr>
    </w:p>
    <w:p w:rsidR="006D67F1" w:rsidRPr="002C224A" w:rsidRDefault="006D67F1" w:rsidP="009920E2">
      <w:pPr>
        <w:rPr>
          <w:b/>
          <w:i/>
        </w:rPr>
      </w:pPr>
      <w:r w:rsidRPr="002C224A">
        <w:rPr>
          <w:b/>
          <w:i/>
        </w:rPr>
        <w:t>PROGRES</w:t>
      </w:r>
    </w:p>
    <w:p w:rsidR="006D67F1" w:rsidRPr="002C224A" w:rsidRDefault="006D67F1" w:rsidP="009920E2">
      <w:pPr>
        <w:numPr>
          <w:ilvl w:val="0"/>
          <w:numId w:val="39"/>
        </w:numPr>
        <w:overflowPunct/>
        <w:autoSpaceDE/>
        <w:autoSpaceDN/>
        <w:adjustRightInd/>
        <w:textAlignment w:val="auto"/>
        <w:rPr>
          <w:i/>
        </w:rPr>
      </w:pPr>
      <w:r w:rsidRPr="002C224A">
        <w:rPr>
          <w:i/>
        </w:rPr>
        <w:t xml:space="preserve">Z celkové výše poskytnutých podřízených úvěrů </w:t>
      </w:r>
      <w:smartTag w:uri="urn:schemas-microsoft-com:office:smarttags" w:element="metricconverter">
        <w:smartTagPr>
          <w:attr w:name="ProductID" w:val="137,298 mil"/>
        </w:smartTagPr>
        <w:r w:rsidRPr="002C224A">
          <w:rPr>
            <w:i/>
          </w:rPr>
          <w:t>137,298 mil</w:t>
        </w:r>
      </w:smartTag>
      <w:r w:rsidRPr="002C224A">
        <w:rPr>
          <w:i/>
        </w:rPr>
        <w:t>. EUR (</w:t>
      </w:r>
      <w:smartTag w:uri="urn:schemas-microsoft-com:office:smarttags" w:element="metricconverter">
        <w:smartTagPr>
          <w:attr w:name="ProductID" w:val="3 807,0 mil"/>
        </w:smartTagPr>
        <w:r w:rsidRPr="002C224A">
          <w:rPr>
            <w:i/>
          </w:rPr>
          <w:t>3 807,0 mil</w:t>
        </w:r>
      </w:smartTag>
      <w:r w:rsidRPr="002C224A">
        <w:rPr>
          <w:i/>
        </w:rPr>
        <w:t xml:space="preserve">. Kč) a počtu 472, činily k 31. 12. 2014 pohledávky po lhůtě splatnosti, včetně dlužných úroků (sankčních a úroků z úvěrů) u 36 úvěrů, částku </w:t>
      </w:r>
      <w:smartTag w:uri="urn:schemas-microsoft-com:office:smarttags" w:element="metricconverter">
        <w:smartTagPr>
          <w:attr w:name="ProductID" w:val="3,448 mil"/>
        </w:smartTagPr>
        <w:r w:rsidRPr="002C224A">
          <w:rPr>
            <w:i/>
          </w:rPr>
          <w:t>3,448 mil</w:t>
        </w:r>
      </w:smartTag>
      <w:r w:rsidRPr="002C224A">
        <w:rPr>
          <w:i/>
        </w:rPr>
        <w:t>. EUR (</w:t>
      </w:r>
      <w:smartTag w:uri="urn:schemas-microsoft-com:office:smarttags" w:element="metricconverter">
        <w:smartTagPr>
          <w:attr w:name="ProductID" w:val="denýchǌЈ黔࢘鿘࢘鹐࢘ǇЈ68ǄЈꒀミ袈!ć鿼࢘龈࢘ ǟЌꏐョꑔミꎠョ袈!ヘ鿐࢘ "/>
        </w:smartTagPr>
        <w:r w:rsidRPr="002C224A">
          <w:rPr>
            <w:i/>
          </w:rPr>
          <w:t>95,610 mil</w:t>
        </w:r>
      </w:smartTag>
      <w:r w:rsidRPr="002C224A">
        <w:rPr>
          <w:i/>
        </w:rPr>
        <w:t xml:space="preserve">. Kč), což představuje 2,5 % z výše poskytnutých úvěrů a  7,6 % z počtu poskytnutých úvěrů. </w:t>
      </w:r>
    </w:p>
    <w:p w:rsidR="006D67F1" w:rsidRPr="002C224A" w:rsidRDefault="006D67F1" w:rsidP="009920E2">
      <w:pPr>
        <w:numPr>
          <w:ilvl w:val="0"/>
          <w:numId w:val="39"/>
        </w:numPr>
        <w:overflowPunct/>
        <w:autoSpaceDE/>
        <w:autoSpaceDN/>
        <w:adjustRightInd/>
        <w:textAlignment w:val="auto"/>
        <w:rPr>
          <w:i/>
        </w:rPr>
      </w:pPr>
      <w:r w:rsidRPr="002C224A">
        <w:rPr>
          <w:i/>
        </w:rPr>
        <w:t xml:space="preserve">V programu PROGRES nebyly dosud odepsány žádné pohledávky pro nedobytnost. Zůstatek jistiny úvěru do splatnosti k 31.12.2014 činil  </w:t>
      </w:r>
      <w:smartTag w:uri="urn:schemas-microsoft-com:office:smarttags" w:element="metricconverter">
        <w:smartTagPr>
          <w:attr w:name="ProductID" w:val="76,856 mil"/>
        </w:smartTagPr>
        <w:r w:rsidRPr="002C224A">
          <w:rPr>
            <w:i/>
          </w:rPr>
          <w:t>76,856 mil</w:t>
        </w:r>
      </w:smartTag>
      <w:r w:rsidRPr="002C224A">
        <w:rPr>
          <w:i/>
        </w:rPr>
        <w:t>. EUR (</w:t>
      </w:r>
      <w:smartTag w:uri="urn:schemas-microsoft-com:office:smarttags" w:element="metricconverter">
        <w:smartTagPr>
          <w:attr w:name="ProductID" w:val="2 131,075 mil"/>
        </w:smartTagPr>
        <w:r w:rsidRPr="002C224A">
          <w:rPr>
            <w:i/>
          </w:rPr>
          <w:t>2 131,075 mil</w:t>
        </w:r>
      </w:smartTag>
      <w:r w:rsidRPr="002C224A">
        <w:rPr>
          <w:i/>
        </w:rPr>
        <w:t xml:space="preserve">. Kč). Výše plně splacených úvěrů je </w:t>
      </w:r>
      <w:smartTag w:uri="urn:schemas-microsoft-com:office:smarttags" w:element="metricconverter">
        <w:smartTagPr>
          <w:attr w:name="ProductID" w:val="17,194 mil"/>
        </w:smartTagPr>
        <w:r w:rsidRPr="002C224A">
          <w:rPr>
            <w:i/>
          </w:rPr>
          <w:t>17,194 mil</w:t>
        </w:r>
      </w:smartTag>
      <w:r w:rsidRPr="002C224A">
        <w:rPr>
          <w:i/>
        </w:rPr>
        <w:t>. EUR (</w:t>
      </w:r>
      <w:smartTag w:uri="urn:schemas-microsoft-com:office:smarttags" w:element="metricconverter">
        <w:smartTagPr>
          <w:attr w:name="ProductID" w:val="476,755 mil"/>
        </w:smartTagPr>
        <w:r w:rsidRPr="002C224A">
          <w:rPr>
            <w:i/>
          </w:rPr>
          <w:t>476,755 mil</w:t>
        </w:r>
      </w:smartTag>
      <w:r w:rsidRPr="002C224A">
        <w:rPr>
          <w:i/>
        </w:rPr>
        <w:t>. Kč), počet splacených úvěrů je 68.</w:t>
      </w:r>
    </w:p>
    <w:p w:rsidR="006D67F1" w:rsidRPr="002C224A" w:rsidRDefault="006D67F1" w:rsidP="009920E2"/>
    <w:p w:rsidR="006D67F1" w:rsidRPr="002C224A" w:rsidRDefault="006D67F1" w:rsidP="009920E2">
      <w:r w:rsidRPr="002C224A">
        <w:t>Výsledky všech výše uvedených programů jsou ovlivněny skutečností, že byly využity vždy pouze na část programovacího období.</w:t>
      </w:r>
    </w:p>
    <w:p w:rsidR="006D67F1" w:rsidRPr="002C224A" w:rsidRDefault="006D67F1" w:rsidP="009920E2"/>
    <w:p w:rsidR="006D67F1" w:rsidRPr="002C224A" w:rsidRDefault="006D67F1" w:rsidP="006F771D">
      <w:pPr>
        <w:pStyle w:val="Neslovannadpisy"/>
      </w:pPr>
      <w:r w:rsidRPr="002C224A">
        <w:t>Kapitálové vstupy</w:t>
      </w:r>
    </w:p>
    <w:p w:rsidR="008F6AF1" w:rsidRDefault="008F6AF1" w:rsidP="005B0CD0"/>
    <w:p w:rsidR="008F6AF1" w:rsidRPr="00331BB7" w:rsidRDefault="008F6AF1" w:rsidP="005B0CD0">
      <w:pPr>
        <w:rPr>
          <w:b/>
          <w:i/>
        </w:rPr>
      </w:pPr>
      <w:r w:rsidRPr="00331BB7">
        <w:rPr>
          <w:b/>
          <w:i/>
        </w:rPr>
        <w:t>Seed fond OPPI</w:t>
      </w:r>
    </w:p>
    <w:p w:rsidR="008F6AF1" w:rsidRPr="00331BB7" w:rsidRDefault="008F6AF1" w:rsidP="008F6AF1">
      <w:r w:rsidRPr="00331BB7">
        <w:t xml:space="preserve">V období 2011-2013 byl Ministerstvem průmyslu a obchodu připravován projekt „Seed fond“ v rámci Operačního programu podnikání a inovace (OPPI), který měl nabídnout podnikatelům zcela nový nástroj podpory ve formě kapitálových investic (rizikový kapitál). </w:t>
      </w:r>
    </w:p>
    <w:p w:rsidR="008F6AF1" w:rsidRPr="00331BB7" w:rsidRDefault="008F6AF1" w:rsidP="008F6AF1"/>
    <w:p w:rsidR="008F6AF1" w:rsidRPr="00331BB7" w:rsidRDefault="00B77C7E" w:rsidP="008F6AF1">
      <w:r>
        <w:t>Cílem</w:t>
      </w:r>
      <w:r w:rsidR="008F6AF1" w:rsidRPr="00331BB7">
        <w:t xml:space="preserve"> projektu bylo rozvíjet investice do začínajících i déle fungujících firem s inovačním potenciálem. Mělo jít tedy primárně o investice do projektů, o které téměř nemají zájem jak banky z důvodu </w:t>
      </w:r>
      <w:r w:rsidR="008F6AF1" w:rsidRPr="00331BB7">
        <w:lastRenderedPageBreak/>
        <w:t>rizikovosti, tak ani soukromí investoři z důvodu malého rozsahu investic a špatné připravenosti projektů.</w:t>
      </w:r>
    </w:p>
    <w:p w:rsidR="008F6AF1" w:rsidRPr="00331BB7" w:rsidRDefault="008F6AF1" w:rsidP="008F6AF1"/>
    <w:p w:rsidR="002679F5" w:rsidRDefault="00B77C7E" w:rsidP="00331BB7">
      <w:r>
        <w:t>Pro projekt byla založena SPV společnost Český rozvojový, uzavřený investiční fond, a.s.</w:t>
      </w:r>
      <w:r w:rsidR="002679F5">
        <w:t>, jako obhospodařovaný fond s právní subjektivitou.</w:t>
      </w:r>
    </w:p>
    <w:p w:rsidR="002679F5" w:rsidRDefault="002679F5" w:rsidP="00331BB7"/>
    <w:p w:rsidR="002679F5" w:rsidRPr="002679F5" w:rsidRDefault="002679F5" w:rsidP="00331BB7">
      <w:r w:rsidRPr="00331BB7">
        <w:t xml:space="preserve">Fond </w:t>
      </w:r>
      <w:r>
        <w:t>byl</w:t>
      </w:r>
      <w:r w:rsidRPr="00331BB7">
        <w:t xml:space="preserve"> vnitřně členěn na dvě části – seed část a venture capital (VC) část. </w:t>
      </w:r>
      <w:r w:rsidRPr="002679F5">
        <w:t>Seed část f</w:t>
      </w:r>
      <w:r w:rsidRPr="00331BB7">
        <w:t>ond</w:t>
      </w:r>
      <w:r>
        <w:t xml:space="preserve">u </w:t>
      </w:r>
      <w:r w:rsidR="007C7C25">
        <w:t>měla</w:t>
      </w:r>
      <w:r>
        <w:t xml:space="preserve"> spravovat alokaci </w:t>
      </w:r>
      <w:smartTag w:uri="urn:schemas-microsoft-com:office:smarttags" w:element="metricconverter">
        <w:smartTagPr>
          <w:attr w:name="ProductID" w:val="31,8 mil"/>
        </w:smartTagPr>
        <w:r>
          <w:t>31,8</w:t>
        </w:r>
      </w:smartTag>
      <w:r>
        <w:t xml:space="preserve"> mil. </w:t>
      </w:r>
      <w:r w:rsidRPr="002679F5">
        <w:t>EUR</w:t>
      </w:r>
      <w:r w:rsidRPr="00331BB7">
        <w:t xml:space="preserve"> a poskytovat early-stage kapitál (seed a start-up) v rámci prioritní osy 1 Vznik firem OPPI. VC část Fondu </w:t>
      </w:r>
      <w:r>
        <w:t>byla</w:t>
      </w:r>
      <w:r w:rsidRPr="00331BB7">
        <w:t xml:space="preserve"> zaměřena na later-stage (expansion) investice a disponov</w:t>
      </w:r>
      <w:r w:rsidRPr="002679F5">
        <w:t>ala</w:t>
      </w:r>
      <w:r w:rsidRPr="00331BB7">
        <w:t xml:space="preserve"> rozpočtem ve výši </w:t>
      </w:r>
      <w:smartTag w:uri="urn:schemas-microsoft-com:office:smarttags" w:element="metricconverter">
        <w:smartTagPr>
          <w:attr w:name="ProductID" w:val="21,2 mil"/>
        </w:smartTagPr>
        <w:r w:rsidRPr="00331BB7">
          <w:t>21</w:t>
        </w:r>
      </w:smartTag>
      <w:r>
        <w:t>,2 mil.</w:t>
      </w:r>
      <w:r w:rsidRPr="00331BB7">
        <w:t xml:space="preserve"> </w:t>
      </w:r>
      <w:r>
        <w:t>EUR</w:t>
      </w:r>
      <w:r w:rsidRPr="00331BB7">
        <w:t xml:space="preserve"> v rámci prioritní osy 2 Rozvoj firem OP</w:t>
      </w:r>
      <w:r w:rsidR="00D03D37">
        <w:t xml:space="preserve"> </w:t>
      </w:r>
      <w:r w:rsidRPr="00331BB7">
        <w:t>PI.</w:t>
      </w:r>
    </w:p>
    <w:p w:rsidR="002679F5" w:rsidRPr="00331BB7" w:rsidRDefault="002679F5" w:rsidP="00331BB7"/>
    <w:p w:rsidR="002679F5" w:rsidRPr="00331BB7" w:rsidRDefault="002679F5" w:rsidP="00331BB7">
      <w:r w:rsidRPr="00331BB7">
        <w:t xml:space="preserve">Soukromé a veřejné prostředky se </w:t>
      </w:r>
      <w:r>
        <w:t>měly</w:t>
      </w:r>
      <w:r w:rsidRPr="00331BB7">
        <w:t xml:space="preserve"> stýkat na úrovni individuálních projektů na základě koinvestičních dohod mezi </w:t>
      </w:r>
      <w:r>
        <w:t>fondem</w:t>
      </w:r>
      <w:r w:rsidRPr="00331BB7">
        <w:t xml:space="preserve"> a soukromými investory. V příp</w:t>
      </w:r>
      <w:r w:rsidRPr="002679F5">
        <w:t>adě seed části fondu se f</w:t>
      </w:r>
      <w:r w:rsidRPr="00331BB7">
        <w:t>ond na celkové výši všech investic do jedné cílové společnosti realizovaných v </w:t>
      </w:r>
      <w:r w:rsidRPr="002679F5">
        <w:t>souhrnu ze strany f</w:t>
      </w:r>
      <w:r w:rsidRPr="00331BB7">
        <w:t>ondu a </w:t>
      </w:r>
      <w:r w:rsidRPr="002679F5">
        <w:t>soukromého investora musely</w:t>
      </w:r>
      <w:r w:rsidRPr="00331BB7">
        <w:t xml:space="preserve"> vždy podílet alespoň 10 %, jeho podíl však zároveň </w:t>
      </w:r>
      <w:r>
        <w:t>měl</w:t>
      </w:r>
      <w:r w:rsidRPr="00331BB7">
        <w:t xml:space="preserve"> být </w:t>
      </w:r>
      <w:r>
        <w:t xml:space="preserve">zároveň </w:t>
      </w:r>
      <w:r w:rsidRPr="00331BB7">
        <w:t>nižší než 70 %. V </w:t>
      </w:r>
      <w:r w:rsidRPr="002679F5">
        <w:t>případě VC části Fo</w:t>
      </w:r>
      <w:r>
        <w:t>n</w:t>
      </w:r>
      <w:r w:rsidRPr="00331BB7">
        <w:t xml:space="preserve">du se Fond na celkové výši všech investic do jedné cílové společnosti realizovaných v souhrnu ze strany ČRUIF a soukromého investora </w:t>
      </w:r>
      <w:r>
        <w:t>měly</w:t>
      </w:r>
      <w:r w:rsidRPr="00331BB7">
        <w:t xml:space="preserve"> vždy podílet alespoň 10 %, jeho podíl však zároveň nesmí být vyšší než 50%. Investice na základě pravidla de minimis nem</w:t>
      </w:r>
      <w:r w:rsidRPr="002679F5">
        <w:t>usely</w:t>
      </w:r>
      <w:r w:rsidRPr="00331BB7">
        <w:t xml:space="preserve"> zahrnovat podíl soukromých investorů.</w:t>
      </w:r>
    </w:p>
    <w:p w:rsidR="002679F5" w:rsidRDefault="002679F5" w:rsidP="00331BB7"/>
    <w:p w:rsidR="002679F5" w:rsidRDefault="002679F5" w:rsidP="00331BB7">
      <w:r w:rsidRPr="00331BB7">
        <w:t xml:space="preserve">Obhospodařovatel Fondu </w:t>
      </w:r>
      <w:r>
        <w:t xml:space="preserve">měl </w:t>
      </w:r>
      <w:r w:rsidRPr="002679F5">
        <w:t>dále založit</w:t>
      </w:r>
      <w:r w:rsidRPr="00331BB7">
        <w:t xml:space="preserve"> investiční výbor, který </w:t>
      </w:r>
      <w:r>
        <w:t xml:space="preserve">měl </w:t>
      </w:r>
      <w:r w:rsidRPr="00331BB7">
        <w:t>poskytovat doporučující stanoviska ohledně projektů navrhovaných k zafinancování.</w:t>
      </w:r>
    </w:p>
    <w:p w:rsidR="002679F5" w:rsidRDefault="002679F5" w:rsidP="00331BB7"/>
    <w:p w:rsidR="002679F5" w:rsidRPr="00331BB7" w:rsidRDefault="002679F5" w:rsidP="00331BB7">
      <w:r>
        <w:t>Veřejná podpora fondu byla notifikována Komisi, která vydala dvě kladná rozhodnutí v prosinci 2012. V lednu 2013 byla na základě výsledků otevřeného zadávacího řízení podepsána smlouva s depozitářem fondu, v březnu 2013 byl v otevřeném zadávacím řízení vybrán obhospodařovatel fondu. V dubnu 2013 bylo zahájeno správní řízení před Úřadem pro ochranu hospodářské soutěže z důvodu stížnosti jednoho z vyloučených uchazečů o veřejnou zakázku na obhospodařování majetku fondu. V dubnu 2014 řídící orgán zadávací řízení na obhospodařovatele zrušil mj. z důvodu protahujícího se správního řízení ÚOHS, kde ani po 12 měsících nedošlo k vydání pravomocného rozhodnutí a hrozilo nedočerpání prostředků OP určených na Seed fond OP</w:t>
      </w:r>
      <w:r w:rsidR="00D03D37">
        <w:t xml:space="preserve"> </w:t>
      </w:r>
      <w:r>
        <w:t>PI. V říjnu 2014 správní řízení ÚOHS ukončil pro bezpředmětnost. Prostředky původně určené na realizaci Seed fondu OPPI byly posléze řídícím orgánem realokovány do dotačních programů podpory OP</w:t>
      </w:r>
      <w:r w:rsidR="00D03D37">
        <w:t xml:space="preserve"> </w:t>
      </w:r>
      <w:r>
        <w:t>PI.</w:t>
      </w:r>
    </w:p>
    <w:p w:rsidR="00B77C7E" w:rsidRDefault="00B77C7E" w:rsidP="005B0CD0"/>
    <w:p w:rsidR="005B0CD0" w:rsidRPr="002C224A" w:rsidRDefault="005B0CD0" w:rsidP="005B0CD0">
      <w:r w:rsidRPr="002C224A">
        <w:t xml:space="preserve">Jako problematickou pro implementaci Seed fondu v minulém období se </w:t>
      </w:r>
      <w:r w:rsidR="002679F5">
        <w:t xml:space="preserve">tak </w:t>
      </w:r>
      <w:r w:rsidRPr="002C224A">
        <w:t xml:space="preserve">ukázala </w:t>
      </w:r>
      <w:r w:rsidR="002679F5">
        <w:t xml:space="preserve">zejména </w:t>
      </w:r>
      <w:r w:rsidRPr="002C224A">
        <w:t xml:space="preserve">otázka </w:t>
      </w:r>
      <w:r w:rsidR="002679F5">
        <w:t xml:space="preserve">zadávacího </w:t>
      </w:r>
      <w:r w:rsidRPr="002C224A">
        <w:t xml:space="preserve">řízení na </w:t>
      </w:r>
      <w:r w:rsidR="002679F5">
        <w:t>obhospodařování majetku fondu.</w:t>
      </w:r>
    </w:p>
    <w:p w:rsidR="006D67F1" w:rsidRPr="002C224A" w:rsidRDefault="006D67F1" w:rsidP="009920E2"/>
    <w:p w:rsidR="006D67F1" w:rsidRPr="002C224A" w:rsidRDefault="006D67F1" w:rsidP="009920E2">
      <w:pPr>
        <w:pStyle w:val="Nadpis4"/>
        <w:rPr>
          <w:rFonts w:ascii="Calibri" w:hAnsi="Calibri"/>
        </w:rPr>
      </w:pPr>
      <w:r w:rsidRPr="002C224A">
        <w:rPr>
          <w:rFonts w:ascii="Calibri" w:hAnsi="Calibri"/>
        </w:rPr>
        <w:t>Přehled zahraničních zkušeností s obdobnými finančními nástroji</w:t>
      </w:r>
    </w:p>
    <w:p w:rsidR="006D67F1" w:rsidRPr="002C224A" w:rsidRDefault="006D67F1" w:rsidP="00947133">
      <w:pPr>
        <w:rPr>
          <w:szCs w:val="22"/>
        </w:rPr>
      </w:pPr>
      <w:r w:rsidRPr="00A50943">
        <w:rPr>
          <w:szCs w:val="22"/>
        </w:rPr>
        <w:t>Jak dokazují zahraniční zkušenosti, rizikový</w:t>
      </w:r>
      <w:r w:rsidRPr="002C224A">
        <w:rPr>
          <w:szCs w:val="22"/>
        </w:rPr>
        <w:t xml:space="preserve"> kapitál může být významným katalyzátorem hospodářského a inovačního rozvoje. Mezi hlavní světové lídry v tomto směru patří např. USA, Izrael, ale i některé státy Evropy (např. Finsko, Švýcarsko, Německo).</w:t>
      </w:r>
    </w:p>
    <w:p w:rsidR="006D67F1" w:rsidRPr="002C224A" w:rsidRDefault="006D67F1" w:rsidP="00947133">
      <w:pPr>
        <w:rPr>
          <w:szCs w:val="22"/>
        </w:rPr>
      </w:pPr>
    </w:p>
    <w:p w:rsidR="006D67F1" w:rsidRPr="002C224A" w:rsidRDefault="006D67F1" w:rsidP="00947133">
      <w:pPr>
        <w:rPr>
          <w:szCs w:val="22"/>
        </w:rPr>
      </w:pPr>
      <w:r w:rsidRPr="002C224A">
        <w:rPr>
          <w:szCs w:val="22"/>
        </w:rPr>
        <w:t xml:space="preserve">Využívání rizikového kapitálu v EU má vzestupnou tendenci i vzhledem k podpoře Evropské Komise (EK) ve spolupráci zejména s Evropským investičním fondem (EIF). V rámci kohezní politiky ji využily i mnohé státy z regionu střední a východní Evropy, které tak v programovém období 2007-2013 spustily své vlastní programy státní podpory rizikového kapitálu. </w:t>
      </w:r>
      <w:r w:rsidRPr="002C224A">
        <w:rPr>
          <w:b/>
          <w:szCs w:val="22"/>
        </w:rPr>
        <w:t>V minulém programovacím období z prostředků strukturálních fondů EU vznikly veřejné investiční fondy ve 20 státech EU (včetně Slovenska, Polska a Maďarska).</w:t>
      </w:r>
      <w:r w:rsidR="00ED0B05" w:rsidRPr="002C224A">
        <w:rPr>
          <w:b/>
          <w:szCs w:val="22"/>
        </w:rPr>
        <w:t xml:space="preserve"> </w:t>
      </w:r>
      <w:r w:rsidRPr="002C224A">
        <w:rPr>
          <w:szCs w:val="22"/>
        </w:rPr>
        <w:t>Převažující formou implementace jsou fondy fondů, které investují nikoliv přímo do jednotlivých projektů, ale do kapitálu fondů se shodně zaměřenou investiční strategií. Zcela ojedinělé však nejsou ani tzv. koinvestiční fondy, které spočívají ve vyhledávání nejen investorů, ale i vhodných projektů, do kterých po boku soukromých venture fondů přímo investují.</w:t>
      </w:r>
    </w:p>
    <w:p w:rsidR="006D67F1" w:rsidRPr="002C224A" w:rsidRDefault="006D67F1" w:rsidP="00947133">
      <w:pPr>
        <w:rPr>
          <w:szCs w:val="22"/>
        </w:rPr>
      </w:pP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67F1" w:rsidRPr="002C224A" w:rsidTr="006F771D">
        <w:trPr>
          <w:trHeight w:val="482"/>
        </w:trPr>
        <w:tc>
          <w:tcPr>
            <w:tcW w:w="2000" w:type="dxa"/>
            <w:shd w:val="clear" w:color="auto" w:fill="548DD4"/>
            <w:noWrap/>
            <w:vAlign w:val="center"/>
          </w:tcPr>
          <w:p w:rsidR="006D67F1" w:rsidRPr="002C224A" w:rsidRDefault="006D67F1" w:rsidP="00823083">
            <w:pPr>
              <w:jc w:val="center"/>
              <w:rPr>
                <w:b/>
                <w:color w:val="FFFFFF"/>
              </w:rPr>
            </w:pPr>
            <w:r w:rsidRPr="002C224A">
              <w:rPr>
                <w:b/>
                <w:color w:val="FFFFFF"/>
              </w:rPr>
              <w:t>Izrael (Yozma)</w:t>
            </w:r>
          </w:p>
        </w:tc>
        <w:tc>
          <w:tcPr>
            <w:tcW w:w="6800" w:type="dxa"/>
            <w:shd w:val="clear" w:color="auto" w:fill="FFFFFF"/>
            <w:noWrap/>
          </w:tcPr>
          <w:p w:rsidR="006D67F1" w:rsidRPr="002C224A" w:rsidRDefault="006D67F1" w:rsidP="006F771D">
            <w:r w:rsidRPr="002C224A">
              <w:t>Izrael je dnes jedním z nejrozvinutějších trhů v oblasti rizikového kapitálu. V současné době zde působí zhruba sedmdesát aktivních venture fondů, včetně zahraničních. Velký rozvoj rizikového kapitálu nastal v 90. letech v souvislosti s programem státní podpory Yozma. V rámci ní</w:t>
            </w:r>
            <w:r w:rsidRPr="002C224A">
              <w:rPr>
                <w:b/>
              </w:rPr>
              <w:t xml:space="preserve"> státní fond koinvestoval s izraelskými venture fondy do startupových projektů za podmínky, že izraelské fondy získaly za partnera také zahraniční fondy.</w:t>
            </w:r>
            <w:r w:rsidR="003B7609" w:rsidRPr="002C224A">
              <w:rPr>
                <w:b/>
              </w:rPr>
              <w:t xml:space="preserve"> </w:t>
            </w:r>
            <w:r w:rsidRPr="002C224A">
              <w:t xml:space="preserve">Původní Yozma disponovala </w:t>
            </w:r>
            <w:smartTag w:uri="urn:schemas-microsoft-com:office:smarttags" w:element="metricconverter">
              <w:smartTagPr>
                <w:attr w:name="ProductID" w:val="100 mil"/>
              </w:smartTagPr>
              <w:r w:rsidRPr="002C224A">
                <w:t>100 mil</w:t>
              </w:r>
            </w:smartTag>
            <w:r w:rsidRPr="002C224A">
              <w:t xml:space="preserve">. USD, které rozdělila do 10 FRK, přičemž zhruba 50 % financování zajistil soukromý finanční sektor. Následoval příliv zejména amerického rizikového a rozvojového kapitálu. Některé podpořené startupy přivedl tímto způsobem poskytnutý rizikový kapitál až k primární emisi na amerických či evropských burzách. V současnosti se od přímé podpory FRK upouští, nicméně běží např. specializovaný Life Science Fund s kapitalizací </w:t>
            </w:r>
            <w:smartTag w:uri="urn:schemas-microsoft-com:office:smarttags" w:element="metricconverter">
              <w:smartTagPr>
                <w:attr w:name="ProductID" w:val="220 mil"/>
              </w:smartTagPr>
              <w:r w:rsidRPr="002C224A">
                <w:t>220 mil</w:t>
              </w:r>
            </w:smartTag>
            <w:r w:rsidRPr="002C224A">
              <w:t>. USD, kam stát vložil menšinový podíl coby tzv. limited partner. Fond musí část svých investic alokovat do projektů bio-farmaceutických technologií. Hlavní váha státní podpory se přesouvá do fáze pre-seed.</w:t>
            </w:r>
          </w:p>
        </w:tc>
      </w:tr>
      <w:tr w:rsidR="006D67F1" w:rsidRPr="002C224A" w:rsidTr="006F771D">
        <w:trPr>
          <w:trHeight w:val="1260"/>
        </w:trPr>
        <w:tc>
          <w:tcPr>
            <w:tcW w:w="2000" w:type="dxa"/>
            <w:shd w:val="clear" w:color="auto" w:fill="548DD4"/>
            <w:noWrap/>
            <w:vAlign w:val="center"/>
          </w:tcPr>
          <w:p w:rsidR="006D67F1" w:rsidRPr="002C224A" w:rsidRDefault="006D67F1" w:rsidP="00823083">
            <w:pPr>
              <w:jc w:val="center"/>
              <w:rPr>
                <w:b/>
                <w:color w:val="FFFFFF"/>
              </w:rPr>
            </w:pPr>
            <w:r w:rsidRPr="002C224A">
              <w:rPr>
                <w:b/>
                <w:color w:val="FFFFFF"/>
              </w:rPr>
              <w:t>Německo (HTGF)</w:t>
            </w:r>
          </w:p>
        </w:tc>
        <w:tc>
          <w:tcPr>
            <w:tcW w:w="6800" w:type="dxa"/>
            <w:shd w:val="clear" w:color="auto" w:fill="FFFFFF"/>
            <w:noWrap/>
          </w:tcPr>
          <w:p w:rsidR="006D67F1" w:rsidRPr="002C224A" w:rsidRDefault="006D67F1" w:rsidP="00F014E7">
            <w:pPr>
              <w:rPr>
                <w:szCs w:val="22"/>
              </w:rPr>
            </w:pPr>
            <w:r w:rsidRPr="002C224A">
              <w:rPr>
                <w:szCs w:val="22"/>
              </w:rPr>
              <w:t xml:space="preserve">Německo představuje rozvinutý trh se silně decentralizovanou soustavou fondů rizikového kapitálu podle jednotlivých spolkových zemí. Charakteristické je zde </w:t>
            </w:r>
            <w:r w:rsidRPr="002C224A">
              <w:rPr>
                <w:b/>
                <w:szCs w:val="22"/>
              </w:rPr>
              <w:t>partnerství veřejného sektoru s domácím průmyslem</w:t>
            </w:r>
            <w:r w:rsidRPr="002C224A">
              <w:rPr>
                <w:szCs w:val="22"/>
              </w:rPr>
              <w:t xml:space="preserve">. Příkladem fondu, kde spolupracují veřejný a soukromý sektor je High-Tech Gründerfonds (HTGF) specializující se na seed investice do počáteční fáze podnikání startupů s vysokým růstovým potenciálem. Jedná se o nejaktivnější venture fond v Německu. K podílníkům HTG patří Spolkové ministerstvo hospodářství a energetiky, spolková rozvojová banka KfW a 12 soukromých průmyslových skupin. HTGF disponuje kapitálem ve výši cca </w:t>
            </w:r>
            <w:smartTag w:uri="urn:schemas-microsoft-com:office:smarttags" w:element="metricconverter">
              <w:smartTagPr>
                <w:attr w:name="ProductID" w:val="560,5 mil"/>
              </w:smartTagPr>
              <w:r w:rsidRPr="002C224A">
                <w:rPr>
                  <w:szCs w:val="22"/>
                </w:rPr>
                <w:t>560,5 mil</w:t>
              </w:r>
            </w:smartTag>
            <w:r w:rsidRPr="002C224A">
              <w:rPr>
                <w:szCs w:val="22"/>
              </w:rPr>
              <w:t>. EUR ve správě dvou svých fondů.</w:t>
            </w:r>
          </w:p>
          <w:p w:rsidR="006D67F1" w:rsidRPr="002C224A" w:rsidRDefault="006D67F1" w:rsidP="00823083">
            <w:pPr>
              <w:jc w:val="left"/>
              <w:rPr>
                <w:color w:val="000000"/>
              </w:rPr>
            </w:pPr>
          </w:p>
        </w:tc>
      </w:tr>
      <w:tr w:rsidR="006D67F1" w:rsidRPr="002C224A" w:rsidTr="006F771D">
        <w:trPr>
          <w:trHeight w:val="315"/>
        </w:trPr>
        <w:tc>
          <w:tcPr>
            <w:tcW w:w="2000" w:type="dxa"/>
            <w:shd w:val="clear" w:color="auto" w:fill="548DD4"/>
            <w:noWrap/>
            <w:vAlign w:val="center"/>
          </w:tcPr>
          <w:p w:rsidR="006D67F1" w:rsidRPr="002C224A" w:rsidRDefault="006D67F1" w:rsidP="00823083">
            <w:pPr>
              <w:jc w:val="center"/>
              <w:rPr>
                <w:b/>
                <w:color w:val="000000"/>
              </w:rPr>
            </w:pPr>
            <w:r w:rsidRPr="002C224A">
              <w:rPr>
                <w:b/>
                <w:color w:val="FFFFFF"/>
              </w:rPr>
              <w:t>Slovensko (Slovenský záručný a rozvojový fond)</w:t>
            </w:r>
          </w:p>
        </w:tc>
        <w:tc>
          <w:tcPr>
            <w:tcW w:w="6800" w:type="dxa"/>
            <w:shd w:val="clear" w:color="auto" w:fill="FFFFFF"/>
            <w:noWrap/>
          </w:tcPr>
          <w:p w:rsidR="006D67F1" w:rsidRPr="002C224A" w:rsidRDefault="006D67F1" w:rsidP="00F014E7">
            <w:r w:rsidRPr="002C224A">
              <w:rPr>
                <w:szCs w:val="22"/>
              </w:rPr>
              <w:t>Slovenská vláda využila v roce 2013 iniciativy JEREMIE k implementaci vlastního nástroje k podpoře rizikového kapitálu. Ten je založen na holdingovém fondu „</w:t>
            </w:r>
            <w:r w:rsidRPr="002C224A">
              <w:t>Slovenský záručný a rozvojový fond” (SZARF)</w:t>
            </w:r>
            <w:r w:rsidRPr="002C224A">
              <w:rPr>
                <w:b/>
              </w:rPr>
              <w:t xml:space="preserve"> spravovaném EIF</w:t>
            </w:r>
            <w:r w:rsidRPr="002C224A">
              <w:t>. Prostředky do něj (</w:t>
            </w:r>
            <w:smartTag w:uri="urn:schemas-microsoft-com:office:smarttags" w:element="metricconverter">
              <w:smartTagPr>
                <w:attr w:name="ProductID" w:val="100 mil"/>
              </w:smartTagPr>
              <w:r w:rsidRPr="002C224A">
                <w:t>100 mil</w:t>
              </w:r>
            </w:smartTag>
            <w:r w:rsidRPr="002C224A">
              <w:t>. EUR) byly vloženy ze tří OP a jsou určeny na podporu MSP formou návratných finančních nástrojů (úvěry, garance, rizikový kapitál).</w:t>
            </w:r>
          </w:p>
          <w:p w:rsidR="006D67F1" w:rsidRPr="002C224A" w:rsidRDefault="006D67F1" w:rsidP="00F014E7"/>
          <w:p w:rsidR="006D67F1" w:rsidRPr="002C224A" w:rsidRDefault="006D67F1" w:rsidP="00F014E7">
            <w:r w:rsidRPr="002C224A">
              <w:rPr>
                <w:b/>
              </w:rPr>
              <w:t xml:space="preserve">V rámci finančních nástrojů rizikového kapitálu poskytl SZARF/EIF prostředky do tří fondů s různým tematickým zacílením, k nimž vybral za manažery na jaře 2014 na základě výzvy dvě lokální slovenské společnosti </w:t>
            </w:r>
            <w:r w:rsidRPr="002C224A">
              <w:t xml:space="preserve">(Neulogy Ventures a Limerock Fund Managers). Fondy mají koinvestovat celkem </w:t>
            </w:r>
            <w:smartTag w:uri="urn:schemas-microsoft-com:office:smarttags" w:element="metricconverter">
              <w:smartTagPr>
                <w:attr w:name="ProductID" w:val="50 mil"/>
              </w:smartTagPr>
              <w:r w:rsidRPr="002C224A">
                <w:t>50 mil</w:t>
              </w:r>
            </w:smartTag>
            <w:r w:rsidRPr="002C224A">
              <w:t>. EUR do více než 50 MSP společně se soukromými investory, kteří se budou podílet minimálně z</w:t>
            </w:r>
            <w:r w:rsidR="009A4E97" w:rsidRPr="002C224A">
              <w:t xml:space="preserve"> </w:t>
            </w:r>
            <w:r w:rsidRPr="002C224A">
              <w:t xml:space="preserve"> 50 %. Celkově se tedy počítá s investovaným kapitálem přesahujícím </w:t>
            </w:r>
            <w:smartTag w:uri="urn:schemas-microsoft-com:office:smarttags" w:element="metricconverter">
              <w:smartTagPr>
                <w:attr w:name="ProductID" w:val="100 mil"/>
              </w:smartTagPr>
              <w:r w:rsidRPr="002C224A">
                <w:t>100 mil</w:t>
              </w:r>
            </w:smartTag>
            <w:r w:rsidRPr="002C224A">
              <w:t>. EUR. První investice v  současnosti probíhají.</w:t>
            </w:r>
          </w:p>
          <w:p w:rsidR="006D67F1" w:rsidRPr="002C224A" w:rsidRDefault="006D67F1" w:rsidP="00823083"/>
        </w:tc>
      </w:tr>
      <w:tr w:rsidR="006D67F1" w:rsidRPr="002C224A" w:rsidTr="006F771D">
        <w:trPr>
          <w:trHeight w:val="315"/>
        </w:trPr>
        <w:tc>
          <w:tcPr>
            <w:tcW w:w="2000" w:type="dxa"/>
            <w:shd w:val="clear" w:color="auto" w:fill="548DD4"/>
            <w:noWrap/>
            <w:vAlign w:val="center"/>
          </w:tcPr>
          <w:p w:rsidR="006D67F1" w:rsidRPr="002C224A" w:rsidRDefault="006D67F1" w:rsidP="00823083">
            <w:pPr>
              <w:jc w:val="center"/>
              <w:rPr>
                <w:b/>
                <w:color w:val="FFFFFF"/>
              </w:rPr>
            </w:pPr>
            <w:r w:rsidRPr="002C224A">
              <w:rPr>
                <w:b/>
                <w:color w:val="FFFFFF"/>
              </w:rPr>
              <w:t>Polsko (KFK, PFFW)</w:t>
            </w:r>
          </w:p>
        </w:tc>
        <w:tc>
          <w:tcPr>
            <w:tcW w:w="6800" w:type="dxa"/>
            <w:shd w:val="clear" w:color="auto" w:fill="FFFFFF"/>
            <w:noWrap/>
          </w:tcPr>
          <w:p w:rsidR="006D67F1" w:rsidRPr="002C224A" w:rsidRDefault="006D67F1" w:rsidP="0088767E">
            <w:r w:rsidRPr="002C224A">
              <w:t xml:space="preserve">Rizikový kapitál začal být vládou podporován v roce 2005, kdy byl zřízen Národní kapitálový fond (KFK) ve 100% vlastnictví Banky Gospodarstwa Krajowego (BGK - národní rozvojová banka). Tento </w:t>
            </w:r>
            <w:r w:rsidRPr="002C224A">
              <w:rPr>
                <w:b/>
              </w:rPr>
              <w:t>holdingový fond spravuje veřejné prostředky z ESIF i dalších zdrojů, které investuje společně s privátními prostředky do privátních venture fondů</w:t>
            </w:r>
            <w:r w:rsidRPr="002C224A">
              <w:t xml:space="preserve"> (aktivně se podílí na jejich fungování prostřednictvím zástupců v dozorčích radách) nikoliv přímo do cílových podniků. Tímto způsobem </w:t>
            </w:r>
            <w:r w:rsidRPr="002C224A">
              <w:rPr>
                <w:b/>
              </w:rPr>
              <w:t xml:space="preserve">spolupracuje už s 16 </w:t>
            </w:r>
            <w:r w:rsidRPr="002C224A">
              <w:rPr>
                <w:b/>
              </w:rPr>
              <w:lastRenderedPageBreak/>
              <w:t xml:space="preserve">fondy s celkovou kapitalizací </w:t>
            </w:r>
            <w:smartTag w:uri="urn:schemas-microsoft-com:office:smarttags" w:element="metricconverter">
              <w:smartTagPr>
                <w:attr w:name="ProductID" w:val="178 mil"/>
              </w:smartTagPr>
              <w:r w:rsidRPr="002C224A">
                <w:rPr>
                  <w:b/>
                </w:rPr>
                <w:t>178 mil</w:t>
              </w:r>
            </w:smartTag>
            <w:r w:rsidRPr="002C224A">
              <w:rPr>
                <w:b/>
              </w:rPr>
              <w:t>. EUR, které doposud provedly 72 investic.</w:t>
            </w:r>
          </w:p>
          <w:p w:rsidR="006D67F1" w:rsidRPr="002C224A" w:rsidRDefault="006D67F1" w:rsidP="0088767E"/>
          <w:p w:rsidR="006D67F1" w:rsidRPr="002C224A" w:rsidRDefault="006D67F1" w:rsidP="00237741">
            <w:r w:rsidRPr="002C224A">
              <w:rPr>
                <w:b/>
              </w:rPr>
              <w:t>V dubnu 2013 BGK spolu s EIF založila další fond fondů Polski Fundusz Funduszy Wzrostu (PFFW)</w:t>
            </w:r>
            <w:r w:rsidRPr="002C224A">
              <w:t xml:space="preserve">, který bude investovat do investičních portfolií zaměřených na začínající či rozvíjející se MSP. Prvotní vklady jsou ve výši </w:t>
            </w:r>
            <w:smartTag w:uri="urn:schemas-microsoft-com:office:smarttags" w:element="metricconverter">
              <w:smartTagPr>
                <w:attr w:name="ProductID" w:val="30 mil"/>
              </w:smartTagPr>
              <w:r w:rsidRPr="002C224A">
                <w:t>30 mil</w:t>
              </w:r>
            </w:smartTag>
            <w:r w:rsidRPr="002C224A">
              <w:t xml:space="preserve">. EUR z EIF a </w:t>
            </w:r>
            <w:smartTag w:uri="urn:schemas-microsoft-com:office:smarttags" w:element="metricconverter">
              <w:smartTagPr>
                <w:attr w:name="ProductID" w:val="60 mil"/>
              </w:smartTagPr>
              <w:r w:rsidRPr="002C224A">
                <w:t>60 mil</w:t>
              </w:r>
            </w:smartTag>
            <w:r w:rsidRPr="002C224A">
              <w:t xml:space="preserve">. EUR z BGK. K prostředkům obou podílníků by se měli opět přidat další privátní investoři s cílem dosáhnout kapitalizace až </w:t>
            </w:r>
            <w:smartTag w:uri="urn:schemas-microsoft-com:office:smarttags" w:element="metricconverter">
              <w:smartTagPr>
                <w:attr w:name="ProductID" w:val="180 mil"/>
              </w:smartTagPr>
              <w:r w:rsidRPr="002C224A">
                <w:t>180 mil</w:t>
              </w:r>
            </w:smartTag>
            <w:r w:rsidRPr="002C224A">
              <w:t>. EUR.</w:t>
            </w:r>
          </w:p>
        </w:tc>
      </w:tr>
    </w:tbl>
    <w:p w:rsidR="006D67F1" w:rsidRPr="002C224A" w:rsidRDefault="000857F9" w:rsidP="000857F9">
      <w:pPr>
        <w:pStyle w:val="Titulek"/>
      </w:pPr>
      <w:r w:rsidRPr="002C224A">
        <w:lastRenderedPageBreak/>
        <w:t xml:space="preserve">Tabulka </w:t>
      </w:r>
      <w:r w:rsidR="00F6076B">
        <w:t>90</w:t>
      </w:r>
      <w:r w:rsidRPr="002C224A">
        <w:t>: příklady zahraničních zkušeností s obdobnými FN</w:t>
      </w:r>
    </w:p>
    <w:p w:rsidR="00922874" w:rsidRDefault="00922874" w:rsidP="009920E2"/>
    <w:p w:rsidR="006D67F1" w:rsidRDefault="006D67F1" w:rsidP="009920E2">
      <w:r w:rsidRPr="00A50943">
        <w:t>Ve</w:t>
      </w:r>
      <w:r w:rsidRPr="002C224A">
        <w:t>řejné politiky stále více berou v úvahu komplementární roli neformálního „Business Angels“ (BA) trhu, zvláště v investičních oblastech, kde tradiční rizikový kapitál nebyl aktivní.</w:t>
      </w:r>
      <w:r w:rsidR="009A4E97" w:rsidRPr="002C224A">
        <w:t xml:space="preserve"> </w:t>
      </w:r>
      <w:r w:rsidRPr="002C224A">
        <w:t>Intervence k podpoře BA investic zahrnují daňové stimuly, novou legislativu v oblasti cenných papírů, capacity building investorů i podnikatelů, sítě BA i koinvestiční schémata.</w:t>
      </w:r>
    </w:p>
    <w:p w:rsidR="00922874" w:rsidRDefault="00922874" w:rsidP="009920E2"/>
    <w:p w:rsidR="00922874" w:rsidRDefault="00922874" w:rsidP="009920E2">
      <w:r>
        <w:t xml:space="preserve">Jako příklad úspěšného fungování fondu na ziskové bázi lze uvést fond META investující v několika italských regionech. </w:t>
      </w:r>
      <w:r w:rsidR="008D7419">
        <w:t xml:space="preserve">Uvedený fond zároveň representuje příklad investování i v následujících investičních kolech. Jak je zřejmé z tabulky níže, která ilustruje využití alokace </w:t>
      </w:r>
      <w:smartTag w:uri="urn:schemas-microsoft-com:office:smarttags" w:element="metricconverter">
        <w:smartTagPr>
          <w:attr w:name="ProductID" w:val="40 mil"/>
        </w:smartTagPr>
        <w:r w:rsidR="008D7419">
          <w:t>40 mil</w:t>
        </w:r>
      </w:smartTag>
      <w:r w:rsidR="008D7419">
        <w:t>. EUR (</w:t>
      </w:r>
      <w:smartTag w:uri="urn:schemas-microsoft-com:office:smarttags" w:element="metricconverter">
        <w:smartTagPr>
          <w:attr w:name="ProductID" w:val="8,9 mil"/>
        </w:smartTagPr>
        <w:r w:rsidR="008D7419">
          <w:t>8,9 mil</w:t>
        </w:r>
      </w:smartTag>
      <w:r w:rsidR="008D7419">
        <w:t>. EUR připadlo na management fees v roční výši 2 %), hlavní zisky generují další kola financování</w:t>
      </w:r>
      <w:r w:rsidR="00680362">
        <w:t>.</w:t>
      </w:r>
      <w:r w:rsidR="008D7419">
        <w:t xml:space="preserve"> </w:t>
      </w:r>
      <w:r w:rsidR="00680362">
        <w:t>N</w:t>
      </w:r>
      <w:r w:rsidR="008D7419">
        <w:t xml:space="preserve">aopak pro 1. kolo je </w:t>
      </w:r>
      <w:r w:rsidR="00680362">
        <w:t>charakteristická</w:t>
      </w:r>
      <w:r w:rsidR="008D7419">
        <w:t xml:space="preserve"> poměrně vysoká úmrtnost</w:t>
      </w:r>
      <w:r w:rsidR="00680362">
        <w:t xml:space="preserve"> projektů a tedy i ztráty</w:t>
      </w:r>
      <w:r w:rsidR="008D7419">
        <w:t>.</w:t>
      </w:r>
    </w:p>
    <w:p w:rsidR="00922874" w:rsidRDefault="00922874" w:rsidP="00922874">
      <w:pPr>
        <w:spacing w:after="120"/>
      </w:pPr>
    </w:p>
    <w:tbl>
      <w:tblPr>
        <w:tblW w:w="9118" w:type="dxa"/>
        <w:tblBorders>
          <w:bottom w:val="single" w:sz="4" w:space="0" w:color="00A1DE"/>
          <w:insideH w:val="single" w:sz="4" w:space="0" w:color="00A1DE"/>
        </w:tblBorders>
        <w:tblCellMar>
          <w:top w:w="28" w:type="dxa"/>
          <w:left w:w="28" w:type="dxa"/>
          <w:bottom w:w="28" w:type="dxa"/>
          <w:right w:w="28" w:type="dxa"/>
        </w:tblCellMar>
        <w:tblLook w:val="04A0" w:firstRow="1" w:lastRow="0" w:firstColumn="1" w:lastColumn="0" w:noHBand="0" w:noVBand="1"/>
      </w:tblPr>
      <w:tblGrid>
        <w:gridCol w:w="1026"/>
        <w:gridCol w:w="1026"/>
        <w:gridCol w:w="1026"/>
        <w:gridCol w:w="1447"/>
        <w:gridCol w:w="1573"/>
        <w:gridCol w:w="1447"/>
        <w:gridCol w:w="1573"/>
      </w:tblGrid>
      <w:tr w:rsidR="00922874" w:rsidRPr="00D24F3C" w:rsidTr="00D66D0C">
        <w:trPr>
          <w:trHeight w:val="264"/>
        </w:trPr>
        <w:tc>
          <w:tcPr>
            <w:tcW w:w="1026" w:type="dxa"/>
            <w:shd w:val="clear" w:color="auto" w:fill="FFFFFF"/>
            <w:noWrap/>
          </w:tcPr>
          <w:p w:rsidR="00922874" w:rsidRPr="00D66D0C" w:rsidRDefault="00922874" w:rsidP="00D66D0C">
            <w:pPr>
              <w:jc w:val="left"/>
              <w:rPr>
                <w:sz w:val="18"/>
                <w:szCs w:val="18"/>
              </w:rPr>
            </w:pPr>
          </w:p>
        </w:tc>
        <w:tc>
          <w:tcPr>
            <w:tcW w:w="1026" w:type="dxa"/>
            <w:shd w:val="clear" w:color="auto" w:fill="FFFFFF"/>
            <w:noWrap/>
            <w:vAlign w:val="center"/>
          </w:tcPr>
          <w:p w:rsidR="00922874" w:rsidRPr="00D66D0C" w:rsidRDefault="00922874" w:rsidP="00D66D0C">
            <w:pPr>
              <w:jc w:val="center"/>
              <w:rPr>
                <w:sz w:val="18"/>
                <w:szCs w:val="18"/>
              </w:rPr>
            </w:pPr>
            <w:r w:rsidRPr="00D66D0C">
              <w:rPr>
                <w:sz w:val="18"/>
                <w:szCs w:val="18"/>
              </w:rPr>
              <w:t>Výsledek investice</w:t>
            </w:r>
          </w:p>
        </w:tc>
        <w:tc>
          <w:tcPr>
            <w:tcW w:w="1026" w:type="dxa"/>
            <w:shd w:val="clear" w:color="auto" w:fill="FFFFFF"/>
            <w:noWrap/>
            <w:vAlign w:val="center"/>
          </w:tcPr>
          <w:p w:rsidR="00922874" w:rsidRPr="005E0C75" w:rsidRDefault="00922874" w:rsidP="00D66D0C">
            <w:pPr>
              <w:jc w:val="center"/>
              <w:rPr>
                <w:b/>
                <w:sz w:val="18"/>
                <w:szCs w:val="18"/>
              </w:rPr>
            </w:pPr>
            <w:r w:rsidRPr="005E0C75">
              <w:rPr>
                <w:b/>
                <w:sz w:val="18"/>
                <w:szCs w:val="18"/>
              </w:rPr>
              <w:t>Počet</w:t>
            </w:r>
          </w:p>
        </w:tc>
        <w:tc>
          <w:tcPr>
            <w:tcW w:w="1447" w:type="dxa"/>
            <w:shd w:val="clear" w:color="auto" w:fill="FFFFFF"/>
            <w:noWrap/>
            <w:vAlign w:val="center"/>
          </w:tcPr>
          <w:p w:rsidR="00922874" w:rsidRPr="00D66D0C" w:rsidRDefault="00922874" w:rsidP="00D66D0C">
            <w:pPr>
              <w:jc w:val="center"/>
              <w:rPr>
                <w:b/>
                <w:sz w:val="18"/>
                <w:szCs w:val="18"/>
              </w:rPr>
            </w:pPr>
            <w:r w:rsidRPr="00D66D0C">
              <w:rPr>
                <w:b/>
                <w:sz w:val="18"/>
                <w:szCs w:val="18"/>
              </w:rPr>
              <w:t>1. kolo</w:t>
            </w:r>
          </w:p>
        </w:tc>
        <w:tc>
          <w:tcPr>
            <w:tcW w:w="1573" w:type="dxa"/>
            <w:shd w:val="clear" w:color="auto" w:fill="FFFFFF"/>
            <w:noWrap/>
            <w:vAlign w:val="center"/>
          </w:tcPr>
          <w:p w:rsidR="00922874" w:rsidRPr="00D66D0C" w:rsidRDefault="00922874" w:rsidP="00D66D0C">
            <w:pPr>
              <w:jc w:val="center"/>
              <w:rPr>
                <w:b/>
                <w:sz w:val="18"/>
                <w:szCs w:val="18"/>
              </w:rPr>
            </w:pPr>
            <w:r w:rsidRPr="00D66D0C">
              <w:rPr>
                <w:b/>
                <w:sz w:val="18"/>
                <w:szCs w:val="18"/>
              </w:rPr>
              <w:t>2. kolo</w:t>
            </w:r>
          </w:p>
        </w:tc>
        <w:tc>
          <w:tcPr>
            <w:tcW w:w="1447" w:type="dxa"/>
            <w:shd w:val="clear" w:color="auto" w:fill="FFFFFF"/>
            <w:noWrap/>
            <w:vAlign w:val="center"/>
          </w:tcPr>
          <w:p w:rsidR="00922874" w:rsidRPr="008F6AF1" w:rsidRDefault="00922874" w:rsidP="00D66D0C">
            <w:pPr>
              <w:jc w:val="center"/>
              <w:rPr>
                <w:b/>
                <w:sz w:val="18"/>
                <w:szCs w:val="18"/>
              </w:rPr>
            </w:pPr>
            <w:r w:rsidRPr="008F6AF1">
              <w:rPr>
                <w:b/>
                <w:sz w:val="18"/>
                <w:szCs w:val="18"/>
              </w:rPr>
              <w:t>3. kolo</w:t>
            </w:r>
          </w:p>
        </w:tc>
        <w:tc>
          <w:tcPr>
            <w:tcW w:w="1573" w:type="dxa"/>
            <w:shd w:val="clear" w:color="auto" w:fill="FFFFFF"/>
            <w:noWrap/>
            <w:vAlign w:val="center"/>
          </w:tcPr>
          <w:p w:rsidR="00922874" w:rsidRPr="006E3EC6" w:rsidRDefault="00922874" w:rsidP="00D66D0C">
            <w:pPr>
              <w:jc w:val="center"/>
              <w:rPr>
                <w:b/>
                <w:sz w:val="18"/>
                <w:szCs w:val="18"/>
              </w:rPr>
            </w:pPr>
            <w:r w:rsidRPr="006E3EC6">
              <w:rPr>
                <w:b/>
                <w:sz w:val="18"/>
                <w:szCs w:val="18"/>
              </w:rPr>
              <w:t>Celkem</w:t>
            </w:r>
          </w:p>
        </w:tc>
      </w:tr>
      <w:tr w:rsidR="00922874" w:rsidRPr="00D24F3C" w:rsidTr="00D66D0C">
        <w:trPr>
          <w:trHeight w:val="264"/>
        </w:trPr>
        <w:tc>
          <w:tcPr>
            <w:tcW w:w="1026" w:type="dxa"/>
            <w:vMerge w:val="restart"/>
            <w:shd w:val="clear" w:color="auto" w:fill="FFFFFF"/>
            <w:noWrap/>
            <w:vAlign w:val="center"/>
          </w:tcPr>
          <w:p w:rsidR="00922874" w:rsidRPr="00D66D0C" w:rsidRDefault="00922874" w:rsidP="00D66D0C">
            <w:pPr>
              <w:jc w:val="left"/>
              <w:rPr>
                <w:color w:val="000000"/>
                <w:sz w:val="18"/>
                <w:szCs w:val="18"/>
              </w:rPr>
            </w:pPr>
            <w:r w:rsidRPr="00D66D0C">
              <w:rPr>
                <w:color w:val="000000"/>
                <w:sz w:val="18"/>
                <w:szCs w:val="18"/>
              </w:rPr>
              <w:t>Seed</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Ztrátový projekt</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5</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€ 100 000</w:t>
            </w:r>
          </w:p>
        </w:tc>
        <w:tc>
          <w:tcPr>
            <w:tcW w:w="1573" w:type="dxa"/>
            <w:shd w:val="clear" w:color="auto" w:fill="FFFFFF"/>
            <w:noWrap/>
            <w:vAlign w:val="center"/>
          </w:tcPr>
          <w:p w:rsidR="00922874" w:rsidRPr="00D66D0C" w:rsidRDefault="00922874" w:rsidP="00D66D0C">
            <w:pPr>
              <w:jc w:val="center"/>
              <w:rPr>
                <w:color w:val="000000"/>
                <w:sz w:val="18"/>
                <w:szCs w:val="18"/>
              </w:rPr>
            </w:pPr>
          </w:p>
        </w:tc>
        <w:tc>
          <w:tcPr>
            <w:tcW w:w="1447" w:type="dxa"/>
            <w:shd w:val="clear" w:color="auto" w:fill="FFFFFF"/>
            <w:noWrap/>
            <w:vAlign w:val="center"/>
          </w:tcPr>
          <w:p w:rsidR="00922874" w:rsidRPr="00D66D0C" w:rsidRDefault="00922874" w:rsidP="00D66D0C">
            <w:pPr>
              <w:jc w:val="center"/>
              <w:rPr>
                <w:sz w:val="18"/>
                <w:szCs w:val="18"/>
              </w:rPr>
            </w:pP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€ 500 000</w:t>
            </w:r>
          </w:p>
        </w:tc>
      </w:tr>
      <w:tr w:rsidR="00922874" w:rsidRPr="00D24F3C" w:rsidTr="00D66D0C">
        <w:trPr>
          <w:trHeight w:val="264"/>
        </w:trPr>
        <w:tc>
          <w:tcPr>
            <w:tcW w:w="1026" w:type="dxa"/>
            <w:vMerge/>
            <w:shd w:val="clear" w:color="auto" w:fill="FFFFFF"/>
            <w:vAlign w:val="center"/>
          </w:tcPr>
          <w:p w:rsidR="00922874" w:rsidRPr="00D66D0C" w:rsidRDefault="00922874" w:rsidP="00D66D0C">
            <w:pPr>
              <w:jc w:val="left"/>
              <w:rPr>
                <w:color w:val="000000"/>
                <w:sz w:val="18"/>
                <w:szCs w:val="18"/>
              </w:rPr>
            </w:pP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Návratný (money back)</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6</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€ 100 000</w:t>
            </w: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€ 250 000</w:t>
            </w:r>
          </w:p>
        </w:tc>
        <w:tc>
          <w:tcPr>
            <w:tcW w:w="1447" w:type="dxa"/>
            <w:shd w:val="clear" w:color="auto" w:fill="FFFFFF"/>
            <w:noWrap/>
            <w:vAlign w:val="center"/>
          </w:tcPr>
          <w:p w:rsidR="00922874" w:rsidRPr="00D66D0C" w:rsidRDefault="00922874" w:rsidP="00D66D0C">
            <w:pPr>
              <w:jc w:val="center"/>
              <w:rPr>
                <w:color w:val="000000"/>
                <w:sz w:val="18"/>
                <w:szCs w:val="18"/>
              </w:rPr>
            </w:pP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€ 2 100 000</w:t>
            </w:r>
          </w:p>
        </w:tc>
      </w:tr>
      <w:tr w:rsidR="00922874" w:rsidRPr="00D24F3C" w:rsidTr="00D66D0C">
        <w:trPr>
          <w:trHeight w:val="264"/>
        </w:trPr>
        <w:tc>
          <w:tcPr>
            <w:tcW w:w="1026" w:type="dxa"/>
            <w:vMerge/>
            <w:shd w:val="clear" w:color="auto" w:fill="FFFFFF"/>
            <w:vAlign w:val="center"/>
          </w:tcPr>
          <w:p w:rsidR="00922874" w:rsidRPr="00D66D0C" w:rsidRDefault="00922874" w:rsidP="00D66D0C">
            <w:pPr>
              <w:jc w:val="left"/>
              <w:rPr>
                <w:color w:val="000000"/>
                <w:sz w:val="18"/>
                <w:szCs w:val="18"/>
              </w:rPr>
            </w:pP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Ziskový</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4</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€ 100 000</w:t>
            </w: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€ 250 000</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€ 400 000</w:t>
            </w: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€ 3 000 000</w:t>
            </w:r>
          </w:p>
        </w:tc>
      </w:tr>
      <w:tr w:rsidR="00922874" w:rsidRPr="00D24F3C" w:rsidTr="00D66D0C">
        <w:trPr>
          <w:trHeight w:val="264"/>
        </w:trPr>
        <w:tc>
          <w:tcPr>
            <w:tcW w:w="1026" w:type="dxa"/>
            <w:vMerge w:val="restart"/>
            <w:shd w:val="clear" w:color="auto" w:fill="FFFFFF"/>
            <w:noWrap/>
            <w:vAlign w:val="center"/>
          </w:tcPr>
          <w:p w:rsidR="00922874" w:rsidRPr="00D66D0C" w:rsidRDefault="00922874" w:rsidP="00D66D0C">
            <w:pPr>
              <w:jc w:val="left"/>
              <w:rPr>
                <w:color w:val="000000"/>
                <w:sz w:val="18"/>
                <w:szCs w:val="18"/>
              </w:rPr>
            </w:pPr>
            <w:r w:rsidRPr="00D66D0C">
              <w:rPr>
                <w:color w:val="000000"/>
                <w:sz w:val="18"/>
                <w:szCs w:val="18"/>
              </w:rPr>
              <w:t>Startup</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Ztrátový projekt</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2</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€ 500 000</w:t>
            </w:r>
          </w:p>
        </w:tc>
        <w:tc>
          <w:tcPr>
            <w:tcW w:w="1573" w:type="dxa"/>
            <w:shd w:val="clear" w:color="auto" w:fill="FFFFFF"/>
            <w:noWrap/>
            <w:vAlign w:val="center"/>
          </w:tcPr>
          <w:p w:rsidR="00922874" w:rsidRPr="00D66D0C" w:rsidRDefault="00922874" w:rsidP="00D66D0C">
            <w:pPr>
              <w:jc w:val="center"/>
              <w:rPr>
                <w:color w:val="000000"/>
                <w:sz w:val="18"/>
                <w:szCs w:val="18"/>
              </w:rPr>
            </w:pPr>
          </w:p>
        </w:tc>
        <w:tc>
          <w:tcPr>
            <w:tcW w:w="1447" w:type="dxa"/>
            <w:shd w:val="clear" w:color="auto" w:fill="FFFFFF"/>
            <w:noWrap/>
            <w:vAlign w:val="center"/>
          </w:tcPr>
          <w:p w:rsidR="00922874" w:rsidRPr="00D66D0C" w:rsidRDefault="00922874" w:rsidP="00D66D0C">
            <w:pPr>
              <w:jc w:val="center"/>
              <w:rPr>
                <w:sz w:val="18"/>
                <w:szCs w:val="18"/>
              </w:rPr>
            </w:pP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€ 1 000 000</w:t>
            </w:r>
          </w:p>
        </w:tc>
      </w:tr>
      <w:tr w:rsidR="00922874" w:rsidRPr="00D24F3C" w:rsidTr="00D66D0C">
        <w:trPr>
          <w:trHeight w:val="264"/>
        </w:trPr>
        <w:tc>
          <w:tcPr>
            <w:tcW w:w="1026" w:type="dxa"/>
            <w:vMerge/>
            <w:shd w:val="clear" w:color="auto" w:fill="FFFFFF"/>
          </w:tcPr>
          <w:p w:rsidR="00922874" w:rsidRPr="00D66D0C" w:rsidRDefault="00922874" w:rsidP="00D66D0C">
            <w:pPr>
              <w:jc w:val="left"/>
              <w:rPr>
                <w:color w:val="000000"/>
                <w:sz w:val="18"/>
                <w:szCs w:val="18"/>
              </w:rPr>
            </w:pP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Návratný (money back)</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8</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€ 500 000</w:t>
            </w: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€ 1 000 000</w:t>
            </w:r>
          </w:p>
        </w:tc>
        <w:tc>
          <w:tcPr>
            <w:tcW w:w="1447" w:type="dxa"/>
            <w:shd w:val="clear" w:color="auto" w:fill="FFFFFF"/>
            <w:noWrap/>
            <w:vAlign w:val="center"/>
          </w:tcPr>
          <w:p w:rsidR="00922874" w:rsidRPr="00D66D0C" w:rsidRDefault="00922874" w:rsidP="00D66D0C">
            <w:pPr>
              <w:jc w:val="center"/>
              <w:rPr>
                <w:color w:val="000000"/>
                <w:sz w:val="18"/>
                <w:szCs w:val="18"/>
              </w:rPr>
            </w:pP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€ 12 000 000</w:t>
            </w:r>
          </w:p>
        </w:tc>
      </w:tr>
      <w:tr w:rsidR="00922874" w:rsidRPr="00D24F3C" w:rsidTr="00D66D0C">
        <w:trPr>
          <w:trHeight w:val="264"/>
        </w:trPr>
        <w:tc>
          <w:tcPr>
            <w:tcW w:w="1026" w:type="dxa"/>
            <w:vMerge/>
            <w:shd w:val="clear" w:color="auto" w:fill="FFFFFF"/>
          </w:tcPr>
          <w:p w:rsidR="00922874" w:rsidRPr="00D66D0C" w:rsidRDefault="00922874" w:rsidP="00D66D0C">
            <w:pPr>
              <w:jc w:val="left"/>
              <w:rPr>
                <w:color w:val="000000"/>
                <w:sz w:val="18"/>
                <w:szCs w:val="18"/>
              </w:rPr>
            </w:pP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Ziskový</w:t>
            </w:r>
          </w:p>
        </w:tc>
        <w:tc>
          <w:tcPr>
            <w:tcW w:w="1026"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5</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€ 500 000</w:t>
            </w: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€ 1 000 000</w:t>
            </w:r>
          </w:p>
        </w:tc>
        <w:tc>
          <w:tcPr>
            <w:tcW w:w="1447"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€ 1 000 000</w:t>
            </w:r>
          </w:p>
        </w:tc>
        <w:tc>
          <w:tcPr>
            <w:tcW w:w="1573" w:type="dxa"/>
            <w:shd w:val="clear" w:color="auto" w:fill="FFFFFF"/>
            <w:noWrap/>
            <w:vAlign w:val="center"/>
          </w:tcPr>
          <w:p w:rsidR="00922874" w:rsidRPr="00D66D0C" w:rsidRDefault="00922874" w:rsidP="00D66D0C">
            <w:pPr>
              <w:jc w:val="center"/>
              <w:rPr>
                <w:color w:val="000000"/>
                <w:sz w:val="18"/>
                <w:szCs w:val="18"/>
              </w:rPr>
            </w:pPr>
            <w:r w:rsidRPr="00D66D0C">
              <w:rPr>
                <w:color w:val="000000"/>
                <w:sz w:val="18"/>
                <w:szCs w:val="18"/>
              </w:rPr>
              <w:t>€ 12 500 000</w:t>
            </w:r>
          </w:p>
        </w:tc>
      </w:tr>
      <w:tr w:rsidR="00922874" w:rsidRPr="00D24F3C" w:rsidTr="00D66D0C">
        <w:trPr>
          <w:trHeight w:val="264"/>
        </w:trPr>
        <w:tc>
          <w:tcPr>
            <w:tcW w:w="1026" w:type="dxa"/>
            <w:shd w:val="clear" w:color="auto" w:fill="FFFFFF"/>
            <w:noWrap/>
          </w:tcPr>
          <w:p w:rsidR="00922874" w:rsidRPr="00D66D0C" w:rsidRDefault="00922874" w:rsidP="00D66D0C">
            <w:pPr>
              <w:jc w:val="left"/>
              <w:rPr>
                <w:b/>
                <w:bCs/>
                <w:color w:val="000000"/>
                <w:sz w:val="18"/>
                <w:szCs w:val="18"/>
              </w:rPr>
            </w:pPr>
            <w:r w:rsidRPr="00D66D0C">
              <w:rPr>
                <w:b/>
                <w:bCs/>
                <w:color w:val="000000"/>
                <w:sz w:val="18"/>
                <w:szCs w:val="18"/>
              </w:rPr>
              <w:t>Celkem</w:t>
            </w:r>
          </w:p>
        </w:tc>
        <w:tc>
          <w:tcPr>
            <w:tcW w:w="1026" w:type="dxa"/>
            <w:shd w:val="clear" w:color="auto" w:fill="FFFFFF"/>
            <w:noWrap/>
            <w:vAlign w:val="center"/>
          </w:tcPr>
          <w:p w:rsidR="00922874" w:rsidRPr="00D66D0C" w:rsidRDefault="00922874" w:rsidP="00D66D0C">
            <w:pPr>
              <w:jc w:val="center"/>
              <w:rPr>
                <w:b/>
                <w:bCs/>
                <w:color w:val="000000"/>
                <w:sz w:val="18"/>
                <w:szCs w:val="18"/>
              </w:rPr>
            </w:pPr>
          </w:p>
        </w:tc>
        <w:tc>
          <w:tcPr>
            <w:tcW w:w="1026" w:type="dxa"/>
            <w:shd w:val="clear" w:color="auto" w:fill="FFFFFF"/>
            <w:noWrap/>
            <w:vAlign w:val="center"/>
          </w:tcPr>
          <w:p w:rsidR="00922874" w:rsidRPr="00D66D0C" w:rsidRDefault="00922874" w:rsidP="00D66D0C">
            <w:pPr>
              <w:jc w:val="center"/>
              <w:rPr>
                <w:b/>
                <w:bCs/>
                <w:color w:val="000000"/>
                <w:sz w:val="18"/>
                <w:szCs w:val="18"/>
              </w:rPr>
            </w:pPr>
            <w:r w:rsidRPr="00D66D0C">
              <w:rPr>
                <w:b/>
                <w:bCs/>
                <w:color w:val="000000"/>
                <w:sz w:val="18"/>
                <w:szCs w:val="18"/>
              </w:rPr>
              <w:t>30</w:t>
            </w:r>
          </w:p>
        </w:tc>
        <w:tc>
          <w:tcPr>
            <w:tcW w:w="1447" w:type="dxa"/>
            <w:shd w:val="clear" w:color="auto" w:fill="FFFFFF"/>
            <w:noWrap/>
            <w:vAlign w:val="center"/>
          </w:tcPr>
          <w:p w:rsidR="00922874" w:rsidRPr="00D66D0C" w:rsidRDefault="00922874" w:rsidP="00D66D0C">
            <w:pPr>
              <w:jc w:val="center"/>
              <w:rPr>
                <w:b/>
                <w:bCs/>
                <w:color w:val="000000"/>
                <w:sz w:val="18"/>
                <w:szCs w:val="18"/>
              </w:rPr>
            </w:pPr>
            <w:r w:rsidRPr="00D66D0C">
              <w:rPr>
                <w:b/>
                <w:bCs/>
                <w:color w:val="000000"/>
                <w:sz w:val="18"/>
                <w:szCs w:val="18"/>
              </w:rPr>
              <w:t>€ 9 000 000</w:t>
            </w:r>
          </w:p>
        </w:tc>
        <w:tc>
          <w:tcPr>
            <w:tcW w:w="1573" w:type="dxa"/>
            <w:shd w:val="clear" w:color="auto" w:fill="FFFFFF"/>
            <w:noWrap/>
            <w:vAlign w:val="center"/>
          </w:tcPr>
          <w:p w:rsidR="00922874" w:rsidRPr="00D66D0C" w:rsidRDefault="00922874" w:rsidP="00D66D0C">
            <w:pPr>
              <w:jc w:val="center"/>
              <w:rPr>
                <w:b/>
                <w:bCs/>
                <w:color w:val="000000"/>
                <w:sz w:val="18"/>
                <w:szCs w:val="18"/>
              </w:rPr>
            </w:pPr>
            <w:r w:rsidRPr="00D66D0C">
              <w:rPr>
                <w:b/>
                <w:bCs/>
                <w:color w:val="000000"/>
                <w:sz w:val="18"/>
                <w:szCs w:val="18"/>
              </w:rPr>
              <w:t>€ 15 500 000</w:t>
            </w:r>
          </w:p>
        </w:tc>
        <w:tc>
          <w:tcPr>
            <w:tcW w:w="1447" w:type="dxa"/>
            <w:shd w:val="clear" w:color="auto" w:fill="FFFFFF"/>
            <w:noWrap/>
            <w:vAlign w:val="center"/>
          </w:tcPr>
          <w:p w:rsidR="00922874" w:rsidRPr="00D66D0C" w:rsidRDefault="00922874" w:rsidP="00D66D0C">
            <w:pPr>
              <w:jc w:val="center"/>
              <w:rPr>
                <w:b/>
                <w:bCs/>
                <w:color w:val="000000"/>
                <w:sz w:val="18"/>
                <w:szCs w:val="18"/>
              </w:rPr>
            </w:pPr>
            <w:r w:rsidRPr="00D66D0C">
              <w:rPr>
                <w:b/>
                <w:bCs/>
                <w:color w:val="000000"/>
                <w:sz w:val="18"/>
                <w:szCs w:val="18"/>
              </w:rPr>
              <w:t>€ 6 600 000</w:t>
            </w:r>
          </w:p>
        </w:tc>
        <w:tc>
          <w:tcPr>
            <w:tcW w:w="1573" w:type="dxa"/>
            <w:shd w:val="clear" w:color="auto" w:fill="FFFFFF"/>
            <w:noWrap/>
            <w:vAlign w:val="center"/>
          </w:tcPr>
          <w:p w:rsidR="00922874" w:rsidRPr="00D66D0C" w:rsidRDefault="00922874" w:rsidP="00D66D0C">
            <w:pPr>
              <w:jc w:val="center"/>
              <w:rPr>
                <w:b/>
                <w:bCs/>
                <w:color w:val="000000"/>
                <w:sz w:val="18"/>
                <w:szCs w:val="18"/>
              </w:rPr>
            </w:pPr>
            <w:r w:rsidRPr="00D66D0C">
              <w:rPr>
                <w:b/>
                <w:bCs/>
                <w:color w:val="000000"/>
                <w:sz w:val="18"/>
                <w:szCs w:val="18"/>
              </w:rPr>
              <w:t>€ 31 100 000</w:t>
            </w:r>
          </w:p>
        </w:tc>
      </w:tr>
    </w:tbl>
    <w:p w:rsidR="00922874" w:rsidRDefault="00922874" w:rsidP="00331BB7">
      <w:pPr>
        <w:pStyle w:val="Titulek"/>
        <w:jc w:val="left"/>
      </w:pPr>
      <w:r>
        <w:t xml:space="preserve">Tabulka </w:t>
      </w:r>
      <w:r w:rsidR="00F6076B">
        <w:t>91</w:t>
      </w:r>
      <w:r>
        <w:t xml:space="preserve"> - Vícekolové financování fondem META</w:t>
      </w:r>
    </w:p>
    <w:p w:rsidR="00922874" w:rsidRDefault="00922874" w:rsidP="00922874">
      <w:pPr>
        <w:spacing w:after="120"/>
      </w:pPr>
    </w:p>
    <w:p w:rsidR="006D67F1" w:rsidRPr="002C224A" w:rsidRDefault="006D67F1" w:rsidP="009920E2">
      <w:pPr>
        <w:pStyle w:val="Nadpis4"/>
        <w:rPr>
          <w:rFonts w:ascii="Calibri" w:hAnsi="Calibri"/>
        </w:rPr>
      </w:pPr>
      <w:r w:rsidRPr="002C224A">
        <w:rPr>
          <w:rFonts w:ascii="Calibri" w:hAnsi="Calibri"/>
        </w:rPr>
        <w:t>Aplikace zkušeností na současné podmínky</w:t>
      </w:r>
    </w:p>
    <w:p w:rsidR="005B0CD0" w:rsidRPr="002C224A" w:rsidRDefault="006D67F1" w:rsidP="005B0CD0">
      <w:pPr>
        <w:overflowPunct/>
        <w:autoSpaceDE/>
        <w:autoSpaceDN/>
        <w:adjustRightInd/>
        <w:textAlignment w:val="auto"/>
      </w:pPr>
      <w:r w:rsidRPr="00A50943">
        <w:t xml:space="preserve">Funkční schéma podpory MSP dluhovými nástroji v minulém období tvoří dobrý výchozí bod pro nastavení finančních </w:t>
      </w:r>
      <w:r w:rsidRPr="002C224A">
        <w:t>nástrojů též v OP PIK. Ověřitelné je zde efektivní zapojení soukromých úvěrujících institucí i veřejného bankovního subjektu ve formě ČMZRB, který pro současné programovací období disponuje v této oblasti dostatečným know-how a zkušeností.</w:t>
      </w:r>
      <w:r w:rsidR="005B0CD0" w:rsidRPr="002C224A">
        <w:t xml:space="preserve"> Z minulých zkušeností nicméně vyplývá nutnost velmi obezřetně přistupovat k daných legislativním pravidlům pro nastavení FN v OP PIK.</w:t>
      </w:r>
    </w:p>
    <w:p w:rsidR="006D67F1" w:rsidRPr="002C224A" w:rsidRDefault="006D67F1" w:rsidP="006F771D">
      <w:pPr>
        <w:overflowPunct/>
        <w:autoSpaceDE/>
        <w:autoSpaceDN/>
        <w:adjustRightInd/>
        <w:textAlignment w:val="auto"/>
      </w:pPr>
    </w:p>
    <w:p w:rsidR="003F1913" w:rsidRDefault="006D67F1" w:rsidP="00DD1E5E">
      <w:pPr>
        <w:overflowPunct/>
        <w:autoSpaceDE/>
        <w:autoSpaceDN/>
        <w:adjustRightInd/>
        <w:textAlignment w:val="auto"/>
      </w:pPr>
      <w:r w:rsidRPr="002C224A">
        <w:t xml:space="preserve">Zahraniční zkušenosti s rizikovým kapitálem dokládají velmi pozitivní vliv efektivně směřované veřejné podpory. Nutnou podmínkou úspěchu je profesionální management a účast soukromých investorů. Státní fond by v žádném případě neměl vytlačovat soukromý kapitál. V zahraničí ověřenou formou investiční strategie je státní fond fondů, který investuje do jednotlivých vybraných soukromých venture fondů s danou investiční strategií. Funkční alternativou mohou být též přímé koinvestice se </w:t>
      </w:r>
      <w:r w:rsidRPr="002C224A">
        <w:lastRenderedPageBreak/>
        <w:t>soukromými investory. Zahraniční zkušenosti dokládají významný potenciál pákového efektu formou zapojení soukromých investic nejen na bázi koinvestování, ale též dalších investic soukromých investorů na úrovni fondů.</w:t>
      </w:r>
      <w:r w:rsidR="00DD1E5E" w:rsidRPr="002C224A">
        <w:t xml:space="preserve"> Zkušenost s pokusem o realizování podpory v minulém období zároveň ukazuje časová i kvalitativní rizika v případě výběrového řízení na soukromého správce FN v podmínkách českého trhu.</w:t>
      </w:r>
      <w:r w:rsidR="003F1913">
        <w:t xml:space="preserve"> Ztráty fondu budou závislé i na zvolené investiční strategii. K jejich omezení je možné zvážit též investování fondu v dalších investičních kolech.</w:t>
      </w:r>
    </w:p>
    <w:p w:rsidR="006D67F1" w:rsidRPr="002C224A" w:rsidRDefault="006D67F1" w:rsidP="006F771D">
      <w:pPr>
        <w:overflowPunct/>
        <w:autoSpaceDE/>
        <w:autoSpaceDN/>
        <w:adjustRightInd/>
        <w:textAlignment w:val="auto"/>
      </w:pPr>
    </w:p>
    <w:p w:rsidR="006D67F1" w:rsidRPr="002C224A" w:rsidRDefault="006D67F1" w:rsidP="009920E2">
      <w:pPr>
        <w:pStyle w:val="Nadpis3"/>
        <w:rPr>
          <w:rFonts w:ascii="Calibri" w:hAnsi="Calibri"/>
        </w:rPr>
      </w:pPr>
      <w:bookmarkStart w:id="971" w:name="_Toc421534318"/>
      <w:r w:rsidRPr="002C224A">
        <w:rPr>
          <w:rFonts w:ascii="Calibri" w:hAnsi="Calibri"/>
        </w:rPr>
        <w:t>Specifický cíl 2.3</w:t>
      </w:r>
      <w:bookmarkEnd w:id="971"/>
    </w:p>
    <w:p w:rsidR="006D67F1" w:rsidRPr="002C224A" w:rsidRDefault="006D67F1" w:rsidP="009920E2">
      <w:pPr>
        <w:pStyle w:val="Nadpis4"/>
        <w:rPr>
          <w:rFonts w:ascii="Calibri" w:hAnsi="Calibri"/>
        </w:rPr>
      </w:pPr>
      <w:r w:rsidRPr="002C224A">
        <w:rPr>
          <w:rFonts w:ascii="Calibri" w:hAnsi="Calibri"/>
        </w:rPr>
        <w:t>Závěry vyvozené z implementace podobných nástrojů v minulosti</w:t>
      </w:r>
    </w:p>
    <w:p w:rsidR="006D67F1" w:rsidRPr="002C224A" w:rsidRDefault="006D67F1" w:rsidP="006F771D">
      <w:pPr>
        <w:rPr>
          <w:lang w:eastAsia="en-US"/>
        </w:rPr>
      </w:pPr>
      <w:r w:rsidRPr="00A50943">
        <w:rPr>
          <w:lang w:eastAsia="en-US"/>
        </w:rPr>
        <w:t>Dotační programy na podporu Brownfields byly v minulém období vy</w:t>
      </w:r>
      <w:r w:rsidRPr="002C224A">
        <w:rPr>
          <w:lang w:eastAsia="en-US"/>
        </w:rPr>
        <w:t>užívány nejen v OP PI, ale též v dalších programech. Zájem o dotační podporu ve všech případech výrazně převážil nabídku zdrojů, což bylo dáno i úrovní dotační podpory.</w:t>
      </w:r>
    </w:p>
    <w:p w:rsidR="006D67F1" w:rsidRPr="002C224A" w:rsidRDefault="006D67F1" w:rsidP="006F771D">
      <w:pPr>
        <w:rPr>
          <w:lang w:eastAsia="en-US"/>
        </w:rPr>
      </w:pPr>
    </w:p>
    <w:p w:rsidR="006D67F1" w:rsidRPr="002C224A" w:rsidRDefault="006D67F1" w:rsidP="006F771D">
      <w:pPr>
        <w:rPr>
          <w:lang w:eastAsia="en-US"/>
        </w:rPr>
      </w:pPr>
      <w:r w:rsidRPr="002C224A">
        <w:rPr>
          <w:lang w:eastAsia="en-US"/>
        </w:rPr>
        <w:t>V programu Nemovitosti OP PI, který směřoval na podnikatelské subjekty a nemovitosti, byly dotační podporou iniciovány v této oblasti významné investice. Problematickým aspektem jeho výsledků byly nicméně hodnotící kritéria výběru a charakter některých podpořených projektů. Dotační formou byly podpořeny i relativně méně nákladné a efektivní rekonstrukce stávajících částečně používaných podnikatelských nemovitostí, pro něž se jeví tato forma podpory jako neadekvátní. Program tak podpořil skutečně obtížně regenerovatelné brownfieldy pouze v omezené míře.</w:t>
      </w:r>
    </w:p>
    <w:p w:rsidR="006D67F1" w:rsidRPr="002C224A" w:rsidRDefault="006D67F1" w:rsidP="006F771D">
      <w:pPr>
        <w:rPr>
          <w:lang w:eastAsia="en-US"/>
        </w:rPr>
      </w:pPr>
    </w:p>
    <w:p w:rsidR="00D454E1" w:rsidRDefault="006D67F1" w:rsidP="006F771D">
      <w:pPr>
        <w:rPr>
          <w:lang w:eastAsia="en-US"/>
        </w:rPr>
      </w:pPr>
      <w:r w:rsidRPr="002C224A">
        <w:rPr>
          <w:lang w:eastAsia="en-US"/>
        </w:rPr>
        <w:t xml:space="preserve">Rekonstrukce podnikatelských nemovitostí byly zároveň v mnoha případech předmětem též </w:t>
      </w:r>
      <w:r w:rsidRPr="002C224A">
        <w:rPr>
          <w:b/>
          <w:lang w:eastAsia="en-US"/>
        </w:rPr>
        <w:t xml:space="preserve">úvěrových a záručních programů ČMZRB </w:t>
      </w:r>
      <w:r w:rsidRPr="002C224A">
        <w:rPr>
          <w:lang w:eastAsia="en-US"/>
        </w:rPr>
        <w:t>(v rámci OP PI i národních programů, viz podkap. 6.1.4). Stavební náklady byly jednou z hlavních položek podporovaných projektů, dle vyjádření ČMZRB přitom rekonstrukce činil</w:t>
      </w:r>
      <w:r w:rsidR="00D454E1">
        <w:rPr>
          <w:lang w:eastAsia="en-US"/>
        </w:rPr>
        <w:t>y</w:t>
      </w:r>
      <w:r w:rsidRPr="002C224A">
        <w:rPr>
          <w:lang w:eastAsia="en-US"/>
        </w:rPr>
        <w:t xml:space="preserve"> nezanedbatelnou čás</w:t>
      </w:r>
      <w:r w:rsidR="00D454E1">
        <w:rPr>
          <w:lang w:eastAsia="en-US"/>
        </w:rPr>
        <w:t>ti – byť se jednalo v porovnání s typovými projekty SC 2.3 zpravidla o projekty výrazně menšího rozsahu. Tato minulá praxe dokládá možnost podpory určitého druhu rekonstrukcí starších objektů finančním nástrojem, zároveň ukazuje potřebu důkladnějšího vymezení jednotlivých oblastí podpory pro příští programovací období.</w:t>
      </w:r>
    </w:p>
    <w:p w:rsidR="006D67F1" w:rsidRPr="002C224A" w:rsidRDefault="006D67F1" w:rsidP="006F771D">
      <w:pPr>
        <w:rPr>
          <w:lang w:eastAsia="en-US"/>
        </w:rPr>
      </w:pPr>
    </w:p>
    <w:p w:rsidR="006D67F1" w:rsidRPr="002C224A" w:rsidRDefault="00037B07" w:rsidP="00655D59">
      <w:r>
        <w:rPr>
          <w:lang w:eastAsia="en-US"/>
        </w:rPr>
        <w:lastRenderedPageBreak/>
        <w:t>Z</w:t>
      </w:r>
      <w:r w:rsidR="006D67F1" w:rsidRPr="002C224A">
        <w:rPr>
          <w:lang w:eastAsia="en-US"/>
        </w:rPr>
        <w:t xml:space="preserve">kušenost s </w:t>
      </w:r>
      <w:r>
        <w:t>FN</w:t>
      </w:r>
      <w:r w:rsidR="006D67F1" w:rsidRPr="002C224A">
        <w:t xml:space="preserve"> v</w:t>
      </w:r>
      <w:r>
        <w:t> </w:t>
      </w:r>
      <w:r w:rsidR="006D67F1" w:rsidRPr="002C224A">
        <w:t>ČR</w:t>
      </w:r>
      <w:r>
        <w:t xml:space="preserve"> specificky pro oblast brownfields</w:t>
      </w:r>
      <w:r w:rsidR="006D67F1" w:rsidRPr="002C224A">
        <w:t xml:space="preserve"> představoval </w:t>
      </w:r>
      <w:r w:rsidR="006D67F1" w:rsidRPr="002C224A">
        <w:rPr>
          <w:b/>
        </w:rPr>
        <w:t>holdingový fond JESSICA v Moravskoslezském kraji</w:t>
      </w:r>
      <w:r w:rsidR="006D67F1" w:rsidRPr="002C224A">
        <w:t xml:space="preserve"> vytvořený za účelem investování do Fondu rozvoje měst</w:t>
      </w:r>
      <w:r w:rsidR="006D67F1" w:rsidRPr="002C224A">
        <w:rPr>
          <w:rStyle w:val="Znakapoznpodarou"/>
          <w:rFonts w:ascii="Calibri" w:hAnsi="Calibri"/>
        </w:rPr>
        <w:footnoteReference w:id="50"/>
      </w:r>
      <w:r>
        <w:t>. O</w:t>
      </w:r>
      <w:r w:rsidR="006D67F1" w:rsidRPr="00A50943">
        <w:t xml:space="preserve">d 1. 1. 2014 </w:t>
      </w:r>
      <w:r>
        <w:t xml:space="preserve">je spravován </w:t>
      </w:r>
      <w:r w:rsidR="006D67F1" w:rsidRPr="00A50943">
        <w:t xml:space="preserve">v rámci Úřadu regionální rady Moravskoslezsko oddělení finančního nástroje JESSICA. </w:t>
      </w:r>
      <w:r>
        <w:t>V rámci JESSICA funguje fond z</w:t>
      </w:r>
      <w:r w:rsidR="006D67F1" w:rsidRPr="002C224A">
        <w:t>aložen</w:t>
      </w:r>
      <w:r>
        <w:t>ý</w:t>
      </w:r>
      <w:r w:rsidR="006D67F1" w:rsidRPr="002C224A">
        <w:t xml:space="preserve"> jako soukromoprávní obchodní společnost, správcem fondu je </w:t>
      </w:r>
      <w:r>
        <w:t xml:space="preserve">soukromá </w:t>
      </w:r>
      <w:r w:rsidR="006D67F1" w:rsidRPr="002C224A">
        <w:t>rozvojová společnost CONTERA Management s.r.o. Prostředky byly do fondu vloženy formou bezúročné</w:t>
      </w:r>
      <w:r w:rsidR="00D014D3">
        <w:t>ho</w:t>
      </w:r>
      <w:r w:rsidR="006D67F1" w:rsidRPr="002C224A">
        <w:t xml:space="preserve"> termínované</w:t>
      </w:r>
      <w:r w:rsidR="00D014D3">
        <w:t>ho</w:t>
      </w:r>
      <w:r w:rsidR="006D67F1" w:rsidRPr="002C224A">
        <w:t xml:space="preserve"> </w:t>
      </w:r>
      <w:r w:rsidR="00D014D3">
        <w:t>úvěru</w:t>
      </w:r>
      <w:r w:rsidR="006D67F1" w:rsidRPr="002C224A">
        <w:t>.</w:t>
      </w:r>
      <w:r w:rsidR="003B7609" w:rsidRPr="002C224A">
        <w:t xml:space="preserve"> </w:t>
      </w:r>
      <w:r w:rsidR="006D67F1" w:rsidRPr="002C224A">
        <w:t xml:space="preserve">Fond poskytuje dlouhodobé seniorní úvěry se sníženo úrokovou sazbou, a to na projekty regenerace BF a výstavbu podnikatelské infrastruktury. Fond financuje projekty pouze v rámci regionu Moravskoslezsko. Alokace fondu je cca. </w:t>
      </w:r>
      <w:smartTag w:uri="urn:schemas-microsoft-com:office:smarttags" w:element="metricconverter">
        <w:smartTagPr>
          <w:attr w:name="ProductID" w:val="420 mil"/>
        </w:smartTagPr>
        <w:r w:rsidR="006D67F1" w:rsidRPr="002C224A">
          <w:t>420 mil</w:t>
        </w:r>
      </w:smartTag>
      <w:r w:rsidR="006D67F1" w:rsidRPr="002C224A">
        <w:t>. Kč.</w:t>
      </w:r>
    </w:p>
    <w:p w:rsidR="006D67F1" w:rsidRPr="002C224A" w:rsidRDefault="006D67F1" w:rsidP="00655D59"/>
    <w:p w:rsidR="006D67F1" w:rsidRPr="002C224A" w:rsidRDefault="006D67F1" w:rsidP="009920E2">
      <w:r w:rsidRPr="002C224A">
        <w:t xml:space="preserve">Příkladem úspěšného výsledku byla příprava Ostrava business parku na rozloze </w:t>
      </w:r>
      <w:smartTag w:uri="urn:schemas-microsoft-com:office:smarttags" w:element="metricconverter">
        <w:smartTagPr>
          <w:attr w:name="ProductID" w:val="13,5 ha"/>
        </w:smartTagPr>
        <w:r w:rsidRPr="002C224A">
          <w:t>13,5 ha</w:t>
        </w:r>
      </w:smartTag>
      <w:r w:rsidRPr="002C224A">
        <w:t xml:space="preserve"> bývalého BF, který obdržel z  fondu zvýhodněný úvěr se sazbou 0,5 % p. a. na 75 % způsobilých výdajů.</w:t>
      </w:r>
    </w:p>
    <w:p w:rsidR="006D67F1" w:rsidRPr="002C224A" w:rsidRDefault="006D67F1" w:rsidP="009920E2">
      <w:pPr>
        <w:pStyle w:val="Highlight1"/>
        <w:rPr>
          <w:rFonts w:ascii="Calibri" w:hAnsi="Calibri"/>
        </w:rPr>
      </w:pPr>
    </w:p>
    <w:p w:rsidR="006D67F1" w:rsidRDefault="006D67F1" w:rsidP="009920E2">
      <w:pPr>
        <w:pStyle w:val="Nadpis4"/>
        <w:rPr>
          <w:rFonts w:ascii="Calibri" w:hAnsi="Calibri"/>
        </w:rPr>
      </w:pPr>
      <w:r w:rsidRPr="002C224A">
        <w:rPr>
          <w:rFonts w:ascii="Calibri" w:hAnsi="Calibri"/>
        </w:rPr>
        <w:t>Přehled zahraničních zkušeností s obdobnými finančními nástroji</w:t>
      </w:r>
    </w:p>
    <w:p w:rsidR="00327B00" w:rsidRDefault="00D0114C" w:rsidP="00331BB7">
      <w:r>
        <w:t>V oblasti revitalizace starých průmyslových ob</w:t>
      </w:r>
      <w:r w:rsidR="0037466D">
        <w:t>jektů existuje nejdelší zkušenost v západoevropských zemích, kde přerod post-industriální struktury ekonomiky započal už v 70. letech.</w:t>
      </w:r>
    </w:p>
    <w:p w:rsidR="00D0114C" w:rsidRPr="005E0C75" w:rsidRDefault="00D0114C" w:rsidP="00331BB7"/>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67F1" w:rsidRPr="002C224A" w:rsidTr="006F771D">
        <w:trPr>
          <w:trHeight w:val="482"/>
        </w:trPr>
        <w:tc>
          <w:tcPr>
            <w:tcW w:w="2000" w:type="dxa"/>
            <w:shd w:val="clear" w:color="auto" w:fill="548DD4"/>
            <w:noWrap/>
            <w:vAlign w:val="center"/>
          </w:tcPr>
          <w:p w:rsidR="006D67F1" w:rsidRPr="00A50943" w:rsidRDefault="006D67F1" w:rsidP="00823083">
            <w:pPr>
              <w:jc w:val="center"/>
              <w:rPr>
                <w:b/>
                <w:color w:val="FFFFFF"/>
              </w:rPr>
            </w:pPr>
            <w:r w:rsidRPr="00A50943">
              <w:rPr>
                <w:b/>
                <w:color w:val="FFFFFF"/>
              </w:rPr>
              <w:t>Německo (LEG NRW)</w:t>
            </w:r>
            <w:r w:rsidRPr="002C224A">
              <w:rPr>
                <w:rStyle w:val="Znakapoznpodarou"/>
                <w:rFonts w:ascii="Calibri" w:hAnsi="Calibri"/>
                <w:color w:val="FFFFFF"/>
              </w:rPr>
              <w:footnoteReference w:id="51"/>
            </w:r>
          </w:p>
        </w:tc>
        <w:tc>
          <w:tcPr>
            <w:tcW w:w="6800" w:type="dxa"/>
            <w:shd w:val="clear" w:color="auto" w:fill="FFFFFF"/>
            <w:noWrap/>
          </w:tcPr>
          <w:p w:rsidR="006D67F1" w:rsidRPr="002C224A" w:rsidRDefault="00327B00">
            <w:r>
              <w:t>Ú</w:t>
            </w:r>
            <w:r w:rsidR="006D67F1" w:rsidRPr="002C224A">
              <w:t>spěšnými nástroji na řízení veškerých procesů během regenerace BF se staly tzv. pozemkové rozvojové společnosti. Například v Severním Porýní – Vestfálsku, které je známé jako oblast uhlí a ocele, učinila kroky k zamezení vzniku opuštěných a zanedbaných lokalit Společnost pro rozvoj spolkové země (</w:t>
            </w:r>
            <w:r w:rsidR="006D67F1" w:rsidRPr="002C224A">
              <w:rPr>
                <w:i/>
              </w:rPr>
              <w:t>Landesentwicklungsgesellschaft Nordrhein-Westfalen</w:t>
            </w:r>
            <w:r w:rsidR="006D67F1" w:rsidRPr="002C224A">
              <w:t xml:space="preserve"> - LEG NRW). Ke společnosti patří ekonomický</w:t>
            </w:r>
            <w:r w:rsidR="006D67F1" w:rsidRPr="002C224A">
              <w:rPr>
                <w:rStyle w:val="Znakapoznpodarou"/>
                <w:rFonts w:ascii="Calibri" w:hAnsi="Calibri"/>
              </w:rPr>
              <w:footnoteReference w:id="52"/>
            </w:r>
            <w:r w:rsidR="006D67F1" w:rsidRPr="00A50943">
              <w:t xml:space="preserve"> nástroj v podobě pozemkového fondu s revolvingovým c</w:t>
            </w:r>
            <w:r w:rsidR="006D67F1" w:rsidRPr="002C224A">
              <w:t>harakterem, tzn., že všechny zisky z prodeje regenerovaných ploch se musí reinvestovat zpátky do fondu. Fond byl založen</w:t>
            </w:r>
            <w:r w:rsidR="00D0114C">
              <w:t xml:space="preserve"> už</w:t>
            </w:r>
            <w:r w:rsidR="006D67F1" w:rsidRPr="002C224A">
              <w:t xml:space="preserve"> v roce 1979 s kapitálem </w:t>
            </w:r>
            <w:smartTag w:uri="urn:schemas-microsoft-com:office:smarttags" w:element="metricconverter">
              <w:smartTagPr>
                <w:attr w:name="ProductID" w:val="500 mil"/>
              </w:smartTagPr>
              <w:r w:rsidR="006D67F1" w:rsidRPr="002C224A">
                <w:t>500 mil</w:t>
              </w:r>
            </w:smartTag>
            <w:r w:rsidR="006D67F1" w:rsidRPr="002C224A">
              <w:t>. DEM zemskou vládou a svěřen do správy LEG NRW. LEG NRW je soukromoprávní s.r.o. vlastněná spolkovou zemí, zemskými bankami, městy a regionálními radami.</w:t>
            </w:r>
          </w:p>
          <w:p w:rsidR="006D67F1" w:rsidRPr="002C224A" w:rsidRDefault="006D67F1"/>
          <w:p w:rsidR="006D67F1" w:rsidRPr="002C224A" w:rsidRDefault="006D67F1" w:rsidP="00284312">
            <w:r w:rsidRPr="002C224A">
              <w:t>Fond se řídí směrnicí, která upravuje podmínky nákupu, vyčistění a přípravy degradovaných ploch. Fond může koupit pozemky v případě, že:</w:t>
            </w:r>
          </w:p>
          <w:p w:rsidR="006D67F1" w:rsidRPr="002C224A" w:rsidRDefault="006D67F1" w:rsidP="00284312">
            <w:pPr>
              <w:pStyle w:val="Odstavecseseznamem1"/>
              <w:numPr>
                <w:ilvl w:val="0"/>
                <w:numId w:val="41"/>
              </w:numPr>
            </w:pPr>
            <w:r w:rsidRPr="002C224A">
              <w:t>vlastník ukončil původní obchodní, průmyslové či dopravní využívání pozemku,</w:t>
            </w:r>
          </w:p>
          <w:p w:rsidR="006D67F1" w:rsidRPr="002C224A" w:rsidRDefault="006D67F1" w:rsidP="00284312">
            <w:pPr>
              <w:pStyle w:val="Odstavecseseznamem1"/>
              <w:numPr>
                <w:ilvl w:val="0"/>
                <w:numId w:val="41"/>
              </w:numPr>
            </w:pPr>
            <w:r w:rsidRPr="002C224A">
              <w:t>pozemky jsou překážkou v rozvoji města či obce, či představují závažný ekologický problém,</w:t>
            </w:r>
          </w:p>
          <w:p w:rsidR="006D67F1" w:rsidRPr="002C224A" w:rsidRDefault="006D67F1" w:rsidP="00284312">
            <w:pPr>
              <w:pStyle w:val="Odstavecseseznamem1"/>
              <w:numPr>
                <w:ilvl w:val="0"/>
                <w:numId w:val="41"/>
              </w:numPr>
            </w:pPr>
            <w:r w:rsidRPr="002C224A">
              <w:t>novým uspořádáním a využitím ploch se předejde spotřebě nezastavěných ploch nebo dojde k vyčištění území.</w:t>
            </w:r>
          </w:p>
          <w:p w:rsidR="006D67F1" w:rsidRPr="002C224A" w:rsidRDefault="006D67F1" w:rsidP="00284312">
            <w:pPr>
              <w:pStyle w:val="BodyText1"/>
              <w:jc w:val="both"/>
              <w:rPr>
                <w:rFonts w:ascii="Calibri" w:hAnsi="Calibri"/>
              </w:rPr>
            </w:pPr>
          </w:p>
          <w:p w:rsidR="006D67F1" w:rsidRPr="002C224A" w:rsidRDefault="006D67F1">
            <w:r w:rsidRPr="00A50943">
              <w:t xml:space="preserve">Nominace na nákup ploch podávají podle zákona o </w:t>
            </w:r>
            <w:r w:rsidRPr="002C224A">
              <w:t>samosprávách obce nebo sdružení obcí, které kompletuji žádost, pořizuji fotografie, srovnávají součinnost s územním rozvojem, posuzují schopnost obce podílet se na financování (při veřejném využití) a zároveň se snaží získat souhlas vlastníka plochy/nemovitosti.</w:t>
            </w:r>
          </w:p>
          <w:p w:rsidR="006D67F1" w:rsidRPr="002C224A" w:rsidRDefault="006D67F1"/>
          <w:p w:rsidR="006D67F1" w:rsidRDefault="006D67F1">
            <w:r w:rsidRPr="002C224A">
              <w:t xml:space="preserve">Obce mají předkupní právo na připravené plochy a vyjadřují se k nabídkám ke koupi. Tato pozemková politika zaručuje rychlé znovuvyužití, dodržení záměru a zamezení spekulacím. Fond získal mezi lety 1984 – 2005 až </w:t>
            </w:r>
            <w:smartTag w:uri="urn:schemas-microsoft-com:office:smarttags" w:element="metricconverter">
              <w:smartTagPr>
                <w:attr w:name="ProductID" w:val="2650 ha"/>
              </w:smartTagPr>
              <w:r w:rsidRPr="002C224A">
                <w:t xml:space="preserve">2650 </w:t>
              </w:r>
              <w:r w:rsidRPr="002C224A">
                <w:lastRenderedPageBreak/>
                <w:t>ha</w:t>
              </w:r>
            </w:smartTag>
            <w:r w:rsidRPr="002C224A">
              <w:t xml:space="preserve"> ploch, z nichž již většina byla zregenerována (57</w:t>
            </w:r>
            <w:r w:rsidR="0037466D">
              <w:t xml:space="preserve"> </w:t>
            </w:r>
            <w:r w:rsidRPr="002C224A">
              <w:t>% na zelené veřejné plochy). Od roku 1988 začaly fondy využívat veřejné dotační prostředky a od roku 1989 také strukturální fondy EU.</w:t>
            </w:r>
          </w:p>
          <w:p w:rsidR="00037B07" w:rsidRDefault="00037B07"/>
          <w:p w:rsidR="00037B07" w:rsidRPr="002C224A" w:rsidRDefault="00037B07">
            <w:r>
              <w:t>Největší část financování fondu je zajištěna dotacemi, další zdroje jsou zajištěny různými fondy obcí a navrácenými prostředky z minulých investic.</w:t>
            </w:r>
          </w:p>
          <w:p w:rsidR="006D67F1" w:rsidRPr="002C224A" w:rsidRDefault="006D67F1" w:rsidP="00331BB7">
            <w:pPr>
              <w:pStyle w:val="BodyText1"/>
              <w:ind w:left="720"/>
              <w:jc w:val="both"/>
              <w:rPr>
                <w:rFonts w:ascii="Calibri" w:hAnsi="Calibri"/>
              </w:rPr>
            </w:pPr>
          </w:p>
        </w:tc>
      </w:tr>
      <w:tr w:rsidR="006D67F1" w:rsidRPr="002C224A" w:rsidTr="006F771D">
        <w:trPr>
          <w:trHeight w:val="1260"/>
        </w:trPr>
        <w:tc>
          <w:tcPr>
            <w:tcW w:w="2000" w:type="dxa"/>
            <w:shd w:val="clear" w:color="auto" w:fill="548DD4"/>
            <w:noWrap/>
            <w:vAlign w:val="center"/>
          </w:tcPr>
          <w:p w:rsidR="006D67F1" w:rsidRPr="00A50943" w:rsidRDefault="006D67F1" w:rsidP="00823083">
            <w:pPr>
              <w:jc w:val="center"/>
              <w:rPr>
                <w:b/>
                <w:color w:val="FFFFFF"/>
              </w:rPr>
            </w:pPr>
            <w:r w:rsidRPr="002C224A">
              <w:rPr>
                <w:b/>
                <w:color w:val="FFFFFF"/>
              </w:rPr>
              <w:lastRenderedPageBreak/>
              <w:t>Francie</w:t>
            </w:r>
            <w:r w:rsidRPr="002C224A">
              <w:rPr>
                <w:rStyle w:val="Znakapoznpodarou"/>
                <w:rFonts w:ascii="Calibri" w:hAnsi="Calibri"/>
                <w:b/>
                <w:color w:val="FFFFFF"/>
              </w:rPr>
              <w:footnoteReference w:id="53"/>
            </w:r>
          </w:p>
        </w:tc>
        <w:tc>
          <w:tcPr>
            <w:tcW w:w="6800" w:type="dxa"/>
            <w:shd w:val="clear" w:color="auto" w:fill="FFFFFF"/>
            <w:noWrap/>
          </w:tcPr>
          <w:p w:rsidR="006D67F1" w:rsidRPr="002C224A" w:rsidRDefault="006D67F1" w:rsidP="00284312">
            <w:r w:rsidRPr="002C224A">
              <w:t>Podobně jako v Německu se i ve Francii používá jako jeden z nástrojů pozemková společnost. Druhým nástrojem je důkladně propracované regionální plánování, jehož součástí je identifikace a prioritizace lokalit určených k regeneraci a veřejné podpoře. Přístup Francie k regeneraci je silně decentralizován, na centrální úrovni neexistuje žádný národní plán jako v ČR. Obce či spíše regiony nesou odpovědnost za rekonverzi opuštěných ploch a za rozvoj svého území.</w:t>
            </w:r>
          </w:p>
          <w:p w:rsidR="006D67F1" w:rsidRPr="002C224A" w:rsidRDefault="006D67F1" w:rsidP="00284312"/>
          <w:p w:rsidR="006D67F1" w:rsidRPr="002C224A" w:rsidRDefault="006D67F1" w:rsidP="00284312">
            <w:r w:rsidRPr="002C224A">
              <w:t>Legislativní nástroj definující přístup k regeneraci zanedbaných, nevyužívaných nebo vyloučených ploch/oblastí je obecná politika, která prioritizuje zóny dle citlivosti. Zóny ohrožené vyloučením</w:t>
            </w:r>
            <w:r w:rsidRPr="002C224A">
              <w:rPr>
                <w:rStyle w:val="Znakapoznpodarou"/>
                <w:rFonts w:ascii="Calibri" w:hAnsi="Calibri"/>
              </w:rPr>
              <w:footnoteReference w:id="54"/>
            </w:r>
            <w:r w:rsidRPr="00A50943">
              <w:t xml:space="preserve"> se nazývají Urbanisticky citlivé zóny (</w:t>
            </w:r>
            <w:r w:rsidRPr="002C224A">
              <w:rPr>
                <w:i/>
              </w:rPr>
              <w:t>Zone Urbaine Sensible</w:t>
            </w:r>
            <w:r w:rsidRPr="002C224A">
              <w:t xml:space="preserve"> - ZUS). Realizace Národního programu pro městskou regeneraci (</w:t>
            </w:r>
            <w:r w:rsidRPr="002C224A">
              <w:rPr>
                <w:i/>
              </w:rPr>
              <w:t>Programme national pour la rénovation urbaine</w:t>
            </w:r>
            <w:r w:rsidRPr="002C224A">
              <w:t xml:space="preserve"> - PNRU) byla svěřená Národní agentuře pro městskou renovaci (</w:t>
            </w:r>
            <w:r w:rsidRPr="002C224A">
              <w:rPr>
                <w:i/>
              </w:rPr>
              <w:t xml:space="preserve">Agence Nationale pour </w:t>
            </w:r>
            <w:smartTag w:uri="urn:schemas-microsoft-com:office:smarttags" w:element="PersonName">
              <w:smartTagPr>
                <w:attr w:name="ProductID" w:val="la Renovation Urbaine"/>
              </w:smartTagPr>
              <w:r w:rsidRPr="002C224A">
                <w:rPr>
                  <w:i/>
                </w:rPr>
                <w:t>la Renovation Urbaine</w:t>
              </w:r>
            </w:smartTag>
            <w:r w:rsidRPr="002C224A">
              <w:t xml:space="preserve"> - ANRU), která se zabývá právě urbanistickým začleňováním městských části spolu s budováním veřejných ploch pro společenské vyžití.</w:t>
            </w:r>
          </w:p>
          <w:p w:rsidR="006D67F1" w:rsidRPr="002C224A" w:rsidRDefault="006D67F1" w:rsidP="00284312">
            <w:pPr>
              <w:rPr>
                <w:b/>
              </w:rPr>
            </w:pPr>
          </w:p>
          <w:p w:rsidR="006D67F1" w:rsidRPr="002C224A" w:rsidRDefault="006D67F1" w:rsidP="00284312">
            <w:r w:rsidRPr="002C224A">
              <w:t>Mezi instituce vytvořené pro regeneraci brownfieldů patří Smíšená společnost (</w:t>
            </w:r>
            <w:r w:rsidRPr="002C224A">
              <w:rPr>
                <w:i/>
              </w:rPr>
              <w:t>Société d’économie mixte</w:t>
            </w:r>
            <w:r w:rsidRPr="002C224A">
              <w:t xml:space="preserve"> - SME). Jedná se o akciovou společnost založenou za účelem regenerace jednoho či více projektů a její kapitál drží převážně místní samosprávy (51 % - 85 %). Vlastníky zbylé části mohou být soukromí investoři nebo francouzská státní banka CDC (Caisse de dépôts et consignations), která velice často spolupracuje s regiony. Při průmyslových projektech jsou partnery majitelé pozemků, regiony, stát.</w:t>
            </w:r>
          </w:p>
          <w:p w:rsidR="006D67F1" w:rsidRPr="002C224A" w:rsidRDefault="006D67F1" w:rsidP="00284312"/>
          <w:p w:rsidR="006D67F1" w:rsidRPr="00A50943" w:rsidRDefault="006D67F1" w:rsidP="00284312">
            <w:r w:rsidRPr="002C224A">
              <w:t>Veřejná pozemková organizace (Établissement public foncier - EPF) je nejdůležitější institucí, která napomáhá při organizaci nákupu, úpravě pozemků, správě regenerovaných objektů a případném následném prodeji koncovému zájemci. Pod úpravou se rozumí demolice, zazelenění a terénní úpravy. EPF nemůže budovat infrastrukturu, pořizovat dokumentaci a rozparcelovat pozemek. Organizace předpřipraví pozemek a místní samosprávy jej následně od ní odkoupí k realizaci projektu. Zdrojem příjmů EPF jsou speciální rozvojová daň, daň ze zastavěného a nezastavěného území, daň z bydlení a daň obchodní (max. 20€ na osobu ročně). Dalšími zdroji jsou dotace od státu, místních samospráv, EU a dalších veřejných či soukromých organizací. Financuje se též externím dluhovým financováním či zisky z prodeje regenerovaných pozemků.</w:t>
            </w:r>
            <w:r w:rsidRPr="002C224A">
              <w:rPr>
                <w:rStyle w:val="Znakapoznpodarou"/>
                <w:rFonts w:ascii="Calibri" w:hAnsi="Calibri"/>
              </w:rPr>
              <w:footnoteReference w:id="55"/>
            </w:r>
          </w:p>
          <w:p w:rsidR="006D67F1" w:rsidRPr="002C224A" w:rsidRDefault="006D67F1" w:rsidP="006F771D">
            <w:pPr>
              <w:rPr>
                <w:color w:val="000000"/>
              </w:rPr>
            </w:pPr>
          </w:p>
        </w:tc>
      </w:tr>
      <w:tr w:rsidR="006D67F1" w:rsidRPr="002C224A" w:rsidTr="006F771D">
        <w:trPr>
          <w:trHeight w:val="315"/>
        </w:trPr>
        <w:tc>
          <w:tcPr>
            <w:tcW w:w="2000" w:type="dxa"/>
            <w:shd w:val="clear" w:color="auto" w:fill="548DD4"/>
            <w:noWrap/>
            <w:vAlign w:val="center"/>
          </w:tcPr>
          <w:p w:rsidR="006D67F1" w:rsidRPr="00A50943" w:rsidRDefault="006D67F1" w:rsidP="00823083">
            <w:pPr>
              <w:jc w:val="center"/>
              <w:rPr>
                <w:b/>
                <w:color w:val="000000"/>
              </w:rPr>
            </w:pPr>
            <w:r w:rsidRPr="002C224A">
              <w:rPr>
                <w:b/>
                <w:color w:val="FFFFFF"/>
              </w:rPr>
              <w:lastRenderedPageBreak/>
              <w:t>Velká Británie</w:t>
            </w:r>
            <w:r w:rsidRPr="002C224A">
              <w:rPr>
                <w:rStyle w:val="Znakapoznpodarou"/>
                <w:rFonts w:ascii="Calibri" w:hAnsi="Calibri"/>
                <w:color w:val="FFFFFF"/>
              </w:rPr>
              <w:footnoteReference w:id="56"/>
            </w:r>
          </w:p>
        </w:tc>
        <w:tc>
          <w:tcPr>
            <w:tcW w:w="6800" w:type="dxa"/>
            <w:shd w:val="clear" w:color="auto" w:fill="FFFFFF"/>
            <w:noWrap/>
          </w:tcPr>
          <w:p w:rsidR="006D67F1" w:rsidRPr="002C224A" w:rsidRDefault="006D67F1" w:rsidP="00EC5568">
            <w:pPr>
              <w:rPr>
                <w:lang w:eastAsia="en-US"/>
              </w:rPr>
            </w:pPr>
            <w:r w:rsidRPr="002C224A">
              <w:rPr>
                <w:lang w:eastAsia="en-US"/>
              </w:rPr>
              <w:t>Ve Velké Británii jsou vzhledem k její nejdelší industriální historii také největší zkušenosti a nejpropracovanější strategie pro regeneraci nevyužívaných ploch. Téměř vždy se jedná o kombinaci soukromých a veřejných investic, jejichž slučitelnost je pevně dána záměrem uvedeným v příslušné územně plánovací smlouvě. Vždy je k financování dle možností využíváno Strukturálních fondů Evropské Unie. Do rozhodování je zapojená veřejnost formou diskuzí, besed a workshopů, čímž si investor i dotčené strany vytvářejí pozitivnější vztah k projektu.</w:t>
            </w:r>
          </w:p>
          <w:p w:rsidR="006D67F1" w:rsidRPr="002C224A" w:rsidRDefault="006D67F1" w:rsidP="00EC5568">
            <w:pPr>
              <w:pStyle w:val="Zkladntext21"/>
              <w:jc w:val="both"/>
              <w:rPr>
                <w:rFonts w:ascii="Calibri" w:hAnsi="Calibri" w:cs="Times New Roman"/>
                <w:color w:val="000000"/>
                <w:sz w:val="19"/>
                <w:szCs w:val="48"/>
                <w:lang w:eastAsia="en-US"/>
              </w:rPr>
            </w:pPr>
          </w:p>
          <w:p w:rsidR="006D67F1" w:rsidRPr="002C224A" w:rsidRDefault="006D67F1" w:rsidP="00EC5568">
            <w:pPr>
              <w:rPr>
                <w:lang w:eastAsia="en-US"/>
              </w:rPr>
            </w:pPr>
            <w:r w:rsidRPr="00A50943">
              <w:rPr>
                <w:lang w:eastAsia="en-US"/>
              </w:rPr>
              <w:t>Existuje Národní strategie brownfieldů (</w:t>
            </w:r>
            <w:r w:rsidRPr="002C224A">
              <w:rPr>
                <w:i/>
                <w:lang w:eastAsia="en-US"/>
              </w:rPr>
              <w:t>National Brownfield Strategy</w:t>
            </w:r>
            <w:r w:rsidRPr="002C224A">
              <w:rPr>
                <w:lang w:eastAsia="en-US"/>
              </w:rPr>
              <w:t>), která je řízena na nejnižším stupni. Jejím primárním zaměřením je regenerace opuštěných průmyslových, skladových a jiných areálů a také obytných ploch, které splňují kritéria vyloučených urbanistických oblastí s nerozvinutými veřejnými službami. Jádro systému tvoří 4 instituce:</w:t>
            </w:r>
          </w:p>
          <w:p w:rsidR="006D67F1" w:rsidRPr="002C224A" w:rsidRDefault="006D67F1" w:rsidP="00EC5568">
            <w:pPr>
              <w:pStyle w:val="Bulletslevel1"/>
              <w:jc w:val="left"/>
              <w:rPr>
                <w:rFonts w:ascii="Calibri" w:hAnsi="Calibri"/>
                <w:lang w:val="cs-CZ"/>
              </w:rPr>
            </w:pPr>
            <w:r w:rsidRPr="002C224A">
              <w:rPr>
                <w:rFonts w:ascii="Calibri" w:hAnsi="Calibri"/>
                <w:lang w:val="cs-CZ"/>
              </w:rPr>
              <w:t>Department for Communities and local government – ministerstvo odpovědné za legislativní podporu brownfieldů a vyloučených oblastí</w:t>
            </w:r>
          </w:p>
          <w:p w:rsidR="006D67F1" w:rsidRPr="002C224A" w:rsidRDefault="006D67F1" w:rsidP="00EC5568">
            <w:pPr>
              <w:pStyle w:val="Bulletslevel1"/>
              <w:jc w:val="left"/>
              <w:rPr>
                <w:rFonts w:ascii="Calibri" w:hAnsi="Calibri"/>
                <w:lang w:val="cs-CZ"/>
              </w:rPr>
            </w:pPr>
            <w:r w:rsidRPr="002C224A">
              <w:rPr>
                <w:rFonts w:ascii="Calibri" w:hAnsi="Calibri"/>
                <w:lang w:val="cs-CZ"/>
              </w:rPr>
              <w:t>Homes and communities agency – národní agentura zodpovědná za obnovu bydlení, regeneraci zanedbaných území a zároveň poradní orgán vlády pro otázky regenerace a revitalizace</w:t>
            </w:r>
          </w:p>
          <w:p w:rsidR="006D67F1" w:rsidRPr="002C224A" w:rsidRDefault="006D67F1" w:rsidP="00EC5568">
            <w:pPr>
              <w:pStyle w:val="Bulletslevel1"/>
              <w:jc w:val="left"/>
              <w:rPr>
                <w:rFonts w:ascii="Calibri" w:hAnsi="Calibri"/>
                <w:lang w:val="cs-CZ"/>
              </w:rPr>
            </w:pPr>
            <w:r w:rsidRPr="002C224A">
              <w:rPr>
                <w:rFonts w:ascii="Calibri" w:hAnsi="Calibri"/>
                <w:lang w:val="cs-CZ"/>
              </w:rPr>
              <w:t>Regionální rozvojové agentury (RDA) – vytvářejí strategie obnovy bydlení pro daný region, poskytují poradenství pro místní úřady, zajišťují koordinaci investičních záměru apod.</w:t>
            </w:r>
          </w:p>
          <w:p w:rsidR="006D67F1" w:rsidRPr="002C224A" w:rsidRDefault="006D67F1" w:rsidP="00EC5568">
            <w:pPr>
              <w:pStyle w:val="Bulletslevel1"/>
              <w:jc w:val="left"/>
              <w:rPr>
                <w:rFonts w:ascii="Calibri" w:hAnsi="Calibri"/>
                <w:lang w:val="cs-CZ"/>
              </w:rPr>
            </w:pPr>
            <w:r w:rsidRPr="002C224A">
              <w:rPr>
                <w:rFonts w:ascii="Calibri" w:hAnsi="Calibri"/>
                <w:lang w:val="cs-CZ"/>
              </w:rPr>
              <w:t>Místní plánovací úřady – jejích úkolem je identifikovat tzv. „recyklovatelné“ plochy a navrhovat nástroje, které napomáhají regeneraci (zmiňované níže).</w:t>
            </w:r>
          </w:p>
          <w:p w:rsidR="006D67F1" w:rsidRPr="002C224A" w:rsidRDefault="006D67F1" w:rsidP="00EC5568">
            <w:pPr>
              <w:pStyle w:val="Bulletslevel1"/>
              <w:numPr>
                <w:ilvl w:val="0"/>
                <w:numId w:val="0"/>
              </w:numPr>
              <w:rPr>
                <w:rFonts w:ascii="Calibri" w:hAnsi="Calibri"/>
                <w:lang w:val="cs-CZ"/>
              </w:rPr>
            </w:pPr>
            <w:r w:rsidRPr="002C224A">
              <w:rPr>
                <w:rFonts w:ascii="Calibri" w:hAnsi="Calibri"/>
                <w:b/>
                <w:lang w:val="cs-CZ"/>
              </w:rPr>
              <w:t>Urban regeneration companies (URC)</w:t>
            </w:r>
            <w:r w:rsidRPr="002C224A">
              <w:rPr>
                <w:rFonts w:ascii="Calibri" w:hAnsi="Calibri"/>
                <w:lang w:val="cs-CZ"/>
              </w:rPr>
              <w:t xml:space="preserve"> – jsou založené v spolupráci s RDA a místními úřady a jejich úkolem je sjednocovat partnery z veřejného a soukromého sektoru. Organizují spolupráci mezi zainteresovanými subjekty, koordinují investiční plány a lákají nové investice pomocí účelné podpory a regenerace. </w:t>
            </w:r>
          </w:p>
          <w:p w:rsidR="006D67F1" w:rsidRPr="002C224A" w:rsidRDefault="006D67F1" w:rsidP="00EC5568">
            <w:pPr>
              <w:pStyle w:val="BodyText1"/>
              <w:jc w:val="both"/>
              <w:rPr>
                <w:rFonts w:ascii="Calibri" w:hAnsi="Calibri"/>
              </w:rPr>
            </w:pPr>
          </w:p>
          <w:p w:rsidR="006D67F1" w:rsidRPr="002C224A" w:rsidRDefault="006D67F1" w:rsidP="006F771D">
            <w:pPr>
              <w:pStyle w:val="BodyText1"/>
              <w:jc w:val="both"/>
              <w:rPr>
                <w:rFonts w:ascii="Calibri" w:hAnsi="Calibri"/>
              </w:rPr>
            </w:pPr>
            <w:r w:rsidRPr="002C224A">
              <w:rPr>
                <w:rFonts w:ascii="Calibri" w:hAnsi="Calibri"/>
                <w:b/>
              </w:rPr>
              <w:t>Urban development companies (UDC)</w:t>
            </w:r>
            <w:r w:rsidRPr="002C224A">
              <w:rPr>
                <w:rFonts w:ascii="Calibri" w:hAnsi="Calibri"/>
              </w:rPr>
              <w:t xml:space="preserve"> - zpřístupnění pozemků a staveb pro jejich další efektivní využití, podpora rozvoje stávajícího i nového průmyslu a obchodu, vytvoření atraktivního prostředí a zajištění podmínek pro bydlení a sociální vyžití pro udržení obyvatelstva v dané lokalitě. K tomuto účelu mohou UDC nabývat, držet a spravovat pozemky a jiný majetek pro jeho rekultivaci (disponují právem na vyvlastnění pozemku), mohou provádět stavební práce, zajišťovat inženýrské sítě, vykonávat různé činnosti spojené s regenerací území. Finance na svůj provoz čerpají prostřednictvím Department for Communities and Local Government (do roku 2008 z English Partnerships).</w:t>
            </w:r>
          </w:p>
        </w:tc>
      </w:tr>
      <w:tr w:rsidR="006D67F1" w:rsidRPr="002C224A" w:rsidTr="006F771D">
        <w:trPr>
          <w:trHeight w:val="315"/>
        </w:trPr>
        <w:tc>
          <w:tcPr>
            <w:tcW w:w="2000" w:type="dxa"/>
            <w:shd w:val="clear" w:color="auto" w:fill="548DD4"/>
            <w:noWrap/>
            <w:vAlign w:val="center"/>
          </w:tcPr>
          <w:p w:rsidR="006D67F1" w:rsidRPr="002C224A" w:rsidRDefault="006D67F1" w:rsidP="00823083">
            <w:pPr>
              <w:jc w:val="center"/>
              <w:rPr>
                <w:b/>
                <w:color w:val="FFFFFF"/>
              </w:rPr>
            </w:pPr>
            <w:r w:rsidRPr="002C224A">
              <w:rPr>
                <w:b/>
                <w:color w:val="FFFFFF"/>
              </w:rPr>
              <w:t>Wales</w:t>
            </w:r>
          </w:p>
        </w:tc>
        <w:tc>
          <w:tcPr>
            <w:tcW w:w="6800" w:type="dxa"/>
            <w:shd w:val="clear" w:color="auto" w:fill="FFFFFF"/>
            <w:noWrap/>
          </w:tcPr>
          <w:p w:rsidR="006D67F1" w:rsidRPr="002C224A" w:rsidRDefault="006D67F1" w:rsidP="00B24D8F">
            <w:pPr>
              <w:rPr>
                <w:b/>
              </w:rPr>
            </w:pPr>
            <w:r w:rsidRPr="002C224A">
              <w:rPr>
                <w:b/>
              </w:rPr>
              <w:t>The Regeneration Investment Fund for Wales</w:t>
            </w:r>
          </w:p>
          <w:p w:rsidR="006D67F1" w:rsidRPr="002C224A" w:rsidRDefault="006D67F1" w:rsidP="00B24D8F">
            <w:r w:rsidRPr="002C224A">
              <w:t xml:space="preserve">Regenerační Investiční fond pro Wales byl vytvořen v rámci iniciativy JESSICA (Společná evropská podpora udržitelných investic do městských oblastí). Finanční podpora Fondu pro Wales je poskytována ve formě úvěrů a investičního kapitálu, který bude splacen v rámci dohodnutého časového plánu. </w:t>
            </w:r>
          </w:p>
          <w:p w:rsidR="006D67F1" w:rsidRPr="002C224A" w:rsidRDefault="006D67F1" w:rsidP="00B24D8F">
            <w:r w:rsidRPr="002C224A">
              <w:t>Správcem fondu je Amber Infrastructure, společnost, která je předním sponzorem a manažerem projektů sociální a ekonomické infrastruktury. Investičním manažerem je společnost Lambert Smith Hampton.</w:t>
            </w:r>
          </w:p>
          <w:p w:rsidR="006D67F1" w:rsidRPr="002C224A" w:rsidRDefault="006D67F1" w:rsidP="00B24D8F">
            <w:r w:rsidRPr="002C224A">
              <w:t xml:space="preserve">Spoluvlastníci fondu jsou velšská vláda a společnost Amber Infrastructure. Správní rada se skládá ze zástupců jmenovaných ministry velšské vlády a </w:t>
            </w:r>
            <w:r w:rsidRPr="002C224A">
              <w:lastRenderedPageBreak/>
              <w:t xml:space="preserve">osob doporučených společnostmi Amber Infrastructure a Lambert Smith Hampton. </w:t>
            </w:r>
          </w:p>
          <w:p w:rsidR="006D67F1" w:rsidRPr="002C224A" w:rsidRDefault="006D67F1" w:rsidP="00B24D8F">
            <w:pPr>
              <w:rPr>
                <w:b/>
              </w:rPr>
            </w:pPr>
            <w:r w:rsidRPr="002C224A">
              <w:rPr>
                <w:b/>
              </w:rPr>
              <w:t>Strategie fondu:</w:t>
            </w:r>
          </w:p>
          <w:p w:rsidR="006D67F1" w:rsidRPr="002C224A" w:rsidRDefault="006D67F1" w:rsidP="00B24D8F">
            <w:r w:rsidRPr="002C224A">
              <w:t xml:space="preserve">Fond hledá projekty, které v zásadě odpovídají následujícím kritériím: </w:t>
            </w:r>
          </w:p>
          <w:p w:rsidR="006D67F1" w:rsidRPr="002C224A" w:rsidRDefault="006D67F1" w:rsidP="00B24D8F">
            <w:pPr>
              <w:pStyle w:val="Odstavecseseznamem1"/>
              <w:numPr>
                <w:ilvl w:val="0"/>
                <w:numId w:val="67"/>
              </w:numPr>
              <w:overflowPunct/>
              <w:autoSpaceDE/>
              <w:autoSpaceDN/>
              <w:adjustRightInd/>
              <w:spacing w:after="200" w:line="276" w:lineRule="auto"/>
              <w:textAlignment w:val="auto"/>
            </w:pPr>
            <w:r w:rsidRPr="002C224A">
              <w:t xml:space="preserve">nachází se v městské oblasti, </w:t>
            </w:r>
          </w:p>
          <w:p w:rsidR="006D67F1" w:rsidRPr="002C224A" w:rsidRDefault="006D67F1" w:rsidP="00B24D8F">
            <w:pPr>
              <w:pStyle w:val="Odstavecseseznamem1"/>
              <w:numPr>
                <w:ilvl w:val="0"/>
                <w:numId w:val="67"/>
              </w:numPr>
              <w:overflowPunct/>
              <w:autoSpaceDE/>
              <w:autoSpaceDN/>
              <w:adjustRightInd/>
              <w:spacing w:after="200" w:line="276" w:lineRule="auto"/>
              <w:textAlignment w:val="auto"/>
            </w:pPr>
            <w:r w:rsidRPr="002C224A">
              <w:t>jsou komerčně životaschopné a obsahují regeneraci území,</w:t>
            </w:r>
          </w:p>
          <w:p w:rsidR="006D67F1" w:rsidRPr="002C224A" w:rsidRDefault="006D67F1" w:rsidP="00B24D8F">
            <w:pPr>
              <w:pStyle w:val="Odstavecseseznamem1"/>
              <w:numPr>
                <w:ilvl w:val="0"/>
                <w:numId w:val="67"/>
              </w:numPr>
              <w:overflowPunct/>
              <w:autoSpaceDE/>
              <w:autoSpaceDN/>
              <w:adjustRightInd/>
              <w:spacing w:after="200" w:line="276" w:lineRule="auto"/>
              <w:textAlignment w:val="auto"/>
            </w:pPr>
            <w:r w:rsidRPr="002C224A">
              <w:t>místo musí být součástí integrovaného plánu udržitelného rozvoje měst,</w:t>
            </w:r>
          </w:p>
          <w:p w:rsidR="006D67F1" w:rsidRPr="002C224A" w:rsidRDefault="006D67F1" w:rsidP="00B24D8F">
            <w:pPr>
              <w:pStyle w:val="Odstavecseseznamem1"/>
              <w:numPr>
                <w:ilvl w:val="0"/>
                <w:numId w:val="67"/>
              </w:numPr>
              <w:overflowPunct/>
              <w:autoSpaceDE/>
              <w:autoSpaceDN/>
              <w:adjustRightInd/>
              <w:spacing w:after="200" w:line="276" w:lineRule="auto"/>
              <w:textAlignment w:val="auto"/>
            </w:pPr>
            <w:r w:rsidRPr="002C224A">
              <w:t>zahrnují výrobu a distribuci energie z obnovitelných zdrojů.</w:t>
            </w:r>
          </w:p>
          <w:p w:rsidR="006D67F1" w:rsidRPr="002C224A" w:rsidRDefault="006D67F1" w:rsidP="00B24D8F">
            <w:r w:rsidRPr="002C224A">
              <w:t xml:space="preserve">Předpokládá se, že finanční podpora se bude pohybovat mezi £ 3m a £ 10m na </w:t>
            </w:r>
            <w:r w:rsidRPr="002C224A">
              <w:rPr>
                <w:rFonts w:cs="Calibri"/>
              </w:rPr>
              <w:t>​​</w:t>
            </w:r>
            <w:r w:rsidRPr="002C224A">
              <w:t xml:space="preserve">jeden projekt (cca. 110 – </w:t>
            </w:r>
            <w:smartTag w:uri="urn:schemas-microsoft-com:office:smarttags" w:element="metricconverter">
              <w:smartTagPr>
                <w:attr w:name="ProductID" w:val="380 mil"/>
              </w:smartTagPr>
              <w:r w:rsidRPr="002C224A">
                <w:t>380 mil</w:t>
              </w:r>
            </w:smartTag>
            <w:r w:rsidRPr="002C224A">
              <w:t>. Kč).</w:t>
            </w:r>
          </w:p>
          <w:p w:rsidR="006D67F1" w:rsidRPr="002C224A" w:rsidRDefault="006D67F1" w:rsidP="00EC5568">
            <w:pPr>
              <w:rPr>
                <w:lang w:eastAsia="en-US"/>
              </w:rPr>
            </w:pPr>
          </w:p>
        </w:tc>
      </w:tr>
    </w:tbl>
    <w:p w:rsidR="000857F9" w:rsidRPr="002C224A" w:rsidRDefault="000857F9" w:rsidP="000857F9">
      <w:pPr>
        <w:pStyle w:val="Titulek"/>
      </w:pPr>
      <w:r w:rsidRPr="002C224A">
        <w:lastRenderedPageBreak/>
        <w:t xml:space="preserve">Tabulka </w:t>
      </w:r>
      <w:r w:rsidR="00F6076B">
        <w:t>92</w:t>
      </w:r>
      <w:r w:rsidRPr="002C224A">
        <w:t>: příklady zahraničních zkušeností s obdobnými FN</w:t>
      </w:r>
    </w:p>
    <w:p w:rsidR="006D67F1" w:rsidRPr="002C224A" w:rsidRDefault="006D67F1" w:rsidP="009920E2">
      <w:pPr>
        <w:pStyle w:val="BodyText1"/>
        <w:rPr>
          <w:rFonts w:ascii="Calibri" w:hAnsi="Calibri"/>
          <w:b/>
        </w:rPr>
      </w:pPr>
    </w:p>
    <w:p w:rsidR="006D67F1" w:rsidRPr="002C224A" w:rsidRDefault="006D67F1" w:rsidP="006F771D">
      <w:pPr>
        <w:pStyle w:val="Nadpis4"/>
        <w:rPr>
          <w:rFonts w:ascii="Calibri" w:hAnsi="Calibri"/>
        </w:rPr>
      </w:pPr>
      <w:r w:rsidRPr="002C224A">
        <w:rPr>
          <w:rFonts w:ascii="Calibri" w:hAnsi="Calibri"/>
        </w:rPr>
        <w:t>Aplikace zkušeností na současné podmínky</w:t>
      </w:r>
    </w:p>
    <w:p w:rsidR="006D67F1" w:rsidRPr="002C224A" w:rsidRDefault="006D67F1" w:rsidP="006F771D">
      <w:r w:rsidRPr="00A50943">
        <w:t>Zkušenosti s dosavadní podporou regenerace BF jasně naznačují potřebu důslednějšího definování cílových projektů, na které budou jednotlivé nástroje p</w:t>
      </w:r>
      <w:r w:rsidRPr="002C224A">
        <w:t>odpory konkrétně cílené. I na základě rozboru zahraničních zkušeností je zřejmé, že je třeba dále vydefinovat v jakých lokalitách je spatřován primární veřejný zájem jejich regenerace. Zkušenosti ČMZRB s některými projekty rekonstrukce nemovitostí navíc poměrně jasně ukazuje, že v rámci tohoto typu zanedbaných podnikatelských nemovitostí není dotační podpora často nutná a účelná. Naopak zkušenosti JESSICA MSK svědčí o tom, že finanční nástroje se dají použít také na regenerace větších ploch BF, jejichž výsledkem je komplexní moderní podnikatelská infrastruktura.</w:t>
      </w:r>
    </w:p>
    <w:p w:rsidR="006D67F1" w:rsidRPr="002C224A" w:rsidRDefault="006D67F1" w:rsidP="006F771D"/>
    <w:p w:rsidR="006D67F1" w:rsidRPr="002C224A" w:rsidRDefault="006D67F1" w:rsidP="006A15A9">
      <w:r w:rsidRPr="002C224A">
        <w:t>Analýza zahraničních zkušenosti s regenerací a revitalizací zanedbaných průmyslových ploch dále ukazuje, že</w:t>
      </w:r>
      <w:r w:rsidR="00D0114C">
        <w:t xml:space="preserve"> vedle dotační podpory jsou</w:t>
      </w:r>
      <w:r w:rsidRPr="002C224A">
        <w:t xml:space="preserve"> v zemích s rozvinutou problematikou regenerace BF</w:t>
      </w:r>
      <w:r w:rsidR="00D0114C" w:rsidRPr="00D0114C">
        <w:t xml:space="preserve"> </w:t>
      </w:r>
      <w:r w:rsidR="00D0114C" w:rsidRPr="002C224A">
        <w:t>úspěšným používaným nástrojem</w:t>
      </w:r>
      <w:r w:rsidRPr="002C224A">
        <w:t xml:space="preserve"> různé formy rozvojových společností, které </w:t>
      </w:r>
      <w:r w:rsidR="00D0114C">
        <w:t xml:space="preserve">integrují zájmy obcí, vlastníků pozemků a firem a </w:t>
      </w:r>
      <w:r w:rsidRPr="002C224A">
        <w:t>jsou zpravidla v dominantně obecním vlastnictví. Přes částečný revolvingový efekt čerpají prostředky zejména z dotací z různých zdrojů.</w:t>
      </w:r>
    </w:p>
    <w:p w:rsidR="006D67F1" w:rsidRPr="002C224A" w:rsidRDefault="006D67F1" w:rsidP="006A15A9"/>
    <w:p w:rsidR="006D67F1" w:rsidRPr="002C224A" w:rsidRDefault="006D67F1" w:rsidP="006A15A9">
      <w:r w:rsidRPr="002C224A">
        <w:t>Zmiňované nástroje lze použ</w:t>
      </w:r>
      <w:r w:rsidR="00B75B9E" w:rsidRPr="002C224A">
        <w:t>í</w:t>
      </w:r>
      <w:r w:rsidRPr="002C224A">
        <w:t>t po projekty, kdy původní majitel zanechal původní využití areálu/plochy a je v zájmu obce, města nebo kraje (společenský zájem), aby takto zanedbané území změnilo svůj vzhled nebo společenskou funkci. Rizikem pro soukromé investory je nákladová mezera, který by šlo odstranit poskytnutím dotace na primární fází projektu, která nevytváří zisk a na výstavbu nemovitosti a infrastruktury, která už slouží k podnikatelské činnosti poskytovat zvýhodněný úvěr.</w:t>
      </w:r>
    </w:p>
    <w:p w:rsidR="006D67F1" w:rsidRPr="002C224A" w:rsidRDefault="006D67F1" w:rsidP="006F771D"/>
    <w:p w:rsidR="006D67F1" w:rsidRPr="002C224A" w:rsidRDefault="006D67F1" w:rsidP="00A34449">
      <w:pPr>
        <w:pStyle w:val="Nadpis3"/>
        <w:rPr>
          <w:rFonts w:ascii="Calibri" w:hAnsi="Calibri"/>
        </w:rPr>
      </w:pPr>
      <w:bookmarkStart w:id="972" w:name="_Toc421534319"/>
      <w:r w:rsidRPr="002C224A">
        <w:rPr>
          <w:rFonts w:ascii="Calibri" w:hAnsi="Calibri"/>
        </w:rPr>
        <w:t>Specifický cíl 3.1</w:t>
      </w:r>
      <w:bookmarkEnd w:id="972"/>
    </w:p>
    <w:p w:rsidR="006D67F1" w:rsidRPr="002C224A" w:rsidRDefault="006D67F1" w:rsidP="00A34449">
      <w:pPr>
        <w:pStyle w:val="Nadpis4"/>
        <w:rPr>
          <w:rFonts w:ascii="Calibri" w:hAnsi="Calibri"/>
        </w:rPr>
      </w:pPr>
      <w:r w:rsidRPr="002C224A">
        <w:rPr>
          <w:rFonts w:ascii="Calibri" w:hAnsi="Calibri"/>
        </w:rPr>
        <w:t>Závěry vyvozené z implementace podobných nástrojů v minulosti</w:t>
      </w:r>
    </w:p>
    <w:p w:rsidR="006D67F1" w:rsidRPr="002C224A" w:rsidRDefault="006D67F1" w:rsidP="006F771D">
      <w:r w:rsidRPr="00A50943">
        <w:t>Dominantní provozní podpo</w:t>
      </w:r>
      <w:r w:rsidRPr="002C224A">
        <w:t>ra uplatňovaná na OZE v minulých letech vedla k výraznému zdeformování trhu s elektřinou a disproporčního růstu některých segmentů, zejména solární energie. Výrazně přispěla též k poměrně vysokému počtu zbudovaných bioplynových stanic (BPS). V dnešní době je tedy problémem především racionalizace současné OZE výroby v rámci již zbudovaných zařízení, podporou zužitkování vyrobeného tepla, které nebylo původně primárním účelem. Tyto aktivity u BPS nebyly v minulosti přímo podporovány, dá se nicméně navázat především na zkušenost s dotační podporu některých projektů v OP PI, které se týkaly zpracování biomasy a malých vodních elektráren. V programu Eko</w:t>
      </w:r>
      <w:r w:rsidR="006663C9" w:rsidRPr="002C224A">
        <w:t>-</w:t>
      </w:r>
      <w:r w:rsidRPr="002C224A">
        <w:t>Energie OP PI bylo úspěšně podpořena řada projektů tohoto typu, v případě MVE, které současně čerpají provozní podporu, se nicméně jeví další dotační podpora neodůvodněná.</w:t>
      </w:r>
      <w:r w:rsidR="00567959" w:rsidRPr="002C224A">
        <w:t xml:space="preserve"> Projekty MVE z výzev Eko</w:t>
      </w:r>
      <w:r w:rsidR="006663C9" w:rsidRPr="002C224A">
        <w:t>-</w:t>
      </w:r>
      <w:r w:rsidR="00567959" w:rsidRPr="002C224A">
        <w:t xml:space="preserve">Energie dosahovaly IRR nejčastěji kolem 10 %.  </w:t>
      </w:r>
    </w:p>
    <w:p w:rsidR="006D67F1" w:rsidRPr="002C224A" w:rsidRDefault="006D67F1" w:rsidP="006F771D"/>
    <w:p w:rsidR="006D67F1" w:rsidRPr="002C224A" w:rsidRDefault="006D67F1" w:rsidP="006F771D">
      <w:r w:rsidRPr="002C224A">
        <w:t>Ekonomika MVE ukazuje při současné provozní podpoře potenciál vhodný pro využití investiční podpory formou zvýhodněných úvěrů. Dokládá to i několik projektů MVE, které byly podpořeny v rámci minulých programů ČMZRB zvýhodněnými úvěry a zárukami.</w:t>
      </w:r>
    </w:p>
    <w:p w:rsidR="006D67F1" w:rsidRPr="002C224A" w:rsidRDefault="006D67F1" w:rsidP="006F771D"/>
    <w:p w:rsidR="006D67F1" w:rsidRPr="002C224A" w:rsidRDefault="006D67F1" w:rsidP="00A34449">
      <w:pPr>
        <w:pStyle w:val="Nadpis4"/>
        <w:rPr>
          <w:rFonts w:ascii="Calibri" w:hAnsi="Calibri"/>
        </w:rPr>
      </w:pPr>
      <w:r w:rsidRPr="002C224A">
        <w:rPr>
          <w:rFonts w:ascii="Calibri" w:hAnsi="Calibri"/>
        </w:rPr>
        <w:t>Přehled zahraničních zkušeností s obdobnými finančními nástroji</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67F1" w:rsidRPr="002C224A" w:rsidTr="00823083">
        <w:trPr>
          <w:trHeight w:val="482"/>
        </w:trPr>
        <w:tc>
          <w:tcPr>
            <w:tcW w:w="2000" w:type="dxa"/>
            <w:shd w:val="clear" w:color="auto" w:fill="548DD4"/>
            <w:noWrap/>
            <w:vAlign w:val="center"/>
          </w:tcPr>
          <w:p w:rsidR="006D67F1" w:rsidRPr="00A50943" w:rsidRDefault="006D67F1" w:rsidP="00823083">
            <w:pPr>
              <w:jc w:val="center"/>
              <w:rPr>
                <w:b/>
                <w:color w:val="FFFFFF"/>
              </w:rPr>
            </w:pPr>
            <w:r w:rsidRPr="00A50943">
              <w:rPr>
                <w:b/>
                <w:color w:val="FFFFFF"/>
              </w:rPr>
              <w:t>Rakousko</w:t>
            </w:r>
          </w:p>
        </w:tc>
        <w:tc>
          <w:tcPr>
            <w:tcW w:w="6800" w:type="dxa"/>
            <w:shd w:val="clear" w:color="auto" w:fill="FFFFFF"/>
            <w:noWrap/>
          </w:tcPr>
          <w:p w:rsidR="006D67F1" w:rsidRPr="002C224A" w:rsidRDefault="006D67F1" w:rsidP="006F771D">
            <w:r w:rsidRPr="002C224A">
              <w:t xml:space="preserve">Program podobný rekonstrukci stávajících malých vodních elektráren (MVE) byl realizován v letech 2004 až 2011 v programu investičního fondu ÖKOP v provincii Horní Rakousko, kde začátkem roku 2013 bylo až 78 % elektřiny produkovaných pomoci hydroelektráren. V daném období nabízel fond dotace až do výše 25 % nákladů na rekonstrukci a zlepšení technologie, maximálně do výšky 50 000 €. Celkem obdrželi majitelé MVE finanční prostředky v hodnotě </w:t>
            </w:r>
            <w:smartTag w:uri="urn:schemas-microsoft-com:office:smarttags" w:element="metricconverter">
              <w:smartTagPr>
                <w:attr w:name="ProductID" w:val="4,8 mil"/>
              </w:smartTagPr>
              <w:r w:rsidRPr="002C224A">
                <w:t>4,8 mil</w:t>
              </w:r>
            </w:smartTag>
            <w:r w:rsidRPr="002C224A">
              <w:t xml:space="preserve">. €, která následně vyvolaly investice ve výši </w:t>
            </w:r>
            <w:smartTag w:uri="urn:schemas-microsoft-com:office:smarttags" w:element="metricconverter">
              <w:smartTagPr>
                <w:attr w:name="ProductID" w:val="37,3 mil"/>
              </w:smartTagPr>
              <w:r w:rsidRPr="002C224A">
                <w:t>37,3 mil</w:t>
              </w:r>
            </w:smartTag>
            <w:r w:rsidRPr="002C224A">
              <w:t xml:space="preserve">. € (+ 80 GWh, což je ekvivalent 22 800 domácnosti). Pákový efekt dosáhnul úrovně 7,7. Od roku 2012 má národní investiční program financování MVE (s výkonem do 1 MW) v rozpočtu </w:t>
            </w:r>
            <w:smartTag w:uri="urn:schemas-microsoft-com:office:smarttags" w:element="metricconverter">
              <w:smartTagPr>
                <w:attr w:name="ProductID" w:val="33 mil"/>
              </w:smartTagPr>
              <w:r w:rsidRPr="002C224A">
                <w:t>33 mil</w:t>
              </w:r>
            </w:smartTag>
            <w:r w:rsidRPr="002C224A">
              <w:t>. € ročně určeno na další rekonstrukce a budování nových MVE. Majitelé mají nárok uplatnit  finanční pomoc až do výše 30 % z hodnoty investice nebo alternativně požádat o garantování výkupní ceny na 13 let. Každý žadatel o licenci a finanční pomoc musí zabezpečit kontinuitu řeky a respektovat ekologické požadavky.</w:t>
            </w:r>
          </w:p>
          <w:p w:rsidR="006D67F1" w:rsidRPr="002C224A" w:rsidRDefault="006D67F1" w:rsidP="006F771D"/>
          <w:p w:rsidR="006D67F1" w:rsidRPr="002C224A" w:rsidRDefault="006D67F1">
            <w:r w:rsidRPr="002C224A">
              <w:t xml:space="preserve"> V tomto regionu je v provozu 790 (z celkově 860 vodních elektráren) MVE s výkonem nižším než 0,5 MW. Energetická agentura je odpovědná za zvyšování povědomí a poradenský program pro majitelé MVE. Majitelé MVE mají možnost požádat o poradenství ohledně optimalizace potenciálu, technických a ekologických požadavek a financování a veřejné podpory. Od roku 2007 bylo vynesených 338 konzultaci a všechny náklady byly uhrazené ze zdrojů programu.</w:t>
            </w:r>
          </w:p>
          <w:p w:rsidR="006D67F1" w:rsidRPr="00A50943" w:rsidRDefault="006D67F1" w:rsidP="00331BB7">
            <w:pPr>
              <w:pStyle w:val="Titulek"/>
              <w:rPr>
                <w:color w:val="000000"/>
              </w:rPr>
            </w:pPr>
          </w:p>
        </w:tc>
      </w:tr>
    </w:tbl>
    <w:p w:rsidR="00F6076B" w:rsidRPr="002C224A" w:rsidRDefault="00F6076B" w:rsidP="00F6076B">
      <w:pPr>
        <w:pStyle w:val="Titulek"/>
      </w:pPr>
      <w:r w:rsidRPr="002C224A">
        <w:t xml:space="preserve">Tabulka </w:t>
      </w:r>
      <w:r>
        <w:t>93</w:t>
      </w:r>
      <w:r w:rsidRPr="002C224A">
        <w:t>: příklady zahraničních zkušeností s</w:t>
      </w:r>
      <w:r>
        <w:t> podporou OZE</w:t>
      </w:r>
    </w:p>
    <w:p w:rsidR="006D67F1" w:rsidRPr="002C224A" w:rsidRDefault="006D67F1" w:rsidP="00A34449">
      <w:pPr>
        <w:pStyle w:val="Nadpis4"/>
        <w:rPr>
          <w:rFonts w:ascii="Calibri" w:hAnsi="Calibri"/>
        </w:rPr>
      </w:pPr>
      <w:r w:rsidRPr="002C224A">
        <w:rPr>
          <w:rFonts w:ascii="Calibri" w:hAnsi="Calibri"/>
        </w:rPr>
        <w:t>Aplikace zkušeností na současné podmínky</w:t>
      </w:r>
    </w:p>
    <w:p w:rsidR="006D67F1" w:rsidRPr="002C224A" w:rsidRDefault="006D67F1" w:rsidP="006F771D">
      <w:r w:rsidRPr="00A50943">
        <w:t>Dosavadní zkušenosti doma i u nás ukazu</w:t>
      </w:r>
      <w:r w:rsidRPr="002C224A">
        <w:t>jí přetrvávající potřebu výrazné podpory dotčených OZE v rámci jejich budování a zefektivňování. V rámci kombinace s provozní podporou se jeví jako vhodné uplatňovat formu zvýhodněných úvěrů, obdobně jako ve schématu SC 3.2.</w:t>
      </w:r>
    </w:p>
    <w:p w:rsidR="006D67F1" w:rsidRPr="002C224A" w:rsidRDefault="006D67F1" w:rsidP="006F771D"/>
    <w:p w:rsidR="006D67F1" w:rsidRPr="002C224A" w:rsidRDefault="006D67F1" w:rsidP="00A34449">
      <w:pPr>
        <w:pStyle w:val="Nadpis3"/>
        <w:rPr>
          <w:rFonts w:ascii="Calibri" w:hAnsi="Calibri"/>
        </w:rPr>
      </w:pPr>
      <w:bookmarkStart w:id="973" w:name="_Toc421534320"/>
      <w:r w:rsidRPr="002C224A">
        <w:rPr>
          <w:rFonts w:ascii="Calibri" w:hAnsi="Calibri"/>
        </w:rPr>
        <w:t>Specifický cíl 3.2</w:t>
      </w:r>
      <w:bookmarkEnd w:id="973"/>
    </w:p>
    <w:p w:rsidR="006D67F1" w:rsidRPr="002C224A" w:rsidRDefault="006D67F1" w:rsidP="00A34449">
      <w:pPr>
        <w:pStyle w:val="Nadpis4"/>
        <w:rPr>
          <w:rFonts w:ascii="Calibri" w:hAnsi="Calibri"/>
        </w:rPr>
      </w:pPr>
      <w:r w:rsidRPr="002C224A">
        <w:rPr>
          <w:rFonts w:ascii="Calibri" w:hAnsi="Calibri"/>
        </w:rPr>
        <w:t>Závěry vyvozené z implementace podobných nástrojů v minulosti</w:t>
      </w:r>
    </w:p>
    <w:p w:rsidR="0017512B" w:rsidRPr="002C224A" w:rsidRDefault="006D67F1" w:rsidP="00A34449">
      <w:r w:rsidRPr="00A50943">
        <w:t>Poměrně úspěšná zkušenost s dosavadní dotační podporou v rámci programu Eko-</w:t>
      </w:r>
      <w:r w:rsidR="007A56B7" w:rsidRPr="002C224A">
        <w:t>e</w:t>
      </w:r>
      <w:r w:rsidRPr="002C224A">
        <w:t>nergie OP PI je charakteristická vysokou poptávkou</w:t>
      </w:r>
      <w:r w:rsidR="001256CE" w:rsidRPr="002C224A">
        <w:t xml:space="preserve"> po ní</w:t>
      </w:r>
      <w:r w:rsidRPr="002C224A">
        <w:t>. Obtíže spojené s charakterem dotací nicméně přetrvával</w:t>
      </w:r>
      <w:r w:rsidR="001256CE" w:rsidRPr="002C224A">
        <w:t>y</w:t>
      </w:r>
      <w:r w:rsidRPr="002C224A">
        <w:t xml:space="preserve"> i v rámci tohoto programu – relativně vysoká administrativní náročnost, podpoření množství projektů, které se obdržením dotačního bonusu stal</w:t>
      </w:r>
      <w:r w:rsidR="001256CE" w:rsidRPr="002C224A">
        <w:t>y</w:t>
      </w:r>
      <w:r w:rsidRPr="002C224A">
        <w:t xml:space="preserve"> výnosnými nad obvyklé tržní poměry. Dotační podpora v posledních letech má negativní vliv na fungování tržního prostředí, které je uvyklé na fungování dotací a vzniká významná zadržená investiční aktivita, která čeká na vyhlášení další výzvy. Dotace částečně mohou vytlačovat tržní mechanismy a soukromý kapitál. </w:t>
      </w:r>
    </w:p>
    <w:p w:rsidR="0017512B" w:rsidRPr="002C224A" w:rsidRDefault="0017512B" w:rsidP="00A34449"/>
    <w:p w:rsidR="006D67F1" w:rsidRPr="002C224A" w:rsidRDefault="006D67F1" w:rsidP="00A34449">
      <w:r w:rsidRPr="002C224A">
        <w:t>Zkušenosti s dosavadními výzvami naznačují nezanedbatelný potenciál způsobilých projektů, jejichž ekonomika se pohybuje na hranici tržní proveditelnosti a je možné jí podpořit finančním nástrojem.</w:t>
      </w:r>
    </w:p>
    <w:p w:rsidR="0077442D" w:rsidRPr="002C224A" w:rsidRDefault="0017512B" w:rsidP="00A34449">
      <w:r w:rsidRPr="002C224A">
        <w:lastRenderedPageBreak/>
        <w:t>V rámci III. výzvy programu Eko-energie OP PI</w:t>
      </w:r>
      <w:r w:rsidR="0077442D" w:rsidRPr="002C224A">
        <w:t xml:space="preserve"> bylo registrováno</w:t>
      </w:r>
      <w:r w:rsidRPr="002C224A">
        <w:t xml:space="preserve"> 37 projektů </w:t>
      </w:r>
      <w:r w:rsidR="0077442D" w:rsidRPr="002C224A">
        <w:t xml:space="preserve">se způsobilými výdaji cca </w:t>
      </w:r>
      <w:smartTag w:uri="urn:schemas-microsoft-com:office:smarttags" w:element="metricconverter">
        <w:smartTagPr>
          <w:attr w:name="ProductID" w:val="600 mil"/>
        </w:smartTagPr>
        <w:r w:rsidR="0077442D" w:rsidRPr="002C224A">
          <w:t>600 mil</w:t>
        </w:r>
      </w:smartTag>
      <w:r w:rsidR="0077442D" w:rsidRPr="002C224A">
        <w:t>. Kč, u kterých IRR překračovalo 20 %. Medián IRR u projektů III. výzvy – prodloužené nicméně činil 6,67 %, což jasně značí větší podíl projektů s výrazně vyšší návratností.</w:t>
      </w:r>
    </w:p>
    <w:p w:rsidR="006D67F1" w:rsidRPr="002C224A" w:rsidRDefault="006D67F1" w:rsidP="00A34449"/>
    <w:p w:rsidR="006D67F1" w:rsidRPr="002C224A" w:rsidRDefault="006D67F1" w:rsidP="00A34449">
      <w:pPr>
        <w:pStyle w:val="Nadpis4"/>
        <w:rPr>
          <w:rFonts w:ascii="Calibri" w:hAnsi="Calibri"/>
        </w:rPr>
      </w:pPr>
      <w:r w:rsidRPr="002C224A">
        <w:rPr>
          <w:rFonts w:ascii="Calibri" w:hAnsi="Calibri"/>
        </w:rPr>
        <w:t>Přehled zahraničních zkušeností s obdobnými finančními nástroji</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67F1" w:rsidRPr="002C224A" w:rsidTr="00823083">
        <w:trPr>
          <w:trHeight w:val="482"/>
        </w:trPr>
        <w:tc>
          <w:tcPr>
            <w:tcW w:w="2000" w:type="dxa"/>
            <w:shd w:val="clear" w:color="auto" w:fill="548DD4"/>
            <w:noWrap/>
            <w:vAlign w:val="center"/>
          </w:tcPr>
          <w:p w:rsidR="006D67F1" w:rsidRPr="00A50943" w:rsidRDefault="006D67F1" w:rsidP="00823083">
            <w:pPr>
              <w:jc w:val="center"/>
              <w:rPr>
                <w:b/>
                <w:color w:val="FFFFFF"/>
              </w:rPr>
            </w:pPr>
            <w:r w:rsidRPr="00A50943">
              <w:rPr>
                <w:b/>
                <w:color w:val="FFFFFF"/>
              </w:rPr>
              <w:t>Polsko (WFOŚiGWvK)</w:t>
            </w:r>
          </w:p>
        </w:tc>
        <w:tc>
          <w:tcPr>
            <w:tcW w:w="6800" w:type="dxa"/>
            <w:shd w:val="clear" w:color="auto" w:fill="FFFFFF"/>
            <w:noWrap/>
          </w:tcPr>
          <w:p w:rsidR="006D67F1" w:rsidRPr="002C224A" w:rsidRDefault="006D67F1" w:rsidP="006F771D">
            <w:r w:rsidRPr="002C224A">
              <w:rPr>
                <w:b/>
              </w:rPr>
              <w:t>Wojewódzki Fundusz Ochrony Środowiska i Gospodarki Wodnej w Katowicach (WFOŚiGWvK)</w:t>
            </w:r>
          </w:p>
          <w:p w:rsidR="006D67F1" w:rsidRPr="002C224A" w:rsidRDefault="006D67F1" w:rsidP="006D195E">
            <w:pPr>
              <w:rPr>
                <w:b/>
              </w:rPr>
            </w:pPr>
            <w:r w:rsidRPr="002C224A">
              <w:t>Každé vojvodství má svůj fond fungující na stejném principu. Pro potřeby mezinárodního srovnání byl vybrán Fond vojvodství Katowice. Tento fond byl založen roku 1993 jako veřejná finanční instituce realizující ekologickou politiku slezského vojvodství. Fond podporuje ekologické projekty realizované veřejnými i soukromými subjekty s využitím evropských prostředků určených na ochranu životního prostředí a vodního hospodářství. Fond podporuje projekty nejčastěji formou dotací a úvěrů, se souhlasem vojvody se může stát i equity investorem. Oblasti investic jsou mj. projekty:</w:t>
            </w:r>
          </w:p>
          <w:p w:rsidR="006D67F1" w:rsidRPr="002C224A" w:rsidRDefault="006D67F1" w:rsidP="006D195E">
            <w:pPr>
              <w:pStyle w:val="Odstavecseseznamem1"/>
              <w:numPr>
                <w:ilvl w:val="0"/>
                <w:numId w:val="54"/>
              </w:numPr>
              <w:overflowPunct/>
              <w:autoSpaceDE/>
              <w:autoSpaceDN/>
              <w:adjustRightInd/>
              <w:spacing w:after="120"/>
              <w:textAlignment w:val="auto"/>
              <w:rPr>
                <w:b/>
              </w:rPr>
            </w:pPr>
            <w:r w:rsidRPr="002C224A">
              <w:t>Zateplení budov;</w:t>
            </w:r>
          </w:p>
          <w:p w:rsidR="006D67F1" w:rsidRPr="002C224A" w:rsidRDefault="006D67F1" w:rsidP="006D195E">
            <w:pPr>
              <w:pStyle w:val="Odstavecseseznamem1"/>
              <w:numPr>
                <w:ilvl w:val="0"/>
                <w:numId w:val="54"/>
              </w:numPr>
              <w:overflowPunct/>
              <w:autoSpaceDE/>
              <w:autoSpaceDN/>
              <w:adjustRightInd/>
              <w:spacing w:after="120"/>
              <w:textAlignment w:val="auto"/>
              <w:rPr>
                <w:b/>
              </w:rPr>
            </w:pPr>
            <w:r w:rsidRPr="002C224A">
              <w:t>Likvidace azbestu;</w:t>
            </w:r>
          </w:p>
          <w:p w:rsidR="006D67F1" w:rsidRPr="002C224A" w:rsidRDefault="006D67F1" w:rsidP="006D195E">
            <w:pPr>
              <w:pStyle w:val="Odstavecseseznamem1"/>
              <w:numPr>
                <w:ilvl w:val="0"/>
                <w:numId w:val="54"/>
              </w:numPr>
              <w:overflowPunct/>
              <w:autoSpaceDE/>
              <w:autoSpaceDN/>
              <w:adjustRightInd/>
              <w:spacing w:after="120"/>
              <w:textAlignment w:val="auto"/>
              <w:rPr>
                <w:b/>
              </w:rPr>
            </w:pPr>
            <w:r w:rsidRPr="002C224A">
              <w:t>Ekologické zdroje energie;</w:t>
            </w:r>
          </w:p>
          <w:p w:rsidR="006D67F1" w:rsidRPr="002C224A" w:rsidRDefault="006D67F1" w:rsidP="006D195E">
            <w:pPr>
              <w:pStyle w:val="Odstavecseseznamem1"/>
              <w:numPr>
                <w:ilvl w:val="0"/>
                <w:numId w:val="54"/>
              </w:numPr>
              <w:overflowPunct/>
              <w:autoSpaceDE/>
              <w:autoSpaceDN/>
              <w:adjustRightInd/>
              <w:spacing w:after="120"/>
              <w:textAlignment w:val="auto"/>
              <w:rPr>
                <w:b/>
              </w:rPr>
            </w:pPr>
            <w:r w:rsidRPr="002C224A">
              <w:t>Výměna tepelných jednotek.</w:t>
            </w:r>
          </w:p>
          <w:p w:rsidR="006D67F1" w:rsidRPr="002C224A" w:rsidRDefault="006D67F1" w:rsidP="006D195E">
            <w:r w:rsidRPr="002C224A">
              <w:t xml:space="preserve">Stěžejní roli při financování fondu hrají prostředky EU a další zahraniční zdroje financování, které jsou doplňovány z centrálního a regionálního rozpočtu. Na začátku roku bude Fond disponovat 1 225,5 mld. PLN a dalších 155,8 mld. PLN do jeho rozpočtu přiteče v průběhu roku. Celkové výdaje na rok 2015 se očekávají ve výši 493,5 mld. PLN (488,2 mld. PLN v roce 2014, 374,8 mld. PLN v roce 2013). </w:t>
            </w:r>
          </w:p>
          <w:p w:rsidR="006D67F1" w:rsidRPr="002C224A" w:rsidRDefault="006D67F1" w:rsidP="006D195E">
            <w:pPr>
              <w:rPr>
                <w:b/>
              </w:rPr>
            </w:pPr>
            <w:r w:rsidRPr="002C224A">
              <w:t>Fond poskytuje financování formou finančních nástrojů v následujících podobách:</w:t>
            </w:r>
          </w:p>
          <w:p w:rsidR="006D67F1" w:rsidRPr="002C224A" w:rsidRDefault="006D67F1" w:rsidP="006D195E">
            <w:pPr>
              <w:rPr>
                <w:b/>
              </w:rPr>
            </w:pPr>
          </w:p>
          <w:p w:rsidR="006D67F1" w:rsidRPr="002C224A" w:rsidRDefault="006D67F1" w:rsidP="006D195E">
            <w:pPr>
              <w:rPr>
                <w:b/>
              </w:rPr>
            </w:pPr>
            <w:r w:rsidRPr="002C224A">
              <w:rPr>
                <w:b/>
              </w:rPr>
              <w:t>Úvěry, včetně překlenovacích</w:t>
            </w:r>
          </w:p>
          <w:p w:rsidR="006D67F1" w:rsidRPr="002C224A" w:rsidRDefault="006D67F1" w:rsidP="006D195E">
            <w:r w:rsidRPr="002C224A">
              <w:t xml:space="preserve">Až do výše 80% kvalifikovaných nákladů s přihlédnutím k ekologickému významu projektu a možnostem Fondu. V případě kombinace </w:t>
            </w:r>
            <w:r w:rsidR="00D014D3">
              <w:t>úvěru</w:t>
            </w:r>
            <w:r w:rsidR="00D014D3" w:rsidRPr="002C224A">
              <w:t xml:space="preserve"> </w:t>
            </w:r>
            <w:r w:rsidRPr="002C224A">
              <w:t>a dotace nesmí souhrnná podpora přesáhnout 80% způsobilých nákladů. Výjimku tvoří projekty na odstraňování azbestu, které jsou oprávněny získat pokrytí 100% nákladů. V případě financování za použití evropských zdrojů nemůže podpora přesáhnout 80% vlastních prostředků žadatele.</w:t>
            </w:r>
          </w:p>
          <w:p w:rsidR="006D67F1" w:rsidRPr="002C224A" w:rsidRDefault="006D67F1" w:rsidP="006D195E">
            <w:pPr>
              <w:rPr>
                <w:b/>
              </w:rPr>
            </w:pPr>
          </w:p>
          <w:p w:rsidR="006D67F1" w:rsidRPr="002C224A" w:rsidRDefault="006D67F1" w:rsidP="006D195E">
            <w:r w:rsidRPr="002C224A">
              <w:t xml:space="preserve">Úroková sazba se odvozuje jako 0,95*repo sazba publikované polskou centrální bankou, nikoli však méně než 3,5%. </w:t>
            </w:r>
            <w:r w:rsidR="00D014D3">
              <w:t>Úvěr</w:t>
            </w:r>
            <w:r w:rsidR="00D014D3" w:rsidRPr="002C224A">
              <w:t xml:space="preserve"> </w:t>
            </w:r>
            <w:r w:rsidRPr="002C224A">
              <w:t xml:space="preserve">musí být splacen v rozmezí 3 – 12 let, přičemž první splátka je splatná 3 – 12 měsíců po dokončení realizace projektu. Překlenovací úvěry se řídí speciálními podmínkami. </w:t>
            </w:r>
            <w:r w:rsidR="00D014D3">
              <w:t>Úvěr</w:t>
            </w:r>
            <w:r w:rsidR="00D014D3" w:rsidRPr="002C224A">
              <w:t xml:space="preserve"> </w:t>
            </w:r>
            <w:r w:rsidRPr="002C224A">
              <w:t>je poskytov</w:t>
            </w:r>
            <w:r w:rsidR="00D014D3">
              <w:t>a</w:t>
            </w:r>
            <w:r w:rsidRPr="002C224A">
              <w:t>n</w:t>
            </w:r>
            <w:r w:rsidR="00D014D3">
              <w:t>ý</w:t>
            </w:r>
            <w:r w:rsidRPr="002C224A">
              <w:t xml:space="preserve"> prostřednictvím spolupracující banky, která má v kompetenci posuzování bonity žadatele a řídí standardními procedurami běžnými v bankovním sektoru.</w:t>
            </w:r>
          </w:p>
          <w:p w:rsidR="006D67F1" w:rsidRPr="002C224A" w:rsidRDefault="006D67F1" w:rsidP="006D195E">
            <w:pPr>
              <w:rPr>
                <w:b/>
              </w:rPr>
            </w:pPr>
          </w:p>
          <w:p w:rsidR="006D67F1" w:rsidRPr="002C224A" w:rsidRDefault="006D67F1" w:rsidP="006D195E">
            <w:pPr>
              <w:rPr>
                <w:b/>
              </w:rPr>
            </w:pPr>
            <w:r w:rsidRPr="002C224A">
              <w:rPr>
                <w:b/>
              </w:rPr>
              <w:t>Umoření části čerpaného úvěru</w:t>
            </w:r>
          </w:p>
          <w:p w:rsidR="006D67F1" w:rsidRPr="002C224A" w:rsidRDefault="006D67F1" w:rsidP="006D195E">
            <w:pPr>
              <w:rPr>
                <w:b/>
              </w:rPr>
            </w:pPr>
            <w:r w:rsidRPr="002C224A">
              <w:t xml:space="preserve">Fond nabízí umoření části jistiny běžného komerčního úvěru čerpaného žadatelem v souvislosti s projektem. K umoření může dojít v případě, kdy byl celý projekt dokončen podle plánu, v odpovídajícím období přinesl </w:t>
            </w:r>
            <w:r w:rsidRPr="002C224A">
              <w:lastRenderedPageBreak/>
              <w:t xml:space="preserve">dohodnuté ekologické benefity a zároveň byla řádně splacena alespoň polovina </w:t>
            </w:r>
            <w:r w:rsidR="00D014D3">
              <w:t>úvěru</w:t>
            </w:r>
            <w:r w:rsidRPr="002C224A">
              <w:t xml:space="preserve">. </w:t>
            </w:r>
          </w:p>
          <w:p w:rsidR="006D67F1" w:rsidRPr="002C224A" w:rsidRDefault="006D67F1" w:rsidP="006D195E">
            <w:r w:rsidRPr="002C224A">
              <w:t xml:space="preserve">Umořeno může být 20% </w:t>
            </w:r>
            <w:r w:rsidR="00D014D3">
              <w:t>úvěru</w:t>
            </w:r>
            <w:r w:rsidRPr="002C224A">
              <w:t xml:space="preserve">, nebo až 40 % (v některých případech až 45%) </w:t>
            </w:r>
            <w:r w:rsidR="00D014D3">
              <w:t>úvěru</w:t>
            </w:r>
            <w:r w:rsidR="00D014D3" w:rsidRPr="002C224A">
              <w:t xml:space="preserve"> </w:t>
            </w:r>
            <w:r w:rsidRPr="002C224A">
              <w:t>v případě, že se dlužník zaváže ekvivalent umořené částky reinvestovat do jiného projektu podporovaného typu.</w:t>
            </w:r>
          </w:p>
          <w:p w:rsidR="006D67F1" w:rsidRPr="002C224A" w:rsidRDefault="006D67F1" w:rsidP="006D195E"/>
          <w:p w:rsidR="006D67F1" w:rsidRPr="002C224A" w:rsidRDefault="006D67F1" w:rsidP="006D195E">
            <w:pPr>
              <w:rPr>
                <w:b/>
              </w:rPr>
            </w:pPr>
            <w:r w:rsidRPr="002C224A">
              <w:rPr>
                <w:b/>
              </w:rPr>
              <w:t>Dotace na úhradu úrokových nákladů čerpaného úvěru</w:t>
            </w:r>
          </w:p>
          <w:p w:rsidR="006D67F1" w:rsidRPr="002C224A" w:rsidRDefault="006D67F1" w:rsidP="006D195E">
            <w:r w:rsidRPr="002C224A">
              <w:t>Dotace je poskytována na úhradu úrokových nákladů z úvěru dosahujícího až do výše 80% způsobilých nákladů. Hradit je možné náklady úvěrů, jejichž úroková sazba nepřesahuje dvojnásobek 3M WIBOR přičemž fond neuhradí větší část úrokového nákladu než 0,6*3M WIBOR. Dotovat lze pouze úrokové náklady úvěrů splatných do 12 let od realizace projektu.</w:t>
            </w:r>
          </w:p>
          <w:p w:rsidR="006D67F1" w:rsidRPr="002C224A" w:rsidRDefault="006D67F1" w:rsidP="006D195E"/>
          <w:p w:rsidR="006D67F1" w:rsidRPr="002C224A" w:rsidRDefault="006D67F1" w:rsidP="006D195E">
            <w:pPr>
              <w:rPr>
                <w:b/>
              </w:rPr>
            </w:pPr>
            <w:r w:rsidRPr="002C224A">
              <w:rPr>
                <w:b/>
              </w:rPr>
              <w:t>Bankovní úvěrová linka</w:t>
            </w:r>
          </w:p>
          <w:p w:rsidR="006D67F1" w:rsidRPr="002C224A" w:rsidRDefault="006D67F1" w:rsidP="006D195E">
            <w:pPr>
              <w:rPr>
                <w:b/>
              </w:rPr>
            </w:pPr>
            <w:r w:rsidRPr="002C224A">
              <w:t xml:space="preserve">Financování až 90 % způsobilých investičních nákladů, ne však více než 300 tis. PLN, prostřednictvím bankovní úvěrové linky. Sazba úvěru je 0,95 repo sazby, ne však méně než 3,5 % p.a. Jednorázová provize banky činí 1 % přiznané linky. </w:t>
            </w:r>
          </w:p>
          <w:p w:rsidR="006D67F1" w:rsidRPr="002C224A" w:rsidRDefault="006D67F1">
            <w:r w:rsidRPr="002C224A">
              <w:t>Linka musí být splacena v rozmezí 3 – 12 let, přičemž první splátka je splatná 3 – 12 měsíců po dokončení realizace projektu. Celý projekt musí být dokončen do 18 měsíců od poskytnutí úvěrové linky. Linka je poskytována prostřednictvím spolupracující banky, která má v kompetenci posuzování bonity žadatele a řídí standardními procedurami běžnými v bankovním sektoru.</w:t>
            </w:r>
          </w:p>
          <w:p w:rsidR="00320102" w:rsidRPr="00A50943" w:rsidRDefault="00320102" w:rsidP="00331BB7">
            <w:pPr>
              <w:pStyle w:val="Titulek"/>
              <w:rPr>
                <w:color w:val="000000"/>
              </w:rPr>
            </w:pPr>
          </w:p>
        </w:tc>
      </w:tr>
    </w:tbl>
    <w:p w:rsidR="00F6076B" w:rsidRPr="002C224A" w:rsidRDefault="00F6076B" w:rsidP="00F6076B">
      <w:pPr>
        <w:pStyle w:val="Titulek"/>
      </w:pPr>
      <w:r w:rsidRPr="002C224A">
        <w:lastRenderedPageBreak/>
        <w:t xml:space="preserve">Tabulka </w:t>
      </w:r>
      <w:r>
        <w:t>94</w:t>
      </w:r>
      <w:r w:rsidRPr="002C224A">
        <w:t>: příklady zahraničních zkušeností s</w:t>
      </w:r>
      <w:r>
        <w:t> podporou energetické účinnosti</w:t>
      </w:r>
    </w:p>
    <w:p w:rsidR="006D67F1" w:rsidRPr="002C224A" w:rsidRDefault="006D67F1" w:rsidP="00A34449">
      <w:pPr>
        <w:pStyle w:val="Nadpis4"/>
        <w:rPr>
          <w:rFonts w:ascii="Calibri" w:hAnsi="Calibri"/>
        </w:rPr>
      </w:pPr>
      <w:r w:rsidRPr="002C224A">
        <w:rPr>
          <w:rFonts w:ascii="Calibri" w:hAnsi="Calibri"/>
        </w:rPr>
        <w:t>Aplikace zkušeností na současné podmínky</w:t>
      </w:r>
    </w:p>
    <w:p w:rsidR="006D67F1" w:rsidRPr="002C224A" w:rsidRDefault="006D67F1" w:rsidP="00A34449">
      <w:r w:rsidRPr="00A50943">
        <w:t>Zkušenosti s dosavadní podporou naznačují výrazný prostor pro využití navrhova</w:t>
      </w:r>
      <w:r w:rsidRPr="002C224A">
        <w:t>ného finančního nástroje formou zvýhodněných úvěrů</w:t>
      </w:r>
      <w:r w:rsidR="008D4206" w:rsidRPr="002C224A">
        <w:t>, byť nikoli plošným způsobem</w:t>
      </w:r>
      <w:r w:rsidRPr="002C224A">
        <w:t>. Účelněji se tak vyplní segment projektů na hranici tržní proveditelnosti a bude se zároveň jednat o krok směrem k umenšení tržní deformace, kterou měla za následek dosavadní plošně dotační podpora. Zahraniční zkušenosti taktéž ukazují vhodnost motivace konečných příjemců k maximálním úsporám formou dodatečných podmíněných bonusů.</w:t>
      </w:r>
    </w:p>
    <w:p w:rsidR="006D67F1" w:rsidRPr="002C224A" w:rsidRDefault="006D67F1" w:rsidP="00A34449"/>
    <w:p w:rsidR="006D67F1" w:rsidRPr="002C224A" w:rsidRDefault="006D67F1" w:rsidP="00A34449">
      <w:pPr>
        <w:pStyle w:val="Nadpis3"/>
        <w:rPr>
          <w:rFonts w:ascii="Calibri" w:hAnsi="Calibri"/>
        </w:rPr>
      </w:pPr>
      <w:bookmarkStart w:id="974" w:name="_Toc421534321"/>
      <w:r w:rsidRPr="002C224A">
        <w:rPr>
          <w:rFonts w:ascii="Calibri" w:hAnsi="Calibri"/>
        </w:rPr>
        <w:t>Specifický cíl 3.5</w:t>
      </w:r>
      <w:bookmarkEnd w:id="974"/>
    </w:p>
    <w:p w:rsidR="006D67F1" w:rsidRPr="002C224A" w:rsidRDefault="006D67F1" w:rsidP="00A34449">
      <w:pPr>
        <w:pStyle w:val="Nadpis4"/>
        <w:rPr>
          <w:rFonts w:ascii="Calibri" w:hAnsi="Calibri"/>
        </w:rPr>
      </w:pPr>
      <w:r w:rsidRPr="002C224A">
        <w:rPr>
          <w:rFonts w:ascii="Calibri" w:hAnsi="Calibri"/>
        </w:rPr>
        <w:t>Závěry vyvozené z implementace podobných nástrojů v minulosti</w:t>
      </w:r>
    </w:p>
    <w:p w:rsidR="006D67F1" w:rsidRPr="002C224A" w:rsidRDefault="006D67F1" w:rsidP="006F771D">
      <w:r w:rsidRPr="00A50943">
        <w:t>Dotační podpora r</w:t>
      </w:r>
      <w:r w:rsidRPr="002C224A">
        <w:t>ekonstrukce soustav zásobování teplem v minulém období z prostředků OP PI a OP ŽP vyvolala významnou poptávku a zvýšenou investiční aktivitu v tomto sektoru. Koneční příjemci tedy na podobnou incentivizaci reagují příznivě, problémem je však omezení disponibilních zdrojů a velká investiční potřeba, kterou doposavad dotace rozhýbaly pouze částečně. Pro projekty zefektivňování KVET podporované v rámci EKO-Energie platí do značné míry body uvedené u SC 3.2. Existují zde projekty, které je možno podpořit účelněji formou zvýhodněných úvěrů.</w:t>
      </w:r>
    </w:p>
    <w:p w:rsidR="006D67F1" w:rsidRPr="002C224A" w:rsidRDefault="006D67F1" w:rsidP="00A34449">
      <w:pPr>
        <w:pStyle w:val="Nadpis4"/>
        <w:rPr>
          <w:rFonts w:ascii="Calibri" w:hAnsi="Calibri"/>
        </w:rPr>
      </w:pPr>
      <w:r w:rsidRPr="002C224A">
        <w:rPr>
          <w:rFonts w:ascii="Calibri" w:hAnsi="Calibri"/>
        </w:rPr>
        <w:t>Přehled zahraničních zkušeností s obdobnými finančními nástroji</w:t>
      </w:r>
    </w:p>
    <w:p w:rsidR="006D67F1" w:rsidRPr="00A50943" w:rsidRDefault="006D67F1" w:rsidP="00A34449"/>
    <w:p w:rsidR="006D67F1" w:rsidRPr="00A50943" w:rsidRDefault="006D67F1" w:rsidP="006F771D">
      <w:r w:rsidRPr="002C224A">
        <w:t xml:space="preserve">Zahraniční zkušenosti v tomto specifickém cíli jsou velmi obtížně přenositelné. V mnoha státech západní Evropy je trh se zásobováním teplem specifický a liší se napříč celým kontinentem. Pouze 12% tepla (pro vytápění prostoru a na teplou vodu) pochází z centralizovaných zdrojů tepla. V severských </w:t>
      </w:r>
      <w:r w:rsidRPr="002C224A">
        <w:lastRenderedPageBreak/>
        <w:t>státech (kromě Norska) v průměru 50 %</w:t>
      </w:r>
      <w:r w:rsidRPr="002C224A">
        <w:rPr>
          <w:rStyle w:val="Znakapoznpodarou"/>
          <w:rFonts w:ascii="Calibri" w:hAnsi="Calibri"/>
        </w:rPr>
        <w:footnoteReference w:id="57"/>
      </w:r>
      <w:r w:rsidRPr="00A50943">
        <w:t xml:space="preserve"> tepla pochází z centralizovaných zdrojů, kdežto v západních státech (UK, NL, GER</w:t>
      </w:r>
      <w:r w:rsidRPr="002C224A">
        <w:t>, AUT, BEL) je trh malý, ale vykazuje známky růstu. Středomořské státy mají podíl výroby tepla centralizovaným zdrojem na úrovní 2 %. Bývalé socialistické státy zdědily z minulosti vybudovanou strukturu tepláren a soustav teplovodů, na jejich efektivní zásobování je nutné vynaložit obrovské prostředky na jejich modernizaci, čímž se liší tento druh od investic do teplárenství u starších členů EU.</w:t>
      </w:r>
      <w:r w:rsidRPr="002C224A">
        <w:rPr>
          <w:rStyle w:val="Znakapoznpodarou"/>
          <w:rFonts w:ascii="Calibri" w:hAnsi="Calibri"/>
        </w:rPr>
        <w:footnoteReference w:id="58"/>
      </w:r>
    </w:p>
    <w:p w:rsidR="006D67F1" w:rsidRPr="002C224A" w:rsidRDefault="006D67F1" w:rsidP="00A34449"/>
    <w:p w:rsidR="006D67F1" w:rsidRPr="002C224A" w:rsidRDefault="006D67F1" w:rsidP="006D195E">
      <w:r w:rsidRPr="002C224A">
        <w:rPr>
          <w:b/>
        </w:rPr>
        <w:t xml:space="preserve">Obecně lze konstatovat, že především specifické cíle </w:t>
      </w:r>
      <w:smartTag w:uri="urn:schemas-microsoft-com:office:smarttags" w:element="metricconverter">
        <w:smartTagPr>
          <w:attr w:name="ProductID" w:val="3.2 a"/>
        </w:smartTagPr>
        <w:r w:rsidRPr="002C224A">
          <w:rPr>
            <w:b/>
          </w:rPr>
          <w:t>3.2 a</w:t>
        </w:r>
      </w:smartTag>
      <w:r w:rsidRPr="002C224A">
        <w:rPr>
          <w:b/>
        </w:rPr>
        <w:t xml:space="preserve"> 3.5 (realizace úspor energie, KVET) cílí na oblasti, které byly v minulosti často v jiných EU státech podporovány především finančními úvěrovými nástroji, typicky pod hlavičkou programu JESSICA.</w:t>
      </w:r>
      <w:r w:rsidRPr="002C224A">
        <w:t xml:space="preserve"> Mezi příklady těchto úvěrových fondů lze zařadit:</w:t>
      </w:r>
    </w:p>
    <w:p w:rsidR="006D67F1" w:rsidRPr="002C224A" w:rsidRDefault="006D67F1" w:rsidP="006D195E">
      <w:pPr>
        <w:pStyle w:val="Odstavecseseznamem1"/>
        <w:numPr>
          <w:ilvl w:val="0"/>
          <w:numId w:val="55"/>
        </w:numPr>
        <w:overflowPunct/>
        <w:autoSpaceDE/>
        <w:autoSpaceDN/>
        <w:adjustRightInd/>
        <w:contextualSpacing w:val="0"/>
        <w:textAlignment w:val="auto"/>
      </w:pPr>
      <w:r w:rsidRPr="002C224A">
        <w:t>Amber Green London Energy Efficiency Fund (Velká Británie)</w:t>
      </w:r>
    </w:p>
    <w:p w:rsidR="006D67F1" w:rsidRPr="002C224A" w:rsidRDefault="006D67F1" w:rsidP="006D195E">
      <w:pPr>
        <w:pStyle w:val="Odstavecseseznamem1"/>
        <w:numPr>
          <w:ilvl w:val="0"/>
          <w:numId w:val="55"/>
        </w:numPr>
        <w:overflowPunct/>
        <w:autoSpaceDE/>
        <w:autoSpaceDN/>
        <w:adjustRightInd/>
        <w:contextualSpacing w:val="0"/>
        <w:textAlignment w:val="auto"/>
      </w:pPr>
      <w:r w:rsidRPr="002C224A">
        <w:t>Regional Urban Development Fund (Bulharsko)</w:t>
      </w:r>
    </w:p>
    <w:p w:rsidR="006D67F1" w:rsidRPr="002C224A" w:rsidRDefault="006D67F1" w:rsidP="006D195E">
      <w:pPr>
        <w:pStyle w:val="Odstavecseseznamem1"/>
        <w:numPr>
          <w:ilvl w:val="0"/>
          <w:numId w:val="55"/>
        </w:numPr>
        <w:overflowPunct/>
        <w:autoSpaceDE/>
        <w:autoSpaceDN/>
        <w:adjustRightInd/>
        <w:contextualSpacing w:val="0"/>
        <w:textAlignment w:val="auto"/>
      </w:pPr>
      <w:r w:rsidRPr="002C224A">
        <w:t>Investment for energy diversification and savings (Španělsko)</w:t>
      </w:r>
    </w:p>
    <w:p w:rsidR="006D67F1" w:rsidRPr="002C224A" w:rsidRDefault="006D67F1" w:rsidP="006D195E">
      <w:pPr>
        <w:pStyle w:val="Odstavecseseznamem1"/>
        <w:numPr>
          <w:ilvl w:val="0"/>
          <w:numId w:val="55"/>
        </w:numPr>
        <w:overflowPunct/>
        <w:autoSpaceDE/>
        <w:autoSpaceDN/>
        <w:adjustRightInd/>
        <w:contextualSpacing w:val="0"/>
        <w:textAlignment w:val="auto"/>
      </w:pPr>
      <w:r w:rsidRPr="002C224A">
        <w:t>EIB Green Initiative (Rumunsko)</w:t>
      </w:r>
    </w:p>
    <w:p w:rsidR="006D67F1" w:rsidRPr="002C224A" w:rsidRDefault="006D67F1" w:rsidP="00A34449"/>
    <w:p w:rsidR="006D67F1" w:rsidRPr="002C224A" w:rsidRDefault="006D67F1" w:rsidP="00A34449">
      <w:pPr>
        <w:pStyle w:val="Nadpis4"/>
        <w:rPr>
          <w:rFonts w:ascii="Calibri" w:hAnsi="Calibri"/>
        </w:rPr>
      </w:pPr>
      <w:r w:rsidRPr="002C224A">
        <w:rPr>
          <w:rFonts w:ascii="Calibri" w:hAnsi="Calibri"/>
        </w:rPr>
        <w:t>Aplikace zkušeností na současné podmínky</w:t>
      </w:r>
    </w:p>
    <w:p w:rsidR="006D67F1" w:rsidRPr="002C224A" w:rsidRDefault="006D67F1" w:rsidP="00A34449">
      <w:r w:rsidRPr="00A50943">
        <w:t>Dosavadní zkušenosti ukazují zájem o veřejnou podporu a její efekt na zvýšenou i</w:t>
      </w:r>
      <w:r w:rsidRPr="002C224A">
        <w:t>nvestiční aktivitu v těchto oblastech. Zároveň ukazují potenciál pro částečné zracionalizování a užití návratných finančních nástrojů.</w:t>
      </w:r>
    </w:p>
    <w:p w:rsidR="006D67F1" w:rsidRPr="002C224A" w:rsidRDefault="006D67F1" w:rsidP="00A34449">
      <w:pPr>
        <w:pStyle w:val="Nadpis3"/>
        <w:rPr>
          <w:rFonts w:ascii="Calibri" w:hAnsi="Calibri"/>
        </w:rPr>
      </w:pPr>
      <w:bookmarkStart w:id="975" w:name="_Toc421534322"/>
      <w:r w:rsidRPr="002C224A">
        <w:rPr>
          <w:rFonts w:ascii="Calibri" w:hAnsi="Calibri"/>
        </w:rPr>
        <w:t>Specifický cíl 4.1</w:t>
      </w:r>
      <w:bookmarkEnd w:id="975"/>
    </w:p>
    <w:p w:rsidR="006D67F1" w:rsidRPr="002C224A" w:rsidRDefault="006D67F1" w:rsidP="00A34449">
      <w:pPr>
        <w:pStyle w:val="Nadpis4"/>
        <w:rPr>
          <w:rFonts w:ascii="Calibri" w:hAnsi="Calibri"/>
        </w:rPr>
      </w:pPr>
      <w:r w:rsidRPr="002C224A">
        <w:rPr>
          <w:rFonts w:ascii="Calibri" w:hAnsi="Calibri"/>
        </w:rPr>
        <w:t>Závěry vyvozené z implementace podobných nástrojů v minulosti</w:t>
      </w:r>
    </w:p>
    <w:p w:rsidR="006D67F1" w:rsidRPr="00A50943" w:rsidRDefault="006D67F1" w:rsidP="00A34449"/>
    <w:p w:rsidR="006D67F1" w:rsidRPr="002C224A" w:rsidRDefault="006D67F1" w:rsidP="00A34449">
      <w:r w:rsidRPr="002C224A">
        <w:t xml:space="preserve">NGA sítě byly v ČR podporovány v rámci stimulace výstavby společné infrastruktury - liniových staveb, souběhů se silniční sítí, PPP výstaveb. Integrovaný operační program IOP byl zaměřen výhradně na projekty veřejné správy a veřejné služby a poskytován pouze formou dotací. Regionální operační program podpora telekomunikační/digitální infrastruktury fungovala výhradně na úrovni NUTS II. Další podporovanou oblastí byla v rámci ROP jihovýchod OP 3.3 Rozvoj a stabilizace venkovských sídel. Obce od 500 do 4 999 obyvatel mohly zakládat organizace, které byly příjemci dotace ve výši 2 – </w:t>
      </w:r>
      <w:smartTag w:uri="urn:schemas-microsoft-com:office:smarttags" w:element="metricconverter">
        <w:smartTagPr>
          <w:attr w:name="ProductID" w:val="50 mil"/>
        </w:smartTagPr>
        <w:r w:rsidRPr="002C224A">
          <w:t>50 mil</w:t>
        </w:r>
      </w:smartTag>
      <w:r w:rsidRPr="002C224A">
        <w:t>. Kč na výstavbu širokopásmové NGA ITC sítě (až 85 % způsobilých nákladů). Vzhledem k tomu, že podpora rozvoje vysokorychlostních síti nebyla nikdy na celostátní úrovni podporovaná a stále byla dotovaná pouze na úrovni NUTS II., doposud nebyly v ČR pro tento specifický cíl použitý žádné finanční nástroje. Pro ČR by bylo vhodné fungovat na konceptu technologické neutrality a nesoustředit podporu pouze na optické kabely, které nemusejí být vhodné pro všech</w:t>
      </w:r>
      <w:r w:rsidR="006663C9" w:rsidRPr="002C224A">
        <w:t>n</w:t>
      </w:r>
      <w:r w:rsidRPr="002C224A">
        <w:t>y typy oblastí.</w:t>
      </w:r>
    </w:p>
    <w:p w:rsidR="006D67F1" w:rsidRPr="002C224A" w:rsidRDefault="006D67F1" w:rsidP="00A34449">
      <w:pPr>
        <w:pStyle w:val="Nadpis4"/>
        <w:rPr>
          <w:rFonts w:ascii="Calibri" w:hAnsi="Calibri"/>
        </w:rPr>
      </w:pPr>
      <w:r w:rsidRPr="002C224A">
        <w:rPr>
          <w:rFonts w:ascii="Calibri" w:hAnsi="Calibri"/>
        </w:rPr>
        <w:t>Přehled zahraničních zkušeností s obdobnými finančními nástroji</w:t>
      </w:r>
    </w:p>
    <w:p w:rsidR="006D67F1" w:rsidRPr="00A50943" w:rsidRDefault="006D67F1" w:rsidP="00A34449"/>
    <w:tbl>
      <w:tblPr>
        <w:tblpPr w:leftFromText="141" w:rightFromText="141" w:vertAnchor="text" w:tblpY="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6852"/>
      </w:tblGrid>
      <w:tr w:rsidR="00575ACC" w:rsidRPr="002C224A" w:rsidTr="002C224A">
        <w:trPr>
          <w:trHeight w:val="501"/>
        </w:trPr>
        <w:tc>
          <w:tcPr>
            <w:tcW w:w="2015" w:type="dxa"/>
            <w:shd w:val="clear" w:color="auto" w:fill="4472C4"/>
            <w:noWrap/>
            <w:vAlign w:val="center"/>
          </w:tcPr>
          <w:p w:rsidR="00575ACC" w:rsidRPr="002C224A" w:rsidRDefault="00575ACC" w:rsidP="002C224A">
            <w:pPr>
              <w:jc w:val="center"/>
              <w:rPr>
                <w:b/>
                <w:color w:val="FFFFFF"/>
              </w:rPr>
            </w:pPr>
            <w:r>
              <w:rPr>
                <w:b/>
                <w:color w:val="FFFFFF"/>
              </w:rPr>
              <w:t>Německo (Bavorsko)</w:t>
            </w:r>
          </w:p>
        </w:tc>
        <w:tc>
          <w:tcPr>
            <w:tcW w:w="6852" w:type="dxa"/>
            <w:noWrap/>
          </w:tcPr>
          <w:p w:rsidR="00575ACC" w:rsidRDefault="00575ACC" w:rsidP="00575ACC">
            <w:r w:rsidRPr="00852E03">
              <w:t>Masivní podporou rozvoje vysokorychlostních internetových sítí se v posledních letech vyznačuje Německá spolková republika. Příkladem obdobně směřovaného nástroje k SC 4.1</w:t>
            </w:r>
            <w:r>
              <w:t xml:space="preserve"> je schéma podpory ve svobodném státu Bavorsko, notifikované EK v roce 2012.Podpora v Bavorsku je zaměřena na vybudování NGA sítí v nerozvinutých převážně venkovských oblastech za účelem udržení konkurenceschopnosti zde sídlících firem – a to v místech, kde ekonomická návratnost projektu neumožňuje tržní investice. Podmínkou udělení podpory je, že pro danou oblast není plánována investice v příštích 3 letech.  </w:t>
            </w:r>
          </w:p>
          <w:p w:rsidR="00575ACC" w:rsidRDefault="00575ACC" w:rsidP="00575ACC"/>
          <w:p w:rsidR="00575ACC" w:rsidRDefault="00575ACC" w:rsidP="00575ACC">
            <w:r>
              <w:lastRenderedPageBreak/>
              <w:t>Municipality mohou udělovat vybraným operátorům dotaci na vybudování a provozování NGA infrastruktury. Z rozpočtu svobodného státu jsou na tento účel poskytnuty prostředky až do 80 % nákladové mezery, max. 500 000 EUR na municipalitu. Podmínkou je zajištění nediskriminačního přístupu do sítě za tržních podmínek pro všechny operátory.</w:t>
            </w:r>
          </w:p>
          <w:p w:rsidR="00575ACC" w:rsidRPr="002C224A" w:rsidRDefault="00575ACC" w:rsidP="00575ACC"/>
        </w:tc>
      </w:tr>
      <w:tr w:rsidR="006D67F1" w:rsidRPr="002C224A" w:rsidTr="002C224A">
        <w:trPr>
          <w:trHeight w:val="1309"/>
        </w:trPr>
        <w:tc>
          <w:tcPr>
            <w:tcW w:w="2015" w:type="dxa"/>
            <w:shd w:val="clear" w:color="auto" w:fill="4472C4"/>
            <w:noWrap/>
            <w:vAlign w:val="center"/>
          </w:tcPr>
          <w:p w:rsidR="006D67F1" w:rsidRPr="0066751D" w:rsidRDefault="006D67F1" w:rsidP="0066751D">
            <w:pPr>
              <w:jc w:val="center"/>
              <w:rPr>
                <w:b/>
                <w:color w:val="FFFFFF"/>
              </w:rPr>
            </w:pPr>
            <w:r w:rsidRPr="002C224A">
              <w:rPr>
                <w:b/>
                <w:color w:val="FFFFFF"/>
              </w:rPr>
              <w:lastRenderedPageBreak/>
              <w:t>Franci</w:t>
            </w:r>
            <w:r w:rsidRPr="00575ACC">
              <w:rPr>
                <w:b/>
                <w:color w:val="FFFFFF"/>
              </w:rPr>
              <w:t>e</w:t>
            </w:r>
          </w:p>
        </w:tc>
        <w:tc>
          <w:tcPr>
            <w:tcW w:w="6852" w:type="dxa"/>
            <w:noWrap/>
          </w:tcPr>
          <w:p w:rsidR="006D67F1" w:rsidRPr="0066751D" w:rsidRDefault="006D67F1">
            <w:r w:rsidRPr="002C224A">
              <w:t>Ve Francii poskytovala vládní finanční instituce Caisse des Dépôts zvýhodněné úvěry lokálním autoritám (municipalitám) na zvýšení přístupu k broadbandu. Primárně se úvěry využívaly na financování páteřních smyček spájejících lokální síť s národní páteřní sítí. To vedlo k zvýšení konkurence na veřejných sítích. V polovině roku 2012 bylo provedených 6 257 propojení, tudíž až 85 % existujících sítí bylo propojených. Francie je příkladem úspěšného rozvoje vysokorychlostního přístupu k internetu a je vhodnou inspiraci pro případy, kde by se obce v blízkosti šedých oblastí moh</w:t>
            </w:r>
            <w:r w:rsidRPr="0066751D">
              <w:t xml:space="preserve">ly napojit na páteřní síť.  </w:t>
            </w:r>
          </w:p>
        </w:tc>
      </w:tr>
      <w:tr w:rsidR="00575ACC" w:rsidRPr="002C224A" w:rsidTr="0011334B">
        <w:trPr>
          <w:trHeight w:val="1309"/>
        </w:trPr>
        <w:tc>
          <w:tcPr>
            <w:tcW w:w="2015" w:type="dxa"/>
            <w:shd w:val="clear" w:color="auto" w:fill="4472C4"/>
            <w:noWrap/>
            <w:vAlign w:val="center"/>
          </w:tcPr>
          <w:p w:rsidR="00575ACC" w:rsidRPr="002C224A" w:rsidRDefault="00575ACC" w:rsidP="0066751D">
            <w:pPr>
              <w:jc w:val="center"/>
              <w:rPr>
                <w:b/>
                <w:color w:val="FFFFFF"/>
              </w:rPr>
            </w:pPr>
            <w:r>
              <w:rPr>
                <w:b/>
                <w:color w:val="FFFFFF"/>
              </w:rPr>
              <w:t>Irsko</w:t>
            </w:r>
          </w:p>
        </w:tc>
        <w:tc>
          <w:tcPr>
            <w:tcW w:w="6852" w:type="dxa"/>
            <w:noWrap/>
          </w:tcPr>
          <w:p w:rsidR="00575ACC" w:rsidRPr="002C224A" w:rsidRDefault="0093613F" w:rsidP="002C224A">
            <w:r>
              <w:t xml:space="preserve">Projekt MAN spuštěný v roce 2004 v Irsku představuje příklad budování síťové infrastruktury </w:t>
            </w:r>
            <w:r w:rsidRPr="002C224A">
              <w:rPr>
                <w:b/>
              </w:rPr>
              <w:t>modelem koncesního</w:t>
            </w:r>
            <w:r>
              <w:rPr>
                <w:b/>
              </w:rPr>
              <w:t xml:space="preserve"> outsoucingového</w:t>
            </w:r>
            <w:r w:rsidRPr="002C224A">
              <w:rPr>
                <w:b/>
              </w:rPr>
              <w:t xml:space="preserve"> PPP</w:t>
            </w:r>
            <w:r>
              <w:t xml:space="preserve">. Stát </w:t>
            </w:r>
            <w:r w:rsidR="00FF17B2">
              <w:t>udělil</w:t>
            </w:r>
            <w:r>
              <w:t xml:space="preserve"> koncesi vybrané společnosti na vybudování a správu sítě na 15 let</w:t>
            </w:r>
            <w:r w:rsidR="00FF17B2">
              <w:t xml:space="preserve"> na bázi dělení zisku</w:t>
            </w:r>
            <w:r>
              <w:t>. Investiční náklady</w:t>
            </w:r>
            <w:r w:rsidR="00FF17B2">
              <w:t xml:space="preserve"> na pasivní síť</w:t>
            </w:r>
            <w:r>
              <w:t xml:space="preserve"> </w:t>
            </w:r>
            <w:r w:rsidR="00FF17B2">
              <w:t>byly</w:t>
            </w:r>
            <w:r>
              <w:t xml:space="preserve"> hrazeny z veřejných prostředků, a síť </w:t>
            </w:r>
            <w:r w:rsidR="00FF17B2">
              <w:t>zůstala</w:t>
            </w:r>
            <w:r>
              <w:t xml:space="preserve"> zcela ve veřejném vlastnictví. </w:t>
            </w:r>
            <w:r w:rsidR="00FF17B2">
              <w:t xml:space="preserve">Soukromé investice šly následně do aktivních prvků a dalšího rozšíření pasivní infrastruktury. </w:t>
            </w:r>
            <w:r w:rsidR="00EE7AB1">
              <w:t xml:space="preserve">Celkem bylo z veřejných zdrojů investováno </w:t>
            </w:r>
            <w:smartTag w:uri="urn:schemas-microsoft-com:office:smarttags" w:element="metricconverter">
              <w:smartTagPr>
                <w:attr w:name="ProductID" w:val="170 mil"/>
              </w:smartTagPr>
              <w:r w:rsidR="00EE7AB1">
                <w:t>170 mil</w:t>
              </w:r>
            </w:smartTag>
            <w:r w:rsidR="00EE7AB1">
              <w:t xml:space="preserve">. EUR. </w:t>
            </w:r>
            <w:r>
              <w:t>Účelem modelu je spojit státní prostředky a soukromou expertízu a vybudovat infrastrukturu přístupnou za velkoobchodní ceny dalším internetovým operátorům – pro něž byly infrastrukturní náklady hlavní bariérou vstupu na trh regionu.</w:t>
            </w:r>
          </w:p>
        </w:tc>
      </w:tr>
      <w:tr w:rsidR="006D67F1" w:rsidRPr="002C224A" w:rsidTr="002C224A">
        <w:trPr>
          <w:trHeight w:val="1309"/>
        </w:trPr>
        <w:tc>
          <w:tcPr>
            <w:tcW w:w="2015" w:type="dxa"/>
            <w:shd w:val="clear" w:color="auto" w:fill="4472C4"/>
            <w:noWrap/>
            <w:vAlign w:val="center"/>
          </w:tcPr>
          <w:p w:rsidR="006D67F1" w:rsidRPr="002C224A" w:rsidRDefault="000601A3" w:rsidP="002C224A">
            <w:pPr>
              <w:jc w:val="center"/>
              <w:rPr>
                <w:b/>
                <w:color w:val="FFFFFF"/>
              </w:rPr>
            </w:pPr>
            <w:r>
              <w:rPr>
                <w:b/>
                <w:color w:val="FFFFFF"/>
              </w:rPr>
              <w:t>Itálie</w:t>
            </w:r>
          </w:p>
        </w:tc>
        <w:tc>
          <w:tcPr>
            <w:tcW w:w="6852" w:type="dxa"/>
            <w:noWrap/>
          </w:tcPr>
          <w:p w:rsidR="006D67F1" w:rsidRPr="002C224A" w:rsidRDefault="000601A3" w:rsidP="002C224A">
            <w:r>
              <w:t xml:space="preserve">Příkladem PPP modelu typu joint venture je projekt Metroweb, v rámci nehož bylo v milánském regionu investováno </w:t>
            </w:r>
            <w:smartTag w:uri="urn:schemas-microsoft-com:office:smarttags" w:element="metricconverter">
              <w:smartTagPr>
                <w:attr w:name="ProductID" w:val="400 mil"/>
              </w:smartTagPr>
              <w:r>
                <w:t>400 mil</w:t>
              </w:r>
            </w:smartTag>
            <w:r>
              <w:t>. EUR do sítě optických vláken.</w:t>
            </w:r>
            <w:r w:rsidR="00463E1A">
              <w:t xml:space="preserve"> Model Joint Venture představuje společné soukromé a veřejné vlastnictví v SPV na vybudování a provoz síťové infrastruktury. Umožňuje veřejnému subjektu z velké části financovat úvodní investiční náklady projektu při následném odkupu kapitálového podílu soukromými společnostmi. Výhodou je zajištění odborné soukromé expertízy při zajištění podpory a kontroly veřejného sektoru v kritické úvodní fázi projektu.</w:t>
            </w:r>
            <w:r w:rsidR="006D67F1" w:rsidRPr="002C224A">
              <w:t>a pronajímat síť ostatním poskytovatelům za velkoobchodní ceny.</w:t>
            </w:r>
          </w:p>
        </w:tc>
      </w:tr>
    </w:tbl>
    <w:p w:rsidR="00F6076B" w:rsidRPr="002C224A" w:rsidRDefault="00F6076B" w:rsidP="00F6076B">
      <w:pPr>
        <w:pStyle w:val="Titulek"/>
      </w:pPr>
      <w:r w:rsidRPr="002C224A">
        <w:t xml:space="preserve">Tabulka </w:t>
      </w:r>
      <w:r>
        <w:t>95</w:t>
      </w:r>
      <w:r w:rsidRPr="002C224A">
        <w:t xml:space="preserve">: příklady zahraničních zkušeností </w:t>
      </w:r>
      <w:r>
        <w:t>s podporou NGA</w:t>
      </w:r>
    </w:p>
    <w:p w:rsidR="006D67F1" w:rsidRPr="002C224A" w:rsidRDefault="006D67F1" w:rsidP="00A34449"/>
    <w:p w:rsidR="006D67F1" w:rsidRPr="002C224A" w:rsidRDefault="006D67F1" w:rsidP="00A34449">
      <w:pPr>
        <w:pStyle w:val="Nadpis4"/>
        <w:rPr>
          <w:rFonts w:ascii="Calibri" w:hAnsi="Calibri"/>
        </w:rPr>
      </w:pPr>
      <w:r w:rsidRPr="002C224A">
        <w:rPr>
          <w:rFonts w:ascii="Calibri" w:hAnsi="Calibri"/>
        </w:rPr>
        <w:t>Aplikace zkušeností na současné podmínky</w:t>
      </w:r>
    </w:p>
    <w:p w:rsidR="00463E1A" w:rsidRDefault="00463E1A" w:rsidP="00A34449">
      <w:r>
        <w:t>Zkušenosti ze zahraničí ukazují několik možných modelů podpory rozvoje NGA sítí, které závisejí na</w:t>
      </w:r>
      <w:r w:rsidR="00CA29E5">
        <w:t xml:space="preserve"> vydefinovaných cílech a</w:t>
      </w:r>
      <w:r>
        <w:t xml:space="preserve"> ekonomických podmínkách</w:t>
      </w:r>
      <w:r w:rsidR="00CA29E5">
        <w:t xml:space="preserve"> projektů. V případě pokrytí tzv. bílých míst obdobně k SC 4.1 je využíván dotační model, který v Německu navíc zapojuje jednotlivé municipality. Alternativou mohou být PPP modely, které</w:t>
      </w:r>
      <w:r w:rsidR="00FB3DD4">
        <w:t xml:space="preserve"> se</w:t>
      </w:r>
      <w:r w:rsidR="00CA29E5">
        <w:t xml:space="preserve"> však v případě přímé investiční účasti soukromého sektoru (ne pouze outsourcování)</w:t>
      </w:r>
      <w:r w:rsidR="00FB3DD4">
        <w:t xml:space="preserve"> nejeví vhodné orientovat na čistě bílá místa</w:t>
      </w:r>
      <w:r w:rsidR="00542FD3">
        <w:t xml:space="preserve"> s výraznou nákladovou mezerou</w:t>
      </w:r>
      <w:r w:rsidR="00FB3DD4">
        <w:t>.</w:t>
      </w:r>
    </w:p>
    <w:p w:rsidR="006D67F1" w:rsidRPr="002C224A" w:rsidRDefault="006D67F1" w:rsidP="006F771D">
      <w:r w:rsidRPr="002C224A">
        <w:br w:type="page"/>
      </w:r>
    </w:p>
    <w:p w:rsidR="006D67F1" w:rsidRPr="002C224A" w:rsidRDefault="006D67F1" w:rsidP="006F771D">
      <w:pPr>
        <w:pStyle w:val="Nadpis2"/>
        <w:rPr>
          <w:rFonts w:ascii="Calibri" w:hAnsi="Calibri"/>
        </w:rPr>
      </w:pPr>
      <w:bookmarkStart w:id="976" w:name="_Toc417544659"/>
      <w:bookmarkStart w:id="977" w:name="_Toc417544660"/>
      <w:bookmarkStart w:id="978" w:name="_Toc417544661"/>
      <w:bookmarkStart w:id="979" w:name="_Toc421534323"/>
      <w:bookmarkEnd w:id="976"/>
      <w:bookmarkEnd w:id="977"/>
      <w:bookmarkEnd w:id="978"/>
      <w:r w:rsidRPr="002C224A">
        <w:rPr>
          <w:rFonts w:ascii="Calibri" w:hAnsi="Calibri"/>
        </w:rPr>
        <w:lastRenderedPageBreak/>
        <w:t>Navrhovaná investiční strategie a očekávané výsledky</w:t>
      </w:r>
      <w:bookmarkEnd w:id="979"/>
    </w:p>
    <w:p w:rsidR="006D67F1" w:rsidRPr="002C224A" w:rsidRDefault="006D67F1" w:rsidP="002433DA">
      <w:pPr>
        <w:pStyle w:val="Nadpis3"/>
        <w:rPr>
          <w:rFonts w:ascii="Calibri" w:hAnsi="Calibri"/>
        </w:rPr>
      </w:pPr>
      <w:bookmarkStart w:id="980" w:name="_Toc421534324"/>
      <w:r w:rsidRPr="002C224A">
        <w:rPr>
          <w:rFonts w:ascii="Calibri" w:hAnsi="Calibri"/>
        </w:rPr>
        <w:t>Specifický cíl 1.1</w:t>
      </w:r>
      <w:bookmarkEnd w:id="980"/>
    </w:p>
    <w:bookmarkEnd w:id="964"/>
    <w:bookmarkEnd w:id="965"/>
    <w:p w:rsidR="006D67F1" w:rsidRPr="002C224A" w:rsidRDefault="006D67F1" w:rsidP="006F771D">
      <w:pPr>
        <w:pStyle w:val="Nadpis4"/>
        <w:rPr>
          <w:rFonts w:ascii="Calibri" w:hAnsi="Calibri"/>
        </w:rPr>
      </w:pPr>
      <w:r w:rsidRPr="002C224A">
        <w:rPr>
          <w:rFonts w:ascii="Calibri" w:hAnsi="Calibri"/>
        </w:rPr>
        <w:t>Formy finančních nástrojů a výše alokace</w:t>
      </w:r>
    </w:p>
    <w:p w:rsidR="006D67F1" w:rsidRPr="00A50943" w:rsidRDefault="006D67F1" w:rsidP="00CE3165"/>
    <w:p w:rsidR="006D67F1" w:rsidRPr="002C224A" w:rsidRDefault="006D67F1" w:rsidP="00CE3165">
      <w:r w:rsidRPr="002C224A">
        <w:t xml:space="preserve">Na základě provedené analýzy v bloku I. identifikujeme částečný potenciál pro užití finančních nástrojů v rámci programu Inovace OP PIK. Jako nejvhodnější se v rámci posouzení přidané hodnoty vedle dotace jeví </w:t>
      </w:r>
      <w:r w:rsidRPr="002C224A">
        <w:rPr>
          <w:b/>
        </w:rPr>
        <w:t>záruční finanční nástroj</w:t>
      </w:r>
      <w:r w:rsidRPr="002C224A">
        <w:t>.</w:t>
      </w:r>
    </w:p>
    <w:p w:rsidR="006D67F1" w:rsidRPr="002C224A" w:rsidRDefault="006D67F1" w:rsidP="00CE3165"/>
    <w:p w:rsidR="006D67F1" w:rsidRPr="002C224A" w:rsidRDefault="006D67F1" w:rsidP="00CE3165">
      <w:r w:rsidRPr="002C224A">
        <w:t>Výsledky průmyslových inovací podnikatelského sektoru mají velký, avšak nejistý ziskový potenciál. Jako největší překážka v realizování životaschopných projektů je vnímána rizikovost a nákladnost. Ta může být částečně vyvážena následnou nadstandardní ziskovostí a velkým posílením konkurenceschopnosti podniku na trhu, firmy však mají z důvodů rizika snížený přístup k externímu financování.</w:t>
      </w:r>
    </w:p>
    <w:p w:rsidR="006D67F1" w:rsidRPr="002C224A" w:rsidRDefault="006D67F1" w:rsidP="00CE3165"/>
    <w:p w:rsidR="006D67F1" w:rsidRPr="002C224A" w:rsidRDefault="006D67F1">
      <w:pPr>
        <w:rPr>
          <w:b/>
        </w:rPr>
      </w:pPr>
      <w:r w:rsidRPr="002C224A">
        <w:t>Významný převis poptávky po dotačních výzvách z minulého období lze očekávat i nyní.</w:t>
      </w:r>
      <w:r w:rsidR="00407AA4" w:rsidRPr="002C224A">
        <w:t xml:space="preserve"> </w:t>
      </w:r>
      <w:r w:rsidRPr="002C224A">
        <w:t>Při velikém spektru a různém charakteru a ziskovosti cílových inovací v SC 1.1</w:t>
      </w:r>
      <w:r w:rsidR="008512CD" w:rsidRPr="002C224A">
        <w:t>,</w:t>
      </w:r>
      <w:r w:rsidR="006663C9" w:rsidRPr="002C224A">
        <w:t xml:space="preserve"> </w:t>
      </w:r>
      <w:r w:rsidRPr="002C224A">
        <w:rPr>
          <w:b/>
        </w:rPr>
        <w:t>se nedomníváme, že je efektivní nadále veškeré projekty v této oblasti podporovat dotačně</w:t>
      </w:r>
      <w:r w:rsidRPr="002C224A">
        <w:t xml:space="preserve">. Část projektů může být realizována tržní cestou bez výrazného příspěvku na jejich náklady, problémem je však přístup k externímu financování. Banky nejsou ochotné financovat projekty inovací bez dostatečného zajištění, což je </w:t>
      </w:r>
      <w:r w:rsidRPr="002C224A">
        <w:rPr>
          <w:b/>
        </w:rPr>
        <w:t>překážkou především u malých a středních podniků</w:t>
      </w:r>
      <w:r w:rsidRPr="002C224A">
        <w:t>. Riziko na straně MSP, nejistých výsledků inovačních projektů a jejich delší návratnosti jsou dle našeho šetření pro část projektů zásadní faktory obtížného hledání externích zdrojů.</w:t>
      </w:r>
      <w:r w:rsidR="006663C9" w:rsidRPr="002C224A">
        <w:t xml:space="preserve"> </w:t>
      </w:r>
      <w:r w:rsidRPr="002C224A">
        <w:rPr>
          <w:b/>
        </w:rPr>
        <w:t>Tyto problémy může překlenout vhodně zaměřený záruční nástroj.</w:t>
      </w:r>
    </w:p>
    <w:p w:rsidR="006D67F1" w:rsidRPr="002C224A" w:rsidRDefault="006D67F1" w:rsidP="00CE3165"/>
    <w:p w:rsidR="006D67F1" w:rsidRPr="002C224A" w:rsidRDefault="006D67F1" w:rsidP="00CE3165">
      <w:r w:rsidRPr="002C224A">
        <w:t xml:space="preserve">Záruční typ </w:t>
      </w:r>
      <w:r w:rsidR="008512CD" w:rsidRPr="002C224A">
        <w:t>FN</w:t>
      </w:r>
      <w:r w:rsidRPr="002C224A">
        <w:t xml:space="preserve"> byl zvolen, jelikož </w:t>
      </w:r>
      <w:r w:rsidR="008512CD" w:rsidRPr="002C224A">
        <w:t xml:space="preserve">vhodně doplňuje dotační podporu a </w:t>
      </w:r>
      <w:r w:rsidRPr="002C224A">
        <w:t>nejlépe splňuje účel veřejného zásahu</w:t>
      </w:r>
      <w:r w:rsidR="008512CD" w:rsidRPr="002C224A">
        <w:t xml:space="preserve"> v problémovém tržním segmentu – </w:t>
      </w:r>
      <w:r w:rsidRPr="002C224A">
        <w:t>zjednoduš</w:t>
      </w:r>
      <w:r w:rsidR="008512CD" w:rsidRPr="002C224A">
        <w:t>uje externí</w:t>
      </w:r>
      <w:r w:rsidRPr="002C224A">
        <w:t xml:space="preserve"> financování inovací snížením jeho rizika</w:t>
      </w:r>
      <w:r w:rsidR="008512CD" w:rsidRPr="002C224A">
        <w:t xml:space="preserve"> a aktivizuje tak</w:t>
      </w:r>
      <w:r w:rsidRPr="002C224A">
        <w:t xml:space="preserve"> soukromé prostředky.</w:t>
      </w:r>
      <w:r w:rsidR="008512CD" w:rsidRPr="002C224A">
        <w:t xml:space="preserve"> Výrazný pákový efekt umožňuje podpořit v cílovém segmen</w:t>
      </w:r>
      <w:r w:rsidR="008512CD" w:rsidRPr="00A50943">
        <w:t>tu mnohem více projektů, než by bylo možné samotnou dotační podporo</w:t>
      </w:r>
      <w:r w:rsidR="008512CD" w:rsidRPr="002C224A">
        <w:t>u.</w:t>
      </w:r>
    </w:p>
    <w:p w:rsidR="00E066DD" w:rsidRPr="002C224A" w:rsidRDefault="00E066DD" w:rsidP="00E066DD">
      <w:pPr>
        <w:rPr>
          <w:b/>
        </w:rPr>
      </w:pPr>
    </w:p>
    <w:p w:rsidR="00E066DD" w:rsidRPr="002C224A" w:rsidRDefault="00E066DD" w:rsidP="00E066DD">
      <w:r w:rsidRPr="002C224A">
        <w:rPr>
          <w:b/>
        </w:rPr>
        <w:t>Záruky za bankovní úvěry</w:t>
      </w:r>
      <w:r w:rsidRPr="002C224A">
        <w:t xml:space="preserve"> budou poskytovány ze záručního fondu OP PIK vybraným implementujícím subjektem (příjemcem). Podmínkou bude způsobilost projektu a předložení jeho úvěrové smlouvy s komerční bankou (jejíž platnost bude podmíněna obdržením záruky).</w:t>
      </w:r>
    </w:p>
    <w:p w:rsidR="008512CD" w:rsidRPr="002C224A" w:rsidRDefault="008512CD" w:rsidP="00CE3165"/>
    <w:p w:rsidR="00E066DD" w:rsidRPr="002C224A" w:rsidRDefault="008512CD" w:rsidP="00E066DD">
      <w:r w:rsidRPr="002C224A">
        <w:t>Záruční nástroj bude zaměřen na</w:t>
      </w:r>
      <w:r w:rsidR="00446BBE" w:rsidRPr="002C224A">
        <w:t xml:space="preserve"> </w:t>
      </w:r>
      <w:r w:rsidR="00446BBE" w:rsidRPr="002C224A">
        <w:rPr>
          <w:b/>
        </w:rPr>
        <w:t>výrazně</w:t>
      </w:r>
      <w:r w:rsidRPr="002C224A">
        <w:rPr>
          <w:b/>
        </w:rPr>
        <w:t xml:space="preserve"> rizikové portfolio projektů</w:t>
      </w:r>
      <w:r w:rsidRPr="00A50943">
        <w:t>.</w:t>
      </w:r>
      <w:r w:rsidRPr="002C224A">
        <w:t xml:space="preserve"> </w:t>
      </w:r>
      <w:r w:rsidR="002C7004" w:rsidRPr="002C224A">
        <w:t xml:space="preserve">Záruky budou poskytovány do určené výše, </w:t>
      </w:r>
      <w:r w:rsidR="002C7004" w:rsidRPr="002C224A">
        <w:rPr>
          <w:b/>
        </w:rPr>
        <w:t>maximálně však 80 % jistiny úvěru</w:t>
      </w:r>
      <w:r w:rsidR="002C7004" w:rsidRPr="00A50943">
        <w:t>.</w:t>
      </w:r>
      <w:r w:rsidRPr="002C224A">
        <w:t xml:space="preserve"> </w:t>
      </w:r>
      <w:r w:rsidR="00AB0EB9" w:rsidRPr="002C224A">
        <w:t>FN</w:t>
      </w:r>
      <w:r w:rsidRPr="00A50943">
        <w:t xml:space="preserve"> by měl hradit ztráty</w:t>
      </w:r>
      <w:r w:rsidR="004D7A9C" w:rsidRPr="002C224A">
        <w:t xml:space="preserve"> </w:t>
      </w:r>
      <w:r w:rsidR="007F5205" w:rsidRPr="002C224A">
        <w:t>do výše</w:t>
      </w:r>
      <w:r w:rsidR="004D7A9C" w:rsidRPr="002C224A">
        <w:t xml:space="preserve"> 15-25 %</w:t>
      </w:r>
      <w:r w:rsidR="007F5205" w:rsidRPr="002C224A">
        <w:t xml:space="preserve"> portfolia projektů záručního fondu</w:t>
      </w:r>
      <w:r w:rsidR="004D7A9C" w:rsidRPr="002C224A">
        <w:t>.</w:t>
      </w:r>
      <w:r w:rsidR="007F5205" w:rsidRPr="002C224A">
        <w:t xml:space="preserve"> Vzhledem k předpokládanému menšímu objemu projektů</w:t>
      </w:r>
      <w:r w:rsidR="002C7004" w:rsidRPr="002C224A">
        <w:t xml:space="preserve"> s vyššími průměrnou jistinou</w:t>
      </w:r>
      <w:r w:rsidR="007F5205" w:rsidRPr="00A50943">
        <w:t xml:space="preserve"> oproti SC 2.1 je FN realizovatelný primárně jako </w:t>
      </w:r>
      <w:r w:rsidR="007F5205" w:rsidRPr="002C224A">
        <w:rPr>
          <w:b/>
        </w:rPr>
        <w:t>individuální záruka</w:t>
      </w:r>
      <w:r w:rsidR="00F46E31">
        <w:rPr>
          <w:b/>
        </w:rPr>
        <w:t>.</w:t>
      </w:r>
    </w:p>
    <w:p w:rsidR="00E066DD" w:rsidRPr="002C224A" w:rsidRDefault="00E066DD" w:rsidP="00CE3165"/>
    <w:p w:rsidR="006D67F1" w:rsidRPr="002C224A" w:rsidRDefault="006D67F1" w:rsidP="00CE3165">
      <w:r w:rsidRPr="002C224A">
        <w:t>Jako motivační prve</w:t>
      </w:r>
      <w:r w:rsidRPr="00A50943">
        <w:t>k navrhujeme nástroj bankovní záruky doplnit též o příspěvek na úhradu úroků podmíněný úspěšným realizováním projektu a řádným splácením úvěru. Může se tím částečně snížit i riziko nesplácení a následného záručního plnění a vymáhání pohledávek</w:t>
      </w:r>
      <w:r w:rsidRPr="002C224A">
        <w:t>.</w:t>
      </w:r>
    </w:p>
    <w:p w:rsidR="006D67F1" w:rsidRPr="002C224A" w:rsidRDefault="006D67F1" w:rsidP="00CE3165"/>
    <w:p w:rsidR="006D67F1" w:rsidRPr="002C224A" w:rsidRDefault="006D67F1" w:rsidP="00CE3165">
      <w:r w:rsidRPr="002C224A">
        <w:t>Administrace úvěru zůstává plně v gesci úvěrové instituce, které FN poskytuje</w:t>
      </w:r>
      <w:r w:rsidR="009031B9" w:rsidRPr="002C224A">
        <w:t xml:space="preserve"> na úvěr</w:t>
      </w:r>
      <w:r w:rsidRPr="002C224A">
        <w:t xml:space="preserve"> záruku a se kterou vstupuje žadatel do přímého smluvního vztahu. Plná angažovanost banky je žádoucí. V případě úvěrů tohoto typu se banka stává dlouhodobým partnerem klienta</w:t>
      </w:r>
      <w:r w:rsidR="00745C6C" w:rsidRPr="002C224A">
        <w:t>.</w:t>
      </w:r>
    </w:p>
    <w:p w:rsidR="006D67F1" w:rsidRPr="002C224A" w:rsidRDefault="006D67F1" w:rsidP="00CE3165"/>
    <w:p w:rsidR="006D67F1" w:rsidRPr="002C224A" w:rsidRDefault="006D67F1" w:rsidP="00CE3165">
      <w:r w:rsidRPr="002C224A">
        <w:t xml:space="preserve">Zásadní výhodou záručního instrumentu je jeho jednoduchost pro žadatele – což je velmi důležité zejména pro MSP, které nemají dostatečné personální kapacity. Z tohoto důvodu považujeme za opodstatněné jeho fungování i vedle dotačních výzev, které by měly zasahovat odlišný segment </w:t>
      </w:r>
      <w:r w:rsidRPr="002C224A">
        <w:lastRenderedPageBreak/>
        <w:t>projektů.</w:t>
      </w:r>
      <w:r w:rsidR="006663C9" w:rsidRPr="002C224A">
        <w:t xml:space="preserve"> </w:t>
      </w:r>
      <w:r w:rsidRPr="002C224A">
        <w:t>Vzájemné vymezení by nicméně mělo být při implementaci řešeno, a to v rámci konkrétního nastavení jednotlivých výzev.</w:t>
      </w:r>
    </w:p>
    <w:p w:rsidR="006D67F1" w:rsidRPr="002C224A" w:rsidRDefault="006D67F1" w:rsidP="00CE3165"/>
    <w:p w:rsidR="0008236A" w:rsidRPr="002C224A" w:rsidRDefault="006D67F1" w:rsidP="00CE3165">
      <w:r w:rsidRPr="002C224A">
        <w:t>Vzhledem k vyšší nákladnosti mnoha projektů, nejisté návratnosti a obecně spíše nízkému motivačnímu účinku záruk na změnu inovační politiky podniku považujeme významné zachování dotační podpory v tomto cíl</w:t>
      </w:r>
      <w:r w:rsidR="006663C9" w:rsidRPr="002C224A">
        <w:t>i</w:t>
      </w:r>
      <w:r w:rsidRPr="002C224A">
        <w:t xml:space="preserve"> za žádoucí.</w:t>
      </w:r>
    </w:p>
    <w:p w:rsidR="005A3124" w:rsidRPr="002C224A" w:rsidRDefault="005A3124" w:rsidP="00CE3165"/>
    <w:p w:rsidR="0008236A" w:rsidRPr="002C224A" w:rsidRDefault="005A3124" w:rsidP="00CE3165">
      <w:pPr>
        <w:rPr>
          <w:b/>
        </w:rPr>
      </w:pPr>
      <w:r w:rsidRPr="002C224A">
        <w:rPr>
          <w:b/>
        </w:rPr>
        <w:t>Alokace</w:t>
      </w:r>
    </w:p>
    <w:p w:rsidR="007C087C" w:rsidRPr="002C224A" w:rsidRDefault="007C087C" w:rsidP="00CE3165">
      <w:r w:rsidRPr="00A50943">
        <w:t>Z</w:t>
      </w:r>
      <w:r w:rsidR="0008236A" w:rsidRPr="002C224A">
        <w:t>áručního nástroje navrhujeme</w:t>
      </w:r>
      <w:r w:rsidRPr="002C224A">
        <w:t xml:space="preserve"> pilotně využít na výrazně menší část alokace vyčleněné pro inovace. Rozmezí </w:t>
      </w:r>
      <w:r w:rsidRPr="002C224A">
        <w:rPr>
          <w:b/>
        </w:rPr>
        <w:t>1</w:t>
      </w:r>
      <w:r w:rsidR="004729E1">
        <w:rPr>
          <w:b/>
        </w:rPr>
        <w:t xml:space="preserve"> </w:t>
      </w:r>
      <w:r w:rsidRPr="002C224A">
        <w:rPr>
          <w:b/>
        </w:rPr>
        <w:t>400-</w:t>
      </w:r>
      <w:smartTag w:uri="urn:schemas-microsoft-com:office:smarttags" w:element="metricconverter">
        <w:smartTagPr>
          <w:attr w:name="ProductID" w:val="1 800 mil"/>
        </w:smartTagPr>
        <w:r w:rsidRPr="002C224A">
          <w:rPr>
            <w:b/>
          </w:rPr>
          <w:t>1</w:t>
        </w:r>
        <w:r w:rsidR="004729E1">
          <w:rPr>
            <w:b/>
          </w:rPr>
          <w:t xml:space="preserve"> </w:t>
        </w:r>
        <w:r w:rsidRPr="002C224A">
          <w:rPr>
            <w:b/>
          </w:rPr>
          <w:t>800 mil</w:t>
        </w:r>
      </w:smartTag>
      <w:r w:rsidRPr="002C224A">
        <w:rPr>
          <w:b/>
        </w:rPr>
        <w:t>. Kč</w:t>
      </w:r>
      <w:r w:rsidRPr="00A50943">
        <w:t xml:space="preserve"> dle rámcové modelace výsledků může zasáhnout díky pákovému efektu významnou část </w:t>
      </w:r>
      <w:r w:rsidRPr="002C224A">
        <w:t>definované cílové skupiny inovujících podniků</w:t>
      </w:r>
      <w:r w:rsidR="00105E9D" w:rsidRPr="002C224A">
        <w:t xml:space="preserve"> a významně rozšířit okruh kon</w:t>
      </w:r>
      <w:r w:rsidR="00D548D8" w:rsidRPr="002C224A">
        <w:t>ečných příjemců podpory inovací</w:t>
      </w:r>
      <w:r w:rsidRPr="002C224A">
        <w:t>. Zároveň je třeba ověřit absorpční kapacitu, která je vzhledem k</w:t>
      </w:r>
      <w:r w:rsidR="00D548D8" w:rsidRPr="002C224A">
        <w:t> prostředí uvyklému dotacím nejistá.</w:t>
      </w:r>
    </w:p>
    <w:p w:rsidR="006D67F1" w:rsidRPr="002C224A" w:rsidRDefault="006D67F1" w:rsidP="00CE3165"/>
    <w:p w:rsidR="006D67F1" w:rsidRDefault="006D67F1" w:rsidP="006F771D">
      <w:pPr>
        <w:pStyle w:val="Nadpis4"/>
        <w:rPr>
          <w:rFonts w:ascii="Calibri" w:hAnsi="Calibri"/>
        </w:rPr>
      </w:pPr>
      <w:bookmarkStart w:id="981" w:name="_Toc416447898"/>
      <w:bookmarkStart w:id="982" w:name="_Toc416383913"/>
      <w:bookmarkStart w:id="983" w:name="_Toc416447899"/>
      <w:bookmarkStart w:id="984" w:name="_Toc416383914"/>
      <w:bookmarkStart w:id="985" w:name="_Toc416447900"/>
      <w:bookmarkStart w:id="986" w:name="_Toc416383915"/>
      <w:bookmarkStart w:id="987" w:name="_Toc416447901"/>
      <w:bookmarkStart w:id="988" w:name="_Toc416383916"/>
      <w:bookmarkStart w:id="989" w:name="_Toc416447902"/>
      <w:bookmarkStart w:id="990" w:name="_Toc416383917"/>
      <w:bookmarkStart w:id="991" w:name="_Toc416447903"/>
      <w:bookmarkStart w:id="992" w:name="_Toc416383918"/>
      <w:bookmarkStart w:id="993" w:name="_Toc416447904"/>
      <w:bookmarkStart w:id="994" w:name="_Toc416383919"/>
      <w:bookmarkStart w:id="995" w:name="_Toc416447905"/>
      <w:bookmarkStart w:id="996" w:name="_Toc416383920"/>
      <w:bookmarkStart w:id="997" w:name="_Toc416447906"/>
      <w:bookmarkStart w:id="998" w:name="_Toc416383921"/>
      <w:bookmarkStart w:id="999" w:name="_Toc416447907"/>
      <w:bookmarkStart w:id="1000" w:name="_Toc414464599"/>
      <w:bookmarkStart w:id="1001" w:name="_Toc416800479"/>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2C224A">
        <w:rPr>
          <w:rFonts w:ascii="Calibri" w:hAnsi="Calibri"/>
        </w:rPr>
        <w:t>Nejvhodnější možnosti implementace</w:t>
      </w:r>
      <w:bookmarkEnd w:id="1000"/>
      <w:bookmarkEnd w:id="1001"/>
    </w:p>
    <w:p w:rsidR="00964686" w:rsidRPr="008366D3" w:rsidRDefault="00964686" w:rsidP="008366D3"/>
    <w:p w:rsidR="002727B4" w:rsidRPr="002C224A" w:rsidRDefault="00CA7379" w:rsidP="00CE3165">
      <w:pPr>
        <w:pStyle w:val="CaptionIntroductionparagraph"/>
        <w:rPr>
          <w:rFonts w:ascii="Calibri" w:hAnsi="Calibri"/>
        </w:rPr>
      </w:pPr>
      <w:r>
        <w:rPr>
          <w:noProof/>
          <w:lang w:eastAsia="cs-CZ"/>
        </w:rPr>
        <w:drawing>
          <wp:inline distT="0" distB="0" distL="0" distR="0" wp14:anchorId="32525EB9" wp14:editId="1D08AD36">
            <wp:extent cx="4892898" cy="3933825"/>
            <wp:effectExtent l="0" t="0" r="3175"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720" t="14991" r="23012" b="13874"/>
                    <a:stretch/>
                  </pic:blipFill>
                  <pic:spPr bwMode="auto">
                    <a:xfrm>
                      <a:off x="0" y="0"/>
                      <a:ext cx="4898230" cy="3938112"/>
                    </a:xfrm>
                    <a:prstGeom prst="rect">
                      <a:avLst/>
                    </a:prstGeom>
                    <a:ln>
                      <a:noFill/>
                    </a:ln>
                    <a:extLst>
                      <a:ext uri="{53640926-AAD7-44D8-BBD7-CCE9431645EC}">
                        <a14:shadowObscured xmlns:a14="http://schemas.microsoft.com/office/drawing/2010/main"/>
                      </a:ext>
                    </a:extLst>
                  </pic:spPr>
                </pic:pic>
              </a:graphicData>
            </a:graphic>
          </wp:inline>
        </w:drawing>
      </w:r>
    </w:p>
    <w:p w:rsidR="00320102" w:rsidRPr="002C224A" w:rsidRDefault="00320102" w:rsidP="00320102">
      <w:pPr>
        <w:pStyle w:val="Titulek"/>
      </w:pPr>
      <w:r w:rsidRPr="002C224A">
        <w:t xml:space="preserve">Obrázek </w:t>
      </w:r>
      <w:r w:rsidR="00646277">
        <w:t>37</w:t>
      </w:r>
      <w:r w:rsidRPr="002C224A">
        <w:t>: schéma nejvhodnější možnosti implementace</w:t>
      </w:r>
    </w:p>
    <w:p w:rsidR="006D67F1" w:rsidRPr="002C224A" w:rsidRDefault="006D67F1" w:rsidP="006F771D">
      <w:pPr>
        <w:pStyle w:val="Nadpis4"/>
        <w:rPr>
          <w:rFonts w:ascii="Calibri" w:hAnsi="Calibri"/>
        </w:rPr>
      </w:pPr>
      <w:bookmarkStart w:id="1002" w:name="_Toc416383923"/>
      <w:bookmarkStart w:id="1003" w:name="_Toc416447909"/>
      <w:bookmarkStart w:id="1004" w:name="_Toc416383924"/>
      <w:bookmarkStart w:id="1005" w:name="_Toc416447910"/>
      <w:bookmarkStart w:id="1006" w:name="_Toc416383925"/>
      <w:bookmarkStart w:id="1007" w:name="_Toc416447911"/>
      <w:bookmarkStart w:id="1008" w:name="_Toc416383926"/>
      <w:bookmarkStart w:id="1009" w:name="_Toc416447912"/>
      <w:bookmarkStart w:id="1010" w:name="_Toc416383927"/>
      <w:bookmarkStart w:id="1011" w:name="_Toc416447913"/>
      <w:bookmarkStart w:id="1012" w:name="_Toc416383928"/>
      <w:bookmarkStart w:id="1013" w:name="_Toc416447914"/>
      <w:bookmarkStart w:id="1014" w:name="_Toc416383929"/>
      <w:bookmarkStart w:id="1015" w:name="_Toc416447915"/>
      <w:bookmarkStart w:id="1016" w:name="_Toc416383930"/>
      <w:bookmarkStart w:id="1017" w:name="_Toc416447916"/>
      <w:bookmarkStart w:id="1018" w:name="_Toc416383931"/>
      <w:bookmarkStart w:id="1019" w:name="_Toc416447917"/>
      <w:bookmarkStart w:id="1020" w:name="_Toc414464600"/>
      <w:bookmarkStart w:id="1021" w:name="_Toc416800480"/>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2C224A">
        <w:rPr>
          <w:rFonts w:ascii="Calibri" w:hAnsi="Calibri"/>
        </w:rPr>
        <w:t>Modelové scénáře vývoje portfolií, počet investic a revolvingový efekt</w:t>
      </w:r>
    </w:p>
    <w:bookmarkEnd w:id="1020"/>
    <w:bookmarkEnd w:id="1021"/>
    <w:p w:rsidR="00964686" w:rsidRPr="002C224A" w:rsidRDefault="00964686" w:rsidP="00964686">
      <w:r w:rsidRPr="002C224A">
        <w:t>Níže jsou prezentovány výsledky modelování potenciálních efektů využití navrhované části alokace specifického cíle na finanční nástroj, vč. specifikace výchozích atributů, na kterých je model postaven. Jedná se o modelové příklady, které slouží jako vodítko a měly by být rámcově respektovány při implementaci FN, nicméně nemohou být považovány za závazné s ohledem na dále prezentované předpoklady.</w:t>
      </w:r>
    </w:p>
    <w:p w:rsidR="002C52EC" w:rsidRDefault="002C52EC" w:rsidP="00712C68">
      <w:pPr>
        <w:pStyle w:val="Neslovannadpisy"/>
        <w:rPr>
          <w:color w:val="auto"/>
        </w:rPr>
      </w:pPr>
    </w:p>
    <w:p w:rsidR="00712C68" w:rsidRPr="002C224A" w:rsidRDefault="00712C68" w:rsidP="008366D3">
      <w:pPr>
        <w:pStyle w:val="Neslovannadpisy"/>
        <w:rPr>
          <w:b w:val="0"/>
        </w:rPr>
      </w:pPr>
      <w:r w:rsidRPr="002C224A">
        <w:t>Záruční nástroj</w:t>
      </w:r>
    </w:p>
    <w:p w:rsidR="00712C68" w:rsidRPr="002C224A" w:rsidRDefault="00712C68" w:rsidP="00712C68">
      <w:r w:rsidRPr="00A50943">
        <w:lastRenderedPageBreak/>
        <w:t>Multiplikační</w:t>
      </w:r>
      <w:r w:rsidRPr="002C224A">
        <w:t xml:space="preserve"> a revolvingový efekt záručního instrumentu je přímo závislý na strategii řízení rizika a ztrát. Model vychází z navržené alokace, parametrů definovaných v podkapitole Odhad dodatečných zdrojů a modelových parametrů dle dosavadních zkušeností z OP PI.</w:t>
      </w:r>
      <w:r w:rsidR="006D2606" w:rsidRPr="002C224A">
        <w:t xml:space="preserve"> Je počítáno s doprovodným příspěvkem na úhradu úroků.</w:t>
      </w:r>
    </w:p>
    <w:p w:rsidR="00712C68" w:rsidRPr="002C224A" w:rsidRDefault="00712C68" w:rsidP="00712C68">
      <w:pPr>
        <w:pStyle w:val="BodyText1"/>
        <w:jc w:val="both"/>
        <w:rPr>
          <w:rFonts w:ascii="Calibri" w:hAnsi="Calibri"/>
        </w:rPr>
      </w:pPr>
    </w:p>
    <w:tbl>
      <w:tblPr>
        <w:tblW w:w="5560" w:type="dxa"/>
        <w:tblInd w:w="80" w:type="dxa"/>
        <w:tblCellMar>
          <w:left w:w="70" w:type="dxa"/>
          <w:right w:w="70" w:type="dxa"/>
        </w:tblCellMar>
        <w:tblLook w:val="04A0" w:firstRow="1" w:lastRow="0" w:firstColumn="1" w:lastColumn="0" w:noHBand="0" w:noVBand="1"/>
      </w:tblPr>
      <w:tblGrid>
        <w:gridCol w:w="3940"/>
        <w:gridCol w:w="1620"/>
      </w:tblGrid>
      <w:tr w:rsidR="00712C68" w:rsidRPr="002C224A" w:rsidTr="00DA3038">
        <w:trPr>
          <w:trHeight w:val="315"/>
        </w:trPr>
        <w:tc>
          <w:tcPr>
            <w:tcW w:w="3940" w:type="dxa"/>
            <w:tcBorders>
              <w:top w:val="single" w:sz="8" w:space="0" w:color="auto"/>
              <w:left w:val="single" w:sz="8" w:space="0" w:color="auto"/>
              <w:bottom w:val="nil"/>
              <w:right w:val="nil"/>
            </w:tcBorders>
            <w:shd w:val="clear" w:color="auto" w:fill="auto"/>
            <w:noWrap/>
            <w:vAlign w:val="bottom"/>
          </w:tcPr>
          <w:p w:rsidR="00712C68" w:rsidRPr="00A50943" w:rsidRDefault="00712C68" w:rsidP="00DA3038">
            <w:pPr>
              <w:overflowPunct/>
              <w:autoSpaceDE/>
              <w:autoSpaceDN/>
              <w:adjustRightInd/>
              <w:jc w:val="left"/>
              <w:textAlignment w:val="auto"/>
              <w:rPr>
                <w:color w:val="000000"/>
                <w:szCs w:val="22"/>
              </w:rPr>
            </w:pPr>
            <w:r w:rsidRPr="00A50943">
              <w:rPr>
                <w:color w:val="000000"/>
                <w:szCs w:val="22"/>
              </w:rPr>
              <w:t>Alokace (mil. Kč)</w:t>
            </w:r>
          </w:p>
        </w:tc>
        <w:tc>
          <w:tcPr>
            <w:tcW w:w="1620" w:type="dxa"/>
            <w:tcBorders>
              <w:top w:val="single" w:sz="8" w:space="0" w:color="auto"/>
              <w:left w:val="single" w:sz="8" w:space="0" w:color="auto"/>
              <w:bottom w:val="nil"/>
              <w:right w:val="single" w:sz="8" w:space="0" w:color="auto"/>
            </w:tcBorders>
            <w:shd w:val="clear" w:color="auto" w:fill="auto"/>
            <w:noWrap/>
            <w:vAlign w:val="bottom"/>
          </w:tcPr>
          <w:p w:rsidR="00712C68" w:rsidRPr="002C224A" w:rsidRDefault="00213A1F" w:rsidP="00DA3038">
            <w:pPr>
              <w:overflowPunct/>
              <w:autoSpaceDE/>
              <w:autoSpaceDN/>
              <w:adjustRightInd/>
              <w:jc w:val="right"/>
              <w:textAlignment w:val="auto"/>
              <w:rPr>
                <w:color w:val="000000"/>
                <w:szCs w:val="22"/>
              </w:rPr>
            </w:pPr>
            <w:r w:rsidRPr="002C224A">
              <w:rPr>
                <w:color w:val="000000"/>
                <w:szCs w:val="22"/>
              </w:rPr>
              <w:t>1400</w:t>
            </w:r>
          </w:p>
        </w:tc>
      </w:tr>
      <w:tr w:rsidR="00712C68" w:rsidRPr="002C224A" w:rsidTr="00DA3038">
        <w:trPr>
          <w:trHeight w:val="345"/>
        </w:trPr>
        <w:tc>
          <w:tcPr>
            <w:tcW w:w="3940" w:type="dxa"/>
            <w:tcBorders>
              <w:top w:val="nil"/>
              <w:left w:val="single" w:sz="8" w:space="0" w:color="auto"/>
              <w:bottom w:val="nil"/>
              <w:right w:val="nil"/>
            </w:tcBorders>
            <w:shd w:val="clear" w:color="auto" w:fill="auto"/>
            <w:noWrap/>
            <w:vAlign w:val="bottom"/>
          </w:tcPr>
          <w:p w:rsidR="00712C68" w:rsidRPr="002C224A" w:rsidRDefault="00962E90" w:rsidP="00962E90">
            <w:pPr>
              <w:overflowPunct/>
              <w:autoSpaceDE/>
              <w:autoSpaceDN/>
              <w:adjustRightInd/>
              <w:jc w:val="left"/>
              <w:textAlignment w:val="auto"/>
              <w:rPr>
                <w:color w:val="000000"/>
                <w:szCs w:val="22"/>
              </w:rPr>
            </w:pPr>
            <w:r w:rsidRPr="00A50943">
              <w:rPr>
                <w:color w:val="000000"/>
                <w:szCs w:val="22"/>
              </w:rPr>
              <w:t>H</w:t>
            </w:r>
            <w:r w:rsidR="00712C68" w:rsidRPr="002C224A">
              <w:rPr>
                <w:color w:val="000000"/>
                <w:szCs w:val="22"/>
              </w:rPr>
              <w:t>razení ztrát</w:t>
            </w:r>
          </w:p>
        </w:tc>
        <w:tc>
          <w:tcPr>
            <w:tcW w:w="1620" w:type="dxa"/>
            <w:tcBorders>
              <w:top w:val="nil"/>
              <w:left w:val="single" w:sz="8" w:space="0" w:color="auto"/>
              <w:bottom w:val="nil"/>
              <w:right w:val="single" w:sz="8" w:space="0" w:color="auto"/>
            </w:tcBorders>
            <w:shd w:val="clear" w:color="auto" w:fill="auto"/>
            <w:noWrap/>
            <w:vAlign w:val="bottom"/>
          </w:tcPr>
          <w:p w:rsidR="00712C68" w:rsidRPr="002C224A" w:rsidRDefault="00213A1F" w:rsidP="00A50943">
            <w:pPr>
              <w:overflowPunct/>
              <w:autoSpaceDE/>
              <w:autoSpaceDN/>
              <w:adjustRightInd/>
              <w:jc w:val="right"/>
              <w:textAlignment w:val="auto"/>
              <w:rPr>
                <w:color w:val="000000"/>
                <w:szCs w:val="22"/>
              </w:rPr>
            </w:pPr>
            <w:r w:rsidRPr="002C224A">
              <w:rPr>
                <w:color w:val="000000"/>
                <w:szCs w:val="22"/>
              </w:rPr>
              <w:t>2</w:t>
            </w:r>
            <w:r w:rsidR="008C6DFC" w:rsidRPr="002C224A">
              <w:rPr>
                <w:color w:val="000000"/>
                <w:szCs w:val="22"/>
              </w:rPr>
              <w:t>5</w:t>
            </w:r>
            <w:r w:rsidR="00712C68" w:rsidRPr="002C224A">
              <w:rPr>
                <w:color w:val="000000"/>
                <w:szCs w:val="22"/>
              </w:rPr>
              <w:t>%</w:t>
            </w:r>
          </w:p>
        </w:tc>
      </w:tr>
      <w:tr w:rsidR="00712C68" w:rsidRPr="002C224A" w:rsidTr="00DA3038">
        <w:trPr>
          <w:trHeight w:val="315"/>
        </w:trPr>
        <w:tc>
          <w:tcPr>
            <w:tcW w:w="3940" w:type="dxa"/>
            <w:tcBorders>
              <w:top w:val="nil"/>
              <w:left w:val="single" w:sz="8" w:space="0" w:color="auto"/>
              <w:bottom w:val="nil"/>
              <w:right w:val="nil"/>
            </w:tcBorders>
            <w:shd w:val="clear" w:color="auto" w:fill="auto"/>
            <w:noWrap/>
            <w:vAlign w:val="bottom"/>
          </w:tcPr>
          <w:p w:rsidR="00712C68" w:rsidRPr="00A50943" w:rsidRDefault="00712C68" w:rsidP="00DA3038">
            <w:pPr>
              <w:overflowPunct/>
              <w:autoSpaceDE/>
              <w:autoSpaceDN/>
              <w:adjustRightInd/>
              <w:jc w:val="left"/>
              <w:textAlignment w:val="auto"/>
              <w:rPr>
                <w:color w:val="000000"/>
                <w:szCs w:val="22"/>
              </w:rPr>
            </w:pPr>
            <w:r w:rsidRPr="00A50943">
              <w:rPr>
                <w:color w:val="000000"/>
                <w:szCs w:val="22"/>
              </w:rPr>
              <w:t>Podíl vyplacených m. fees na alokaci</w:t>
            </w:r>
          </w:p>
        </w:tc>
        <w:tc>
          <w:tcPr>
            <w:tcW w:w="1620" w:type="dxa"/>
            <w:tcBorders>
              <w:top w:val="nil"/>
              <w:left w:val="single" w:sz="8" w:space="0" w:color="auto"/>
              <w:bottom w:val="nil"/>
              <w:right w:val="single" w:sz="8" w:space="0" w:color="auto"/>
            </w:tcBorders>
            <w:shd w:val="clear" w:color="auto" w:fill="auto"/>
            <w:noWrap/>
            <w:vAlign w:val="bottom"/>
          </w:tcPr>
          <w:p w:rsidR="00712C68" w:rsidRPr="002C224A" w:rsidRDefault="00712C68" w:rsidP="00DA3038">
            <w:pPr>
              <w:overflowPunct/>
              <w:autoSpaceDE/>
              <w:autoSpaceDN/>
              <w:adjustRightInd/>
              <w:jc w:val="right"/>
              <w:textAlignment w:val="auto"/>
              <w:rPr>
                <w:color w:val="000000"/>
                <w:szCs w:val="22"/>
              </w:rPr>
            </w:pPr>
            <w:r w:rsidRPr="002C224A">
              <w:rPr>
                <w:color w:val="000000"/>
                <w:szCs w:val="22"/>
              </w:rPr>
              <w:t>8%</w:t>
            </w:r>
          </w:p>
        </w:tc>
      </w:tr>
      <w:tr w:rsidR="00712C68" w:rsidRPr="002C224A" w:rsidTr="00DA3038">
        <w:trPr>
          <w:trHeight w:val="315"/>
        </w:trPr>
        <w:tc>
          <w:tcPr>
            <w:tcW w:w="3940" w:type="dxa"/>
            <w:tcBorders>
              <w:top w:val="nil"/>
              <w:left w:val="single" w:sz="8" w:space="0" w:color="auto"/>
              <w:bottom w:val="nil"/>
              <w:right w:val="nil"/>
            </w:tcBorders>
            <w:shd w:val="clear" w:color="auto" w:fill="auto"/>
            <w:noWrap/>
            <w:vAlign w:val="bottom"/>
          </w:tcPr>
          <w:p w:rsidR="00712C68" w:rsidRPr="00A50943" w:rsidRDefault="00712C68" w:rsidP="00DA3038">
            <w:pPr>
              <w:overflowPunct/>
              <w:autoSpaceDE/>
              <w:autoSpaceDN/>
              <w:adjustRightInd/>
              <w:jc w:val="left"/>
              <w:textAlignment w:val="auto"/>
              <w:rPr>
                <w:color w:val="000000"/>
                <w:szCs w:val="22"/>
              </w:rPr>
            </w:pPr>
            <w:r w:rsidRPr="00A50943">
              <w:rPr>
                <w:color w:val="000000"/>
                <w:szCs w:val="22"/>
              </w:rPr>
              <w:t>Podíl vlastních zdrojů k.p.</w:t>
            </w:r>
          </w:p>
        </w:tc>
        <w:tc>
          <w:tcPr>
            <w:tcW w:w="1620" w:type="dxa"/>
            <w:tcBorders>
              <w:top w:val="nil"/>
              <w:left w:val="single" w:sz="8" w:space="0" w:color="auto"/>
              <w:bottom w:val="nil"/>
              <w:right w:val="single" w:sz="8" w:space="0" w:color="auto"/>
            </w:tcBorders>
            <w:shd w:val="clear" w:color="auto" w:fill="auto"/>
            <w:noWrap/>
            <w:vAlign w:val="bottom"/>
          </w:tcPr>
          <w:p w:rsidR="00712C68" w:rsidRPr="002C224A" w:rsidRDefault="00712C68" w:rsidP="00DA3038">
            <w:pPr>
              <w:overflowPunct/>
              <w:autoSpaceDE/>
              <w:autoSpaceDN/>
              <w:adjustRightInd/>
              <w:jc w:val="right"/>
              <w:textAlignment w:val="auto"/>
              <w:rPr>
                <w:color w:val="000000"/>
                <w:szCs w:val="22"/>
              </w:rPr>
            </w:pPr>
            <w:r w:rsidRPr="002C224A">
              <w:rPr>
                <w:color w:val="000000"/>
                <w:szCs w:val="22"/>
              </w:rPr>
              <w:t>20%</w:t>
            </w:r>
          </w:p>
        </w:tc>
      </w:tr>
      <w:tr w:rsidR="00712C68" w:rsidRPr="002C224A" w:rsidTr="00DA3038">
        <w:trPr>
          <w:trHeight w:val="315"/>
        </w:trPr>
        <w:tc>
          <w:tcPr>
            <w:tcW w:w="3940" w:type="dxa"/>
            <w:tcBorders>
              <w:top w:val="nil"/>
              <w:left w:val="single" w:sz="8" w:space="0" w:color="auto"/>
              <w:bottom w:val="single" w:sz="8" w:space="0" w:color="auto"/>
              <w:right w:val="nil"/>
            </w:tcBorders>
            <w:shd w:val="clear" w:color="auto" w:fill="auto"/>
            <w:noWrap/>
            <w:vAlign w:val="bottom"/>
          </w:tcPr>
          <w:p w:rsidR="00712C68" w:rsidRPr="00A50943" w:rsidRDefault="00712C68" w:rsidP="00DA3038">
            <w:pPr>
              <w:overflowPunct/>
              <w:autoSpaceDE/>
              <w:autoSpaceDN/>
              <w:adjustRightInd/>
              <w:jc w:val="left"/>
              <w:textAlignment w:val="auto"/>
              <w:rPr>
                <w:color w:val="000000"/>
                <w:szCs w:val="22"/>
              </w:rPr>
            </w:pPr>
            <w:r w:rsidRPr="00A50943">
              <w:rPr>
                <w:color w:val="000000"/>
                <w:szCs w:val="22"/>
              </w:rPr>
              <w:t>Průměrná velikost úvěru (mil. Kč)</w:t>
            </w:r>
          </w:p>
        </w:tc>
        <w:tc>
          <w:tcPr>
            <w:tcW w:w="1620" w:type="dxa"/>
            <w:tcBorders>
              <w:top w:val="nil"/>
              <w:left w:val="single" w:sz="8" w:space="0" w:color="auto"/>
              <w:bottom w:val="single" w:sz="8" w:space="0" w:color="auto"/>
              <w:right w:val="single" w:sz="8" w:space="0" w:color="auto"/>
            </w:tcBorders>
            <w:shd w:val="clear" w:color="auto" w:fill="auto"/>
            <w:noWrap/>
            <w:vAlign w:val="bottom"/>
          </w:tcPr>
          <w:p w:rsidR="00712C68" w:rsidRPr="002C224A" w:rsidRDefault="00213A1F" w:rsidP="00DA3038">
            <w:pPr>
              <w:overflowPunct/>
              <w:autoSpaceDE/>
              <w:autoSpaceDN/>
              <w:adjustRightInd/>
              <w:jc w:val="right"/>
              <w:textAlignment w:val="auto"/>
              <w:rPr>
                <w:color w:val="000000"/>
                <w:szCs w:val="22"/>
              </w:rPr>
            </w:pPr>
            <w:r w:rsidRPr="002C224A">
              <w:rPr>
                <w:color w:val="000000"/>
                <w:szCs w:val="22"/>
              </w:rPr>
              <w:t>26</w:t>
            </w:r>
          </w:p>
        </w:tc>
      </w:tr>
    </w:tbl>
    <w:p w:rsidR="004A4860" w:rsidRPr="002C224A" w:rsidRDefault="004A4860" w:rsidP="004A4860">
      <w:pPr>
        <w:pStyle w:val="Titulek"/>
      </w:pPr>
      <w:r w:rsidRPr="002C224A">
        <w:t>Tabulka 9</w:t>
      </w:r>
      <w:r>
        <w:t>6</w:t>
      </w:r>
      <w:r w:rsidRPr="002C224A">
        <w:t xml:space="preserve">: </w:t>
      </w:r>
      <w:r>
        <w:t>Parametry modelu</w:t>
      </w:r>
    </w:p>
    <w:p w:rsidR="00712C68" w:rsidRPr="002C224A" w:rsidRDefault="00712C68" w:rsidP="00712C68">
      <w:pPr>
        <w:pStyle w:val="BodyText1"/>
        <w:jc w:val="both"/>
        <w:rPr>
          <w:rFonts w:ascii="Calibri" w:hAnsi="Calibri"/>
        </w:rPr>
      </w:pPr>
    </w:p>
    <w:p w:rsidR="00712C68" w:rsidRPr="002C224A" w:rsidRDefault="00712C68" w:rsidP="00712C68">
      <w:pPr>
        <w:pStyle w:val="Titulek"/>
      </w:pPr>
      <w:r w:rsidRPr="002C224A">
        <w:t>Tabulka 9</w:t>
      </w:r>
      <w:r w:rsidR="004A4860">
        <w:t>7</w:t>
      </w:r>
      <w:r w:rsidRPr="002C224A">
        <w:t xml:space="preserve">: Záruky SC </w:t>
      </w:r>
      <w:r w:rsidR="00B10E84" w:rsidRPr="002C224A">
        <w:t>1</w:t>
      </w:r>
      <w:r w:rsidRPr="002C224A">
        <w:t>.1, výsledky modelu</w:t>
      </w:r>
    </w:p>
    <w:tbl>
      <w:tblPr>
        <w:tblW w:w="8800" w:type="dxa"/>
        <w:tblInd w:w="70" w:type="dxa"/>
        <w:tblCellMar>
          <w:left w:w="70" w:type="dxa"/>
          <w:right w:w="70" w:type="dxa"/>
        </w:tblCellMar>
        <w:tblLook w:val="04A0" w:firstRow="1" w:lastRow="0" w:firstColumn="1" w:lastColumn="0" w:noHBand="0" w:noVBand="1"/>
      </w:tblPr>
      <w:tblGrid>
        <w:gridCol w:w="1776"/>
        <w:gridCol w:w="6243"/>
        <w:gridCol w:w="781"/>
      </w:tblGrid>
      <w:tr w:rsidR="004D1CEB" w:rsidRPr="002C224A" w:rsidTr="002C224A">
        <w:trPr>
          <w:trHeight w:val="300"/>
        </w:trPr>
        <w:tc>
          <w:tcPr>
            <w:tcW w:w="8800" w:type="dxa"/>
            <w:gridSpan w:val="3"/>
            <w:tcBorders>
              <w:top w:val="single" w:sz="4" w:space="0" w:color="4F81BD"/>
              <w:left w:val="nil"/>
              <w:bottom w:val="single" w:sz="4" w:space="0" w:color="4F81BD"/>
              <w:right w:val="nil"/>
            </w:tcBorders>
            <w:shd w:val="clear" w:color="auto" w:fill="auto"/>
            <w:noWrap/>
            <w:vAlign w:val="bottom"/>
          </w:tcPr>
          <w:p w:rsidR="004D1CEB" w:rsidRPr="00A50943" w:rsidRDefault="004D1CEB" w:rsidP="00AC3C42">
            <w:pPr>
              <w:overflowPunct/>
              <w:autoSpaceDE/>
              <w:autoSpaceDN/>
              <w:adjustRightInd/>
              <w:jc w:val="center"/>
              <w:textAlignment w:val="auto"/>
              <w:rPr>
                <w:b/>
                <w:bCs/>
                <w:color w:val="366092"/>
                <w:szCs w:val="22"/>
              </w:rPr>
            </w:pPr>
            <w:r w:rsidRPr="00A50943">
              <w:rPr>
                <w:b/>
                <w:bCs/>
                <w:color w:val="366092"/>
                <w:szCs w:val="22"/>
              </w:rPr>
              <w:t>Záruka SC 1.1</w:t>
            </w:r>
          </w:p>
        </w:tc>
      </w:tr>
      <w:tr w:rsidR="004D1CEB" w:rsidRPr="002C224A" w:rsidTr="002C224A">
        <w:trPr>
          <w:trHeight w:val="300"/>
        </w:trPr>
        <w:tc>
          <w:tcPr>
            <w:tcW w:w="8019" w:type="dxa"/>
            <w:gridSpan w:val="2"/>
            <w:tcBorders>
              <w:top w:val="single" w:sz="4" w:space="0" w:color="4F81BD"/>
              <w:left w:val="nil"/>
              <w:bottom w:val="nil"/>
              <w:right w:val="nil"/>
            </w:tcBorders>
            <w:shd w:val="clear" w:color="DCE6F1" w:fill="DCE6F1"/>
            <w:noWrap/>
            <w:vAlign w:val="bottom"/>
          </w:tcPr>
          <w:p w:rsidR="004D1CEB" w:rsidRPr="00A50943" w:rsidRDefault="004D1CEB" w:rsidP="00AC3C42">
            <w:pPr>
              <w:overflowPunct/>
              <w:autoSpaceDE/>
              <w:autoSpaceDN/>
              <w:adjustRightInd/>
              <w:jc w:val="left"/>
              <w:textAlignment w:val="auto"/>
              <w:rPr>
                <w:color w:val="366092"/>
                <w:szCs w:val="22"/>
              </w:rPr>
            </w:pPr>
            <w:r w:rsidRPr="00A50943">
              <w:rPr>
                <w:color w:val="366092"/>
                <w:szCs w:val="22"/>
              </w:rPr>
              <w:t>Alokace FN (mil. CZK)</w:t>
            </w:r>
          </w:p>
        </w:tc>
        <w:tc>
          <w:tcPr>
            <w:tcW w:w="781" w:type="dxa"/>
            <w:tcBorders>
              <w:top w:val="nil"/>
              <w:left w:val="nil"/>
              <w:bottom w:val="nil"/>
              <w:right w:val="nil"/>
            </w:tcBorders>
            <w:shd w:val="clear" w:color="DCE6F1" w:fill="DCE6F1"/>
            <w:noWrap/>
            <w:vAlign w:val="bottom"/>
          </w:tcPr>
          <w:p w:rsidR="004D1CEB" w:rsidRPr="002C224A" w:rsidRDefault="004D1CEB" w:rsidP="00A50943">
            <w:pPr>
              <w:overflowPunct/>
              <w:autoSpaceDE/>
              <w:autoSpaceDN/>
              <w:adjustRightInd/>
              <w:jc w:val="right"/>
              <w:textAlignment w:val="auto"/>
              <w:rPr>
                <w:color w:val="366092"/>
                <w:szCs w:val="22"/>
              </w:rPr>
            </w:pPr>
            <w:r w:rsidRPr="002C224A">
              <w:rPr>
                <w:color w:val="366092"/>
                <w:szCs w:val="22"/>
              </w:rPr>
              <w:t>1 400</w:t>
            </w:r>
          </w:p>
        </w:tc>
      </w:tr>
      <w:tr w:rsidR="004D1CEB" w:rsidRPr="002C224A" w:rsidTr="002C224A">
        <w:trPr>
          <w:trHeight w:val="300"/>
        </w:trPr>
        <w:tc>
          <w:tcPr>
            <w:tcW w:w="1776" w:type="dxa"/>
            <w:vMerge w:val="restart"/>
            <w:tcBorders>
              <w:top w:val="nil"/>
              <w:left w:val="nil"/>
              <w:right w:val="nil"/>
            </w:tcBorders>
            <w:shd w:val="clear" w:color="auto" w:fill="auto"/>
            <w:noWrap/>
            <w:vAlign w:val="center"/>
          </w:tcPr>
          <w:p w:rsidR="004D1CEB" w:rsidRPr="00A50943" w:rsidRDefault="004D1CEB" w:rsidP="00AC3C42">
            <w:pPr>
              <w:overflowPunct/>
              <w:autoSpaceDE/>
              <w:autoSpaceDN/>
              <w:adjustRightInd/>
              <w:jc w:val="center"/>
              <w:textAlignment w:val="auto"/>
              <w:rPr>
                <w:color w:val="366092"/>
                <w:szCs w:val="22"/>
              </w:rPr>
            </w:pPr>
            <w:r w:rsidRPr="00A50943">
              <w:rPr>
                <w:color w:val="366092"/>
                <w:szCs w:val="22"/>
              </w:rPr>
              <w:t>Čerpání alokace</w:t>
            </w:r>
          </w:p>
        </w:tc>
        <w:tc>
          <w:tcPr>
            <w:tcW w:w="6243" w:type="dxa"/>
            <w:tcBorders>
              <w:top w:val="nil"/>
              <w:left w:val="nil"/>
              <w:bottom w:val="nil"/>
              <w:right w:val="nil"/>
            </w:tcBorders>
            <w:shd w:val="clear" w:color="auto" w:fill="auto"/>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Veřejné zdroje FN po odečtení MCF</w:t>
            </w:r>
          </w:p>
        </w:tc>
        <w:tc>
          <w:tcPr>
            <w:tcW w:w="781" w:type="dxa"/>
            <w:tcBorders>
              <w:top w:val="nil"/>
              <w:left w:val="nil"/>
              <w:bottom w:val="nil"/>
              <w:right w:val="nil"/>
            </w:tcBorders>
            <w:shd w:val="clear" w:color="auto" w:fill="auto"/>
            <w:noWrap/>
            <w:vAlign w:val="bottom"/>
          </w:tcPr>
          <w:p w:rsidR="004D1CEB" w:rsidRPr="002C224A" w:rsidRDefault="004D1CEB" w:rsidP="00A50943">
            <w:pPr>
              <w:overflowPunct/>
              <w:autoSpaceDE/>
              <w:autoSpaceDN/>
              <w:adjustRightInd/>
              <w:jc w:val="right"/>
              <w:textAlignment w:val="auto"/>
              <w:rPr>
                <w:color w:val="366092"/>
                <w:szCs w:val="22"/>
              </w:rPr>
            </w:pPr>
            <w:r w:rsidRPr="002C224A">
              <w:rPr>
                <w:color w:val="366092"/>
                <w:szCs w:val="22"/>
              </w:rPr>
              <w:t>1 288</w:t>
            </w:r>
          </w:p>
        </w:tc>
      </w:tr>
      <w:tr w:rsidR="004D1CEB" w:rsidRPr="002C224A" w:rsidTr="002C224A">
        <w:trPr>
          <w:trHeight w:val="300"/>
        </w:trPr>
        <w:tc>
          <w:tcPr>
            <w:tcW w:w="1776" w:type="dxa"/>
            <w:vMerge/>
            <w:tcBorders>
              <w:left w:val="nil"/>
              <w:right w:val="nil"/>
            </w:tcBorders>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Pákový efekt na projektech konečných příjemců</w:t>
            </w:r>
          </w:p>
        </w:tc>
        <w:tc>
          <w:tcPr>
            <w:tcW w:w="781" w:type="dxa"/>
            <w:tcBorders>
              <w:top w:val="nil"/>
              <w:left w:val="nil"/>
              <w:bottom w:val="nil"/>
              <w:right w:val="nil"/>
            </w:tcBorders>
            <w:shd w:val="clear" w:color="DCE6F1" w:fill="DCE6F1"/>
            <w:noWrap/>
            <w:vAlign w:val="bottom"/>
          </w:tcPr>
          <w:p w:rsidR="004D1CEB" w:rsidRPr="002C224A" w:rsidRDefault="00037B07" w:rsidP="00A50943">
            <w:pPr>
              <w:overflowPunct/>
              <w:autoSpaceDE/>
              <w:autoSpaceDN/>
              <w:adjustRightInd/>
              <w:jc w:val="right"/>
              <w:textAlignment w:val="auto"/>
              <w:rPr>
                <w:b/>
                <w:color w:val="366092"/>
                <w:szCs w:val="22"/>
              </w:rPr>
            </w:pPr>
            <w:r>
              <w:rPr>
                <w:b/>
                <w:color w:val="366092"/>
                <w:szCs w:val="22"/>
              </w:rPr>
              <w:t>5</w:t>
            </w:r>
            <w:r w:rsidR="004D1CEB" w:rsidRPr="002C224A">
              <w:rPr>
                <w:b/>
                <w:color w:val="366092"/>
                <w:szCs w:val="22"/>
              </w:rPr>
              <w:t>,0</w:t>
            </w:r>
          </w:p>
        </w:tc>
      </w:tr>
      <w:tr w:rsidR="004D1CEB" w:rsidRPr="002C224A" w:rsidTr="002C224A">
        <w:trPr>
          <w:trHeight w:val="300"/>
        </w:trPr>
        <w:tc>
          <w:tcPr>
            <w:tcW w:w="1776" w:type="dxa"/>
            <w:vMerge/>
            <w:tcBorders>
              <w:left w:val="nil"/>
              <w:right w:val="nil"/>
            </w:tcBorders>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Celkové návratné zdroje na projekty konečných příjemců</w:t>
            </w:r>
          </w:p>
        </w:tc>
        <w:tc>
          <w:tcPr>
            <w:tcW w:w="781" w:type="dxa"/>
            <w:tcBorders>
              <w:top w:val="nil"/>
              <w:left w:val="nil"/>
              <w:bottom w:val="nil"/>
              <w:right w:val="nil"/>
            </w:tcBorders>
            <w:shd w:val="clear" w:color="auto" w:fill="auto"/>
            <w:noWrap/>
            <w:vAlign w:val="bottom"/>
          </w:tcPr>
          <w:p w:rsidR="004D1CEB" w:rsidRPr="002C224A" w:rsidRDefault="00037B07" w:rsidP="00A50943">
            <w:pPr>
              <w:overflowPunct/>
              <w:autoSpaceDE/>
              <w:autoSpaceDN/>
              <w:adjustRightInd/>
              <w:jc w:val="right"/>
              <w:textAlignment w:val="auto"/>
              <w:rPr>
                <w:color w:val="366092"/>
                <w:szCs w:val="22"/>
              </w:rPr>
            </w:pPr>
            <w:r>
              <w:rPr>
                <w:color w:val="366092"/>
                <w:szCs w:val="22"/>
              </w:rPr>
              <w:t>6 440</w:t>
            </w:r>
          </w:p>
        </w:tc>
      </w:tr>
      <w:tr w:rsidR="004D1CEB" w:rsidRPr="002C224A" w:rsidTr="002C224A">
        <w:trPr>
          <w:trHeight w:val="300"/>
        </w:trPr>
        <w:tc>
          <w:tcPr>
            <w:tcW w:w="1776" w:type="dxa"/>
            <w:vMerge/>
            <w:tcBorders>
              <w:left w:val="nil"/>
              <w:right w:val="nil"/>
            </w:tcBorders>
            <w:shd w:val="clear" w:color="auto" w:fill="auto"/>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Nenávratná část podpory</w:t>
            </w:r>
          </w:p>
        </w:tc>
        <w:tc>
          <w:tcPr>
            <w:tcW w:w="781" w:type="dxa"/>
            <w:tcBorders>
              <w:top w:val="nil"/>
              <w:left w:val="nil"/>
              <w:bottom w:val="nil"/>
              <w:right w:val="nil"/>
            </w:tcBorders>
            <w:shd w:val="clear" w:color="DCE6F1" w:fill="DCE6F1"/>
            <w:noWrap/>
            <w:vAlign w:val="bottom"/>
          </w:tcPr>
          <w:p w:rsidR="004D1CEB" w:rsidRPr="002C224A" w:rsidRDefault="004D1CEB" w:rsidP="002C224A">
            <w:pPr>
              <w:overflowPunct/>
              <w:autoSpaceDE/>
              <w:autoSpaceDN/>
              <w:adjustRightInd/>
              <w:jc w:val="right"/>
              <w:textAlignment w:val="auto"/>
              <w:rPr>
                <w:color w:val="366092"/>
                <w:szCs w:val="22"/>
              </w:rPr>
            </w:pPr>
            <w:r w:rsidRPr="002C224A">
              <w:rPr>
                <w:color w:val="366092"/>
                <w:szCs w:val="22"/>
              </w:rPr>
              <w:t>100</w:t>
            </w:r>
          </w:p>
        </w:tc>
      </w:tr>
      <w:tr w:rsidR="004D1CEB" w:rsidRPr="002C224A" w:rsidTr="002C224A">
        <w:trPr>
          <w:trHeight w:val="300"/>
        </w:trPr>
        <w:tc>
          <w:tcPr>
            <w:tcW w:w="1776" w:type="dxa"/>
            <w:vMerge/>
            <w:tcBorders>
              <w:left w:val="nil"/>
              <w:right w:val="nil"/>
            </w:tcBorders>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rsidR="004D1CEB" w:rsidRPr="002C224A" w:rsidRDefault="004D1CEB" w:rsidP="00AC3C42">
            <w:pPr>
              <w:overflowPunct/>
              <w:autoSpaceDE/>
              <w:autoSpaceDN/>
              <w:adjustRightInd/>
              <w:jc w:val="left"/>
              <w:textAlignment w:val="auto"/>
              <w:rPr>
                <w:color w:val="366092"/>
                <w:szCs w:val="22"/>
              </w:rPr>
            </w:pPr>
          </w:p>
        </w:tc>
        <w:tc>
          <w:tcPr>
            <w:tcW w:w="781" w:type="dxa"/>
            <w:tcBorders>
              <w:top w:val="nil"/>
              <w:left w:val="nil"/>
              <w:bottom w:val="nil"/>
              <w:right w:val="nil"/>
            </w:tcBorders>
            <w:shd w:val="clear" w:color="auto" w:fill="auto"/>
            <w:noWrap/>
            <w:vAlign w:val="bottom"/>
          </w:tcPr>
          <w:p w:rsidR="004D1CEB" w:rsidRPr="002C224A" w:rsidRDefault="004D1CEB" w:rsidP="00AC3C42">
            <w:pPr>
              <w:overflowPunct/>
              <w:autoSpaceDE/>
              <w:autoSpaceDN/>
              <w:adjustRightInd/>
              <w:jc w:val="right"/>
              <w:textAlignment w:val="auto"/>
              <w:rPr>
                <w:color w:val="366092"/>
                <w:szCs w:val="22"/>
              </w:rPr>
            </w:pPr>
          </w:p>
        </w:tc>
      </w:tr>
      <w:tr w:rsidR="004D1CEB" w:rsidRPr="002C224A" w:rsidTr="002C224A">
        <w:trPr>
          <w:trHeight w:val="300"/>
        </w:trPr>
        <w:tc>
          <w:tcPr>
            <w:tcW w:w="1776" w:type="dxa"/>
            <w:vMerge/>
            <w:tcBorders>
              <w:left w:val="nil"/>
              <w:right w:val="nil"/>
            </w:tcBorders>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Počet projektů konečných příjemců</w:t>
            </w:r>
          </w:p>
        </w:tc>
        <w:tc>
          <w:tcPr>
            <w:tcW w:w="781" w:type="dxa"/>
            <w:tcBorders>
              <w:top w:val="nil"/>
              <w:left w:val="nil"/>
              <w:bottom w:val="nil"/>
              <w:right w:val="nil"/>
            </w:tcBorders>
            <w:shd w:val="clear" w:color="DCE6F1" w:fill="DCE6F1"/>
            <w:noWrap/>
            <w:vAlign w:val="bottom"/>
          </w:tcPr>
          <w:p w:rsidR="004D1CEB" w:rsidRPr="002C224A" w:rsidRDefault="00037B07" w:rsidP="00AC3C42">
            <w:pPr>
              <w:overflowPunct/>
              <w:autoSpaceDE/>
              <w:autoSpaceDN/>
              <w:adjustRightInd/>
              <w:jc w:val="right"/>
              <w:textAlignment w:val="auto"/>
              <w:rPr>
                <w:color w:val="366092"/>
                <w:szCs w:val="22"/>
              </w:rPr>
            </w:pPr>
            <w:r>
              <w:rPr>
                <w:color w:val="366092"/>
                <w:szCs w:val="22"/>
              </w:rPr>
              <w:t>248</w:t>
            </w:r>
          </w:p>
        </w:tc>
      </w:tr>
      <w:tr w:rsidR="004D1CEB" w:rsidRPr="002C224A" w:rsidTr="002C224A">
        <w:trPr>
          <w:trHeight w:val="300"/>
        </w:trPr>
        <w:tc>
          <w:tcPr>
            <w:tcW w:w="1776" w:type="dxa"/>
            <w:vMerge/>
            <w:tcBorders>
              <w:left w:val="nil"/>
              <w:right w:val="nil"/>
            </w:tcBorders>
            <w:shd w:val="clear" w:color="auto" w:fill="auto"/>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Celkové podpořené investice konečných příjemců</w:t>
            </w:r>
          </w:p>
        </w:tc>
        <w:tc>
          <w:tcPr>
            <w:tcW w:w="781" w:type="dxa"/>
            <w:tcBorders>
              <w:top w:val="nil"/>
              <w:left w:val="nil"/>
              <w:bottom w:val="nil"/>
              <w:right w:val="nil"/>
            </w:tcBorders>
            <w:shd w:val="clear" w:color="auto" w:fill="auto"/>
            <w:noWrap/>
            <w:vAlign w:val="bottom"/>
          </w:tcPr>
          <w:p w:rsidR="004D1CEB" w:rsidRPr="002C224A" w:rsidRDefault="00037B07" w:rsidP="00AC3C42">
            <w:pPr>
              <w:overflowPunct/>
              <w:autoSpaceDE/>
              <w:autoSpaceDN/>
              <w:adjustRightInd/>
              <w:jc w:val="right"/>
              <w:textAlignment w:val="auto"/>
              <w:rPr>
                <w:b/>
                <w:color w:val="366092"/>
                <w:szCs w:val="22"/>
              </w:rPr>
            </w:pPr>
            <w:r>
              <w:rPr>
                <w:b/>
                <w:color w:val="366092"/>
                <w:szCs w:val="22"/>
              </w:rPr>
              <w:t>7 728</w:t>
            </w:r>
          </w:p>
        </w:tc>
      </w:tr>
      <w:tr w:rsidR="004D1CEB" w:rsidRPr="002C224A" w:rsidTr="002C224A">
        <w:trPr>
          <w:trHeight w:val="300"/>
        </w:trPr>
        <w:tc>
          <w:tcPr>
            <w:tcW w:w="1776" w:type="dxa"/>
            <w:vMerge/>
            <w:tcBorders>
              <w:left w:val="nil"/>
              <w:bottom w:val="single" w:sz="4" w:space="0" w:color="4F81BD"/>
              <w:right w:val="nil"/>
            </w:tcBorders>
            <w:shd w:val="clear" w:color="auto" w:fill="auto"/>
            <w:vAlign w:val="center"/>
          </w:tcPr>
          <w:p w:rsidR="004D1CEB" w:rsidRPr="002C224A" w:rsidRDefault="004D1CEB" w:rsidP="00AC3C42">
            <w:pPr>
              <w:overflowPunct/>
              <w:autoSpaceDE/>
              <w:autoSpaceDN/>
              <w:adjustRightInd/>
              <w:jc w:val="left"/>
              <w:textAlignment w:val="auto"/>
              <w:rPr>
                <w:color w:val="366092"/>
                <w:szCs w:val="22"/>
              </w:rPr>
            </w:pPr>
          </w:p>
        </w:tc>
        <w:tc>
          <w:tcPr>
            <w:tcW w:w="6243" w:type="dxa"/>
            <w:tcBorders>
              <w:top w:val="nil"/>
              <w:left w:val="nil"/>
              <w:bottom w:val="single" w:sz="4" w:space="0" w:color="4F81BD"/>
              <w:right w:val="nil"/>
            </w:tcBorders>
            <w:shd w:val="clear" w:color="auto" w:fill="auto"/>
            <w:noWrap/>
            <w:vAlign w:val="bottom"/>
          </w:tcPr>
          <w:p w:rsidR="004D1CEB" w:rsidRPr="002C224A" w:rsidRDefault="004D1CEB" w:rsidP="00AC3C42">
            <w:pPr>
              <w:overflowPunct/>
              <w:autoSpaceDE/>
              <w:autoSpaceDN/>
              <w:adjustRightInd/>
              <w:jc w:val="left"/>
              <w:textAlignment w:val="auto"/>
              <w:rPr>
                <w:color w:val="366092"/>
                <w:szCs w:val="22"/>
              </w:rPr>
            </w:pPr>
            <w:r w:rsidRPr="002C224A">
              <w:rPr>
                <w:color w:val="366092"/>
                <w:szCs w:val="22"/>
              </w:rPr>
              <w:t>Přidaná hodnota</w:t>
            </w:r>
          </w:p>
        </w:tc>
        <w:tc>
          <w:tcPr>
            <w:tcW w:w="781" w:type="dxa"/>
            <w:tcBorders>
              <w:top w:val="nil"/>
              <w:left w:val="nil"/>
              <w:bottom w:val="single" w:sz="4" w:space="0" w:color="4F81BD"/>
              <w:right w:val="nil"/>
            </w:tcBorders>
            <w:shd w:val="clear" w:color="auto" w:fill="auto"/>
            <w:noWrap/>
            <w:vAlign w:val="bottom"/>
          </w:tcPr>
          <w:p w:rsidR="004D1CEB" w:rsidRPr="002C224A" w:rsidRDefault="00037B07" w:rsidP="008366D3">
            <w:pPr>
              <w:overflowPunct/>
              <w:autoSpaceDE/>
              <w:autoSpaceDN/>
              <w:adjustRightInd/>
              <w:jc w:val="right"/>
              <w:textAlignment w:val="auto"/>
              <w:rPr>
                <w:b/>
                <w:color w:val="366092"/>
                <w:szCs w:val="22"/>
              </w:rPr>
            </w:pPr>
            <w:r>
              <w:rPr>
                <w:b/>
                <w:color w:val="366092"/>
                <w:szCs w:val="22"/>
              </w:rPr>
              <w:t>5</w:t>
            </w:r>
            <w:r w:rsidR="004D1CEB" w:rsidRPr="002C224A">
              <w:rPr>
                <w:b/>
                <w:color w:val="366092"/>
                <w:szCs w:val="22"/>
              </w:rPr>
              <w:t>,</w:t>
            </w:r>
            <w:r>
              <w:rPr>
                <w:b/>
                <w:color w:val="366092"/>
                <w:szCs w:val="22"/>
              </w:rPr>
              <w:t>5</w:t>
            </w:r>
          </w:p>
        </w:tc>
      </w:tr>
    </w:tbl>
    <w:p w:rsidR="00712C68" w:rsidRPr="00A50943" w:rsidRDefault="00712C68" w:rsidP="00712C68">
      <w:pPr>
        <w:rPr>
          <w:b/>
          <w:vanish/>
          <w:color w:val="18B462"/>
        </w:rPr>
      </w:pPr>
    </w:p>
    <w:p w:rsidR="00712C68" w:rsidRPr="002C224A" w:rsidRDefault="00712C68" w:rsidP="00712C68">
      <w:pPr>
        <w:rPr>
          <w:noProof/>
        </w:rPr>
      </w:pPr>
    </w:p>
    <w:p w:rsidR="00DD66B8" w:rsidRPr="002C224A" w:rsidRDefault="00DD66B8" w:rsidP="00DD66B8">
      <w:pPr>
        <w:rPr>
          <w:noProof/>
        </w:rPr>
      </w:pPr>
      <w:bookmarkStart w:id="1022" w:name="_Toc416383933"/>
      <w:bookmarkStart w:id="1023" w:name="_Toc416447919"/>
      <w:bookmarkEnd w:id="1022"/>
      <w:bookmarkEnd w:id="1023"/>
      <w:r w:rsidRPr="002C224A">
        <w:rPr>
          <w:noProof/>
        </w:rPr>
        <w:t>Případný revolvingový efekt z vymožených pohledávek a nevyčerpaných záruk se projeví až v následujících programových obdobích. Vzhledem k povaze fungování nástroje (při efektivním nastavení rizika bude valná většina fondu účelově vyčerpána na záruční plnění) lze očekávat revolving maximálně několik desítek milionů Kč.</w:t>
      </w:r>
    </w:p>
    <w:p w:rsidR="006D67F1" w:rsidRPr="002C224A" w:rsidRDefault="006D67F1" w:rsidP="00CE3165"/>
    <w:p w:rsidR="006D67F1" w:rsidRPr="002C224A" w:rsidRDefault="006D67F1" w:rsidP="006F771D">
      <w:pPr>
        <w:pStyle w:val="Nadpis4"/>
        <w:rPr>
          <w:rFonts w:ascii="Calibri" w:hAnsi="Calibri"/>
        </w:rPr>
      </w:pPr>
      <w:bookmarkStart w:id="1024" w:name="_Toc414464602"/>
      <w:bookmarkStart w:id="1025" w:name="_Toc416800482"/>
      <w:r w:rsidRPr="002C224A">
        <w:rPr>
          <w:rFonts w:ascii="Calibri" w:hAnsi="Calibri"/>
        </w:rPr>
        <w:t xml:space="preserve">Očekávané výsledky </w:t>
      </w:r>
      <w:bookmarkEnd w:id="1024"/>
      <w:bookmarkEnd w:id="1025"/>
    </w:p>
    <w:p w:rsidR="00D45B3D" w:rsidRPr="00A50943" w:rsidRDefault="00E36562" w:rsidP="00DA2862">
      <w:pPr>
        <w:pStyle w:val="Odstavecseseznamem2"/>
        <w:overflowPunct w:val="0"/>
        <w:autoSpaceDE w:val="0"/>
        <w:autoSpaceDN w:val="0"/>
        <w:adjustRightInd w:val="0"/>
        <w:spacing w:after="160"/>
        <w:ind w:left="0"/>
        <w:jc w:val="both"/>
        <w:textAlignment w:val="baseline"/>
      </w:pPr>
      <w:r>
        <w:t>Následující tabulka udává hlavní indikátory cílů SC 1.1 definované v operačním programu.</w:t>
      </w:r>
    </w:p>
    <w:p w:rsidR="00E36562" w:rsidRDefault="00E36562" w:rsidP="002C224A">
      <w:pPr>
        <w:pStyle w:val="Titulek"/>
        <w:keepNext/>
      </w:pPr>
      <w:r>
        <w:t>Tabulka</w:t>
      </w:r>
      <w:r w:rsidR="004A4860">
        <w:rPr>
          <w:noProof/>
        </w:rPr>
        <w:t xml:space="preserve"> 98</w:t>
      </w:r>
      <w:r>
        <w:t>: Ukazatele výsledků SC 1.1</w:t>
      </w:r>
    </w:p>
    <w:tbl>
      <w:tblPr>
        <w:tblW w:w="9186" w:type="dxa"/>
        <w:tblCellMar>
          <w:left w:w="57" w:type="dxa"/>
          <w:right w:w="57" w:type="dxa"/>
        </w:tblCellMar>
        <w:tblLook w:val="01E0" w:firstRow="1" w:lastRow="1" w:firstColumn="1" w:lastColumn="1" w:noHBand="0" w:noVBand="0"/>
      </w:tblPr>
      <w:tblGrid>
        <w:gridCol w:w="2170"/>
        <w:gridCol w:w="1033"/>
        <w:gridCol w:w="1200"/>
        <w:gridCol w:w="1104"/>
        <w:gridCol w:w="819"/>
        <w:gridCol w:w="890"/>
        <w:gridCol w:w="1008"/>
        <w:gridCol w:w="962"/>
      </w:tblGrid>
      <w:tr w:rsidR="00AF4C85" w:rsidRPr="00360BA1" w:rsidTr="002C224A">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2D1B">
            <w:pPr>
              <w:pStyle w:val="Tabulka"/>
              <w:keepNext/>
              <w:keepLines/>
              <w:rPr>
                <w:rFonts w:ascii="Calibri" w:hAnsi="Calibri" w:cs="Calibri"/>
                <w:b/>
              </w:rPr>
            </w:pPr>
            <w:r w:rsidRPr="00360BA1">
              <w:rPr>
                <w:rFonts w:ascii="Calibri" w:hAnsi="Calibri" w:cs="Calibri"/>
                <w:b/>
              </w:rPr>
              <w:t>Ukazatel</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2D1B">
            <w:pPr>
              <w:pStyle w:val="Tabulka"/>
              <w:keepNext/>
              <w:keepLines/>
              <w:rPr>
                <w:rFonts w:ascii="Calibri" w:hAnsi="Calibri" w:cs="Calibri"/>
                <w:b/>
              </w:rPr>
            </w:pPr>
            <w:r w:rsidRPr="00360BA1">
              <w:rPr>
                <w:rFonts w:ascii="Calibri" w:hAnsi="Calibri" w:cs="Calibri"/>
                <w:b/>
              </w:rPr>
              <w:t>Měrná jednotka</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2D1B">
            <w:pPr>
              <w:pStyle w:val="Tabulka"/>
              <w:keepNext/>
              <w:keepLines/>
              <w:rPr>
                <w:rFonts w:ascii="Calibri" w:hAnsi="Calibri" w:cs="Calibri"/>
                <w:b/>
              </w:rPr>
            </w:pPr>
            <w:r w:rsidRPr="00360BA1">
              <w:rPr>
                <w:rFonts w:ascii="Calibri" w:hAnsi="Calibri" w:cs="Calibri"/>
                <w:b/>
              </w:rPr>
              <w:t>Kategorie regionu</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2D1B">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0943">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2D1B">
            <w:pPr>
              <w:pStyle w:val="Tabulka"/>
              <w:keepNext/>
              <w:keepLines/>
              <w:rPr>
                <w:rFonts w:ascii="Calibri" w:hAnsi="Calibri" w:cs="Calibri"/>
                <w:b/>
              </w:rPr>
            </w:pPr>
            <w:r w:rsidRPr="00360BA1">
              <w:rPr>
                <w:rFonts w:ascii="Calibri" w:hAnsi="Calibri" w:cs="Calibri"/>
                <w:b/>
              </w:rPr>
              <w:t>Cílová hodnota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Pr="00360BA1" w:rsidRDefault="00AF4C85" w:rsidP="00A50943">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4C85" w:rsidRDefault="00AF4C85" w:rsidP="002C224A">
            <w:pPr>
              <w:pStyle w:val="Tabulka"/>
              <w:keepNext/>
              <w:keepLines/>
              <w:rPr>
                <w:rFonts w:ascii="Calibri" w:hAnsi="Calibri" w:cs="Calibri"/>
                <w:b/>
              </w:rPr>
            </w:pPr>
            <w:r>
              <w:rPr>
                <w:rFonts w:ascii="Calibri" w:hAnsi="Calibri" w:cs="Calibri"/>
                <w:b/>
              </w:rPr>
              <w:t>Četnost podávání zpráv</w:t>
            </w:r>
          </w:p>
        </w:tc>
      </w:tr>
      <w:tr w:rsidR="00AF4C85" w:rsidRPr="00360BA1" w:rsidTr="002C224A">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sidRPr="00A52D1B">
              <w:rPr>
                <w:rFonts w:ascii="Calibri" w:hAnsi="Calibri" w:cs="Calibri"/>
              </w:rPr>
              <w:t>Podnikové výdaje</w:t>
            </w:r>
            <w:r>
              <w:rPr>
                <w:rFonts w:ascii="Calibri" w:hAnsi="Calibri" w:cs="Calibri"/>
              </w:rPr>
              <w:t xml:space="preserve"> </w:t>
            </w:r>
            <w:r w:rsidRPr="00A52D1B">
              <w:rPr>
                <w:rFonts w:ascii="Calibri" w:hAnsi="Calibri" w:cs="Calibri"/>
              </w:rPr>
              <w:t>na VaV v</w:t>
            </w:r>
            <w:r>
              <w:rPr>
                <w:rFonts w:ascii="Calibri" w:hAnsi="Calibri" w:cs="Calibri"/>
              </w:rPr>
              <w:t> </w:t>
            </w:r>
            <w:r w:rsidRPr="00A52D1B">
              <w:rPr>
                <w:rFonts w:ascii="Calibri" w:hAnsi="Calibri" w:cs="Calibri"/>
              </w:rPr>
              <w:t>podnikatelském</w:t>
            </w:r>
            <w:r>
              <w:rPr>
                <w:rFonts w:ascii="Calibri" w:hAnsi="Calibri" w:cs="Calibri"/>
              </w:rPr>
              <w:t xml:space="preserve"> </w:t>
            </w:r>
            <w:r w:rsidRPr="00A52D1B">
              <w:rPr>
                <w:rFonts w:ascii="Calibri" w:hAnsi="Calibri" w:cs="Calibri"/>
              </w:rPr>
              <w:t>sektoru jako %</w:t>
            </w:r>
            <w:r>
              <w:rPr>
                <w:rFonts w:ascii="Calibri" w:hAnsi="Calibri" w:cs="Calibri"/>
              </w:rPr>
              <w:t xml:space="preserve"> </w:t>
            </w:r>
            <w:r w:rsidRPr="00A52D1B">
              <w:rPr>
                <w:rFonts w:ascii="Calibri" w:hAnsi="Calibri" w:cs="Calibri"/>
              </w:rPr>
              <w:t xml:space="preserve">HDP </w:t>
            </w:r>
            <w:r>
              <w:rPr>
                <w:rFonts w:ascii="Calibri" w:hAnsi="Calibri" w:cs="Calibri"/>
              </w:rPr>
              <w:t>–</w:t>
            </w:r>
            <w:r w:rsidRPr="00A52D1B">
              <w:rPr>
                <w:rFonts w:ascii="Calibri" w:hAnsi="Calibri" w:cs="Calibri"/>
              </w:rPr>
              <w:t xml:space="preserve"> regiony</w:t>
            </w:r>
            <w:r>
              <w:rPr>
                <w:rFonts w:ascii="Calibri" w:hAnsi="Calibri" w:cs="Calibri"/>
              </w:rPr>
              <w:t xml:space="preserve"> </w:t>
            </w:r>
            <w:r w:rsidRPr="00A52D1B">
              <w:rPr>
                <w:rFonts w:ascii="Calibri" w:hAnsi="Calibri" w:cs="Calibri"/>
              </w:rPr>
              <w:t>ČR (mimo hl. m.</w:t>
            </w:r>
            <w:r>
              <w:rPr>
                <w:rFonts w:ascii="Calibri" w:hAnsi="Calibri" w:cs="Calibri"/>
              </w:rPr>
              <w:t xml:space="preserve"> </w:t>
            </w:r>
            <w:r w:rsidRPr="00A52D1B">
              <w:rPr>
                <w:rFonts w:ascii="Calibri" w:hAnsi="Calibri" w:cs="Calibri"/>
              </w:rPr>
              <w:t>Praha)</w:t>
            </w:r>
          </w:p>
        </w:tc>
        <w:tc>
          <w:tcPr>
            <w:tcW w:w="1033"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A50943">
            <w:pPr>
              <w:pStyle w:val="Tabulka"/>
              <w:rPr>
                <w:rFonts w:ascii="Calibri" w:hAnsi="Calibri" w:cs="Calibri"/>
              </w:rPr>
            </w:pPr>
            <w:r w:rsidRPr="00A52D1B">
              <w:rPr>
                <w:rFonts w:ascii="Calibri" w:hAnsi="Calibri" w:cs="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Pr>
                <w:rFonts w:ascii="Calibri" w:hAnsi="Calibri" w:cs="Calibri"/>
              </w:rPr>
              <w:t>0,58</w:t>
            </w:r>
          </w:p>
        </w:tc>
        <w:tc>
          <w:tcPr>
            <w:tcW w:w="819"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Pr>
                <w:rFonts w:ascii="Calibri" w:hAnsi="Calibri" w:cs="Calibri"/>
              </w:rPr>
              <w:t>0,62-0,8</w:t>
            </w:r>
          </w:p>
        </w:tc>
        <w:tc>
          <w:tcPr>
            <w:tcW w:w="1008" w:type="dxa"/>
            <w:tcBorders>
              <w:top w:val="single" w:sz="4" w:space="0" w:color="000000"/>
              <w:left w:val="single" w:sz="4" w:space="0" w:color="000000"/>
              <w:bottom w:val="single" w:sz="4" w:space="0" w:color="000000"/>
              <w:right w:val="single" w:sz="4" w:space="0" w:color="000000"/>
            </w:tcBorders>
            <w:vAlign w:val="center"/>
          </w:tcPr>
          <w:p w:rsidR="00AF4C85" w:rsidRPr="00A52D1B" w:rsidRDefault="00AF4C85" w:rsidP="002C224A">
            <w:pPr>
              <w:pStyle w:val="Tabulka"/>
              <w:rPr>
                <w:rFonts w:ascii="Calibri" w:hAnsi="Calibri" w:cs="Calibri"/>
              </w:rPr>
            </w:pPr>
            <w:r w:rsidRPr="00A52D1B">
              <w:rPr>
                <w:rFonts w:ascii="Calibri" w:hAnsi="Calibri" w:cs="Calibri"/>
              </w:rPr>
              <w:t>ŘO na</w:t>
            </w:r>
          </w:p>
          <w:p w:rsidR="00AF4C85" w:rsidRPr="00A52D1B" w:rsidRDefault="00AF4C85" w:rsidP="002C224A">
            <w:pPr>
              <w:pStyle w:val="Tabulka"/>
              <w:rPr>
                <w:rFonts w:ascii="Calibri" w:hAnsi="Calibri" w:cs="Calibri"/>
              </w:rPr>
            </w:pPr>
            <w:r w:rsidRPr="00A52D1B">
              <w:rPr>
                <w:rFonts w:ascii="Calibri" w:hAnsi="Calibri" w:cs="Calibri"/>
              </w:rPr>
              <w:t>základě</w:t>
            </w:r>
          </w:p>
          <w:p w:rsidR="00AF4C85" w:rsidRPr="00360BA1" w:rsidRDefault="00AF4C85" w:rsidP="002C224A">
            <w:pPr>
              <w:pStyle w:val="Tabulka"/>
              <w:rPr>
                <w:rFonts w:ascii="Calibri" w:hAnsi="Calibri" w:cs="Calibri"/>
              </w:rPr>
            </w:pPr>
            <w:r w:rsidRPr="00A52D1B">
              <w:rPr>
                <w:rFonts w:ascii="Calibri" w:hAnsi="Calibri" w:cs="Calibri"/>
              </w:rPr>
              <w:t>dat ČSÚ</w:t>
            </w:r>
          </w:p>
        </w:tc>
        <w:tc>
          <w:tcPr>
            <w:tcW w:w="962" w:type="dxa"/>
            <w:tcBorders>
              <w:top w:val="single" w:sz="4" w:space="0" w:color="000000"/>
              <w:left w:val="single" w:sz="4" w:space="0" w:color="000000"/>
              <w:bottom w:val="single" w:sz="4" w:space="0" w:color="000000"/>
              <w:right w:val="single" w:sz="4" w:space="0" w:color="000000"/>
            </w:tcBorders>
            <w:vAlign w:val="center"/>
          </w:tcPr>
          <w:p w:rsidR="00AF4C85" w:rsidRPr="00A52D1B" w:rsidRDefault="00AF4C85" w:rsidP="002C224A">
            <w:pPr>
              <w:pStyle w:val="Tabulka"/>
              <w:rPr>
                <w:rFonts w:ascii="Calibri" w:hAnsi="Calibri" w:cs="Calibri"/>
              </w:rPr>
            </w:pPr>
            <w:r>
              <w:rPr>
                <w:rFonts w:ascii="Calibri" w:hAnsi="Calibri" w:cs="Calibri"/>
              </w:rPr>
              <w:t>ročně</w:t>
            </w:r>
          </w:p>
        </w:tc>
      </w:tr>
      <w:tr w:rsidR="00AF4C85" w:rsidRPr="00360BA1" w:rsidTr="002C224A">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AF4C85" w:rsidRPr="00A52D1B" w:rsidRDefault="00AF4C85" w:rsidP="002C224A">
            <w:pPr>
              <w:pStyle w:val="Tabulka"/>
              <w:rPr>
                <w:rFonts w:ascii="Calibri" w:hAnsi="Calibri" w:cs="Calibri"/>
              </w:rPr>
            </w:pPr>
            <w:r w:rsidRPr="00A52D1B">
              <w:rPr>
                <w:rFonts w:ascii="Calibri" w:hAnsi="Calibri" w:cs="Calibri"/>
              </w:rPr>
              <w:t>Tržby z</w:t>
            </w:r>
            <w:r>
              <w:rPr>
                <w:rFonts w:ascii="Calibri" w:hAnsi="Calibri" w:cs="Calibri"/>
              </w:rPr>
              <w:t> </w:t>
            </w:r>
            <w:r w:rsidRPr="00A52D1B">
              <w:rPr>
                <w:rFonts w:ascii="Calibri" w:hAnsi="Calibri" w:cs="Calibri"/>
              </w:rPr>
              <w:t>inovované</w:t>
            </w:r>
            <w:r>
              <w:rPr>
                <w:rFonts w:ascii="Calibri" w:hAnsi="Calibri" w:cs="Calibri"/>
              </w:rPr>
              <w:t xml:space="preserve"> </w:t>
            </w:r>
            <w:r w:rsidRPr="00A52D1B">
              <w:rPr>
                <w:rFonts w:ascii="Calibri" w:hAnsi="Calibri" w:cs="Calibri"/>
              </w:rPr>
              <w:t>produkce jako %</w:t>
            </w:r>
            <w:r>
              <w:rPr>
                <w:rFonts w:ascii="Calibri" w:hAnsi="Calibri" w:cs="Calibri"/>
              </w:rPr>
              <w:t xml:space="preserve"> </w:t>
            </w:r>
            <w:r w:rsidRPr="00A52D1B">
              <w:rPr>
                <w:rFonts w:ascii="Calibri" w:hAnsi="Calibri" w:cs="Calibri"/>
              </w:rPr>
              <w:t>celkových tržeb</w:t>
            </w:r>
            <w:r>
              <w:rPr>
                <w:rFonts w:ascii="Calibri" w:hAnsi="Calibri" w:cs="Calibri"/>
              </w:rPr>
              <w:t xml:space="preserve"> p</w:t>
            </w:r>
            <w:r w:rsidRPr="00A52D1B">
              <w:rPr>
                <w:rFonts w:ascii="Calibri" w:hAnsi="Calibri" w:cs="Calibri"/>
              </w:rPr>
              <w:t>odniků s</w:t>
            </w:r>
            <w:r>
              <w:rPr>
                <w:rFonts w:ascii="Calibri" w:hAnsi="Calibri" w:cs="Calibri"/>
              </w:rPr>
              <w:t xml:space="preserve"> </w:t>
            </w:r>
            <w:r w:rsidRPr="00A52D1B">
              <w:rPr>
                <w:rFonts w:ascii="Calibri" w:hAnsi="Calibri" w:cs="Calibri"/>
              </w:rPr>
              <w:t>produktovou</w:t>
            </w:r>
          </w:p>
          <w:p w:rsidR="00AF4C85" w:rsidRPr="00360BA1" w:rsidRDefault="00AF4C85" w:rsidP="002C224A">
            <w:pPr>
              <w:pStyle w:val="Tabulka"/>
              <w:rPr>
                <w:rFonts w:ascii="Calibri" w:hAnsi="Calibri" w:cs="Calibri"/>
              </w:rPr>
            </w:pPr>
            <w:r w:rsidRPr="00A52D1B">
              <w:rPr>
                <w:rFonts w:ascii="Calibri" w:hAnsi="Calibri" w:cs="Calibri"/>
              </w:rPr>
              <w:t>inovací</w:t>
            </w:r>
          </w:p>
        </w:tc>
        <w:tc>
          <w:tcPr>
            <w:tcW w:w="1033"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A50943">
            <w:pPr>
              <w:pStyle w:val="Tabulka"/>
              <w:rPr>
                <w:rFonts w:ascii="Calibri" w:hAnsi="Calibri" w:cs="Calibri"/>
              </w:rPr>
            </w:pPr>
            <w:r w:rsidRPr="00A52D1B">
              <w:rPr>
                <w:rFonts w:ascii="Calibri" w:hAnsi="Calibri" w:cs="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Pr>
                <w:rFonts w:ascii="Calibri" w:hAnsi="Calibri" w:cs="Calibri"/>
              </w:rPr>
              <w:t>29.2</w:t>
            </w:r>
          </w:p>
        </w:tc>
        <w:tc>
          <w:tcPr>
            <w:tcW w:w="819"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Pr>
                <w:rFonts w:ascii="Calibri" w:hAnsi="Calibri" w:cs="Calibri"/>
              </w:rPr>
              <w:t>2010-2012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F4C85" w:rsidRPr="00360BA1" w:rsidRDefault="00AF4C85" w:rsidP="002C224A">
            <w:pPr>
              <w:pStyle w:val="Tabulka"/>
              <w:rPr>
                <w:rFonts w:ascii="Calibri" w:hAnsi="Calibri" w:cs="Calibri"/>
              </w:rPr>
            </w:pPr>
            <w:r>
              <w:rPr>
                <w:rFonts w:ascii="Calibri" w:hAnsi="Calibri" w:cs="Calibri"/>
              </w:rPr>
              <w:t>29,8-31</w:t>
            </w:r>
          </w:p>
        </w:tc>
        <w:tc>
          <w:tcPr>
            <w:tcW w:w="1008" w:type="dxa"/>
            <w:tcBorders>
              <w:top w:val="single" w:sz="4" w:space="0" w:color="000000"/>
              <w:left w:val="single" w:sz="4" w:space="0" w:color="000000"/>
              <w:bottom w:val="single" w:sz="4" w:space="0" w:color="000000"/>
              <w:right w:val="single" w:sz="4" w:space="0" w:color="000000"/>
            </w:tcBorders>
            <w:vAlign w:val="center"/>
          </w:tcPr>
          <w:p w:rsidR="00AF4C85" w:rsidRPr="00A52D1B" w:rsidRDefault="00AF4C85" w:rsidP="002C224A">
            <w:pPr>
              <w:pStyle w:val="Tabulka"/>
              <w:rPr>
                <w:rFonts w:ascii="Calibri" w:hAnsi="Calibri" w:cs="Calibri"/>
              </w:rPr>
            </w:pPr>
            <w:r w:rsidRPr="00A52D1B">
              <w:rPr>
                <w:rFonts w:ascii="Calibri" w:hAnsi="Calibri" w:cs="Calibri"/>
              </w:rPr>
              <w:t>ČSÚ</w:t>
            </w:r>
          </w:p>
          <w:p w:rsidR="00AF4C85" w:rsidRPr="00A52D1B" w:rsidRDefault="00AF4C85" w:rsidP="002C224A">
            <w:pPr>
              <w:pStyle w:val="Tabulka"/>
              <w:rPr>
                <w:rFonts w:ascii="Calibri" w:hAnsi="Calibri" w:cs="Calibri"/>
              </w:rPr>
            </w:pPr>
            <w:r w:rsidRPr="00A52D1B">
              <w:rPr>
                <w:rFonts w:ascii="Calibri" w:hAnsi="Calibri" w:cs="Calibri"/>
              </w:rPr>
              <w:t>(šetření o</w:t>
            </w:r>
          </w:p>
          <w:p w:rsidR="00AF4C85" w:rsidRPr="00A52D1B" w:rsidRDefault="00AF4C85" w:rsidP="002C224A">
            <w:pPr>
              <w:pStyle w:val="Tabulka"/>
              <w:rPr>
                <w:rFonts w:ascii="Calibri" w:hAnsi="Calibri" w:cs="Calibri"/>
              </w:rPr>
            </w:pPr>
            <w:r w:rsidRPr="00A52D1B">
              <w:rPr>
                <w:rFonts w:ascii="Calibri" w:hAnsi="Calibri" w:cs="Calibri"/>
              </w:rPr>
              <w:t>inovacích,</w:t>
            </w:r>
          </w:p>
          <w:p w:rsidR="00AF4C85" w:rsidRPr="00360BA1" w:rsidRDefault="00AF4C85" w:rsidP="002C224A">
            <w:pPr>
              <w:pStyle w:val="Tabulka"/>
              <w:rPr>
                <w:rFonts w:ascii="Calibri" w:hAnsi="Calibri" w:cs="Calibri"/>
              </w:rPr>
            </w:pPr>
            <w:r w:rsidRPr="00A52D1B">
              <w:rPr>
                <w:rFonts w:ascii="Calibri" w:hAnsi="Calibri" w:cs="Calibri"/>
              </w:rPr>
              <w:t>CIS)</w:t>
            </w:r>
          </w:p>
        </w:tc>
        <w:tc>
          <w:tcPr>
            <w:tcW w:w="962" w:type="dxa"/>
            <w:tcBorders>
              <w:top w:val="single" w:sz="4" w:space="0" w:color="000000"/>
              <w:left w:val="single" w:sz="4" w:space="0" w:color="000000"/>
              <w:bottom w:val="single" w:sz="4" w:space="0" w:color="000000"/>
              <w:right w:val="single" w:sz="4" w:space="0" w:color="000000"/>
            </w:tcBorders>
            <w:vAlign w:val="center"/>
          </w:tcPr>
          <w:p w:rsidR="00AF4C85" w:rsidRPr="00A52D1B" w:rsidRDefault="00AF4C85" w:rsidP="002C224A">
            <w:pPr>
              <w:pStyle w:val="Tabulka"/>
              <w:rPr>
                <w:rFonts w:ascii="Calibri" w:hAnsi="Calibri" w:cs="Calibri"/>
              </w:rPr>
            </w:pPr>
            <w:r>
              <w:rPr>
                <w:rFonts w:ascii="Calibri" w:hAnsi="Calibri" w:cs="Calibri"/>
              </w:rPr>
              <w:t>2 roky</w:t>
            </w:r>
          </w:p>
        </w:tc>
      </w:tr>
    </w:tbl>
    <w:p w:rsidR="00A52D1B" w:rsidRDefault="00A52D1B" w:rsidP="00DA2862">
      <w:pPr>
        <w:pStyle w:val="Odstavecseseznamem2"/>
        <w:overflowPunct w:val="0"/>
        <w:autoSpaceDE w:val="0"/>
        <w:autoSpaceDN w:val="0"/>
        <w:adjustRightInd w:val="0"/>
        <w:spacing w:after="160"/>
        <w:ind w:left="0"/>
        <w:jc w:val="both"/>
        <w:textAlignment w:val="baseline"/>
      </w:pPr>
    </w:p>
    <w:p w:rsidR="00A52D1B" w:rsidRDefault="00A52D1B" w:rsidP="00DA2862">
      <w:pPr>
        <w:pStyle w:val="Odstavecseseznamem2"/>
        <w:overflowPunct w:val="0"/>
        <w:autoSpaceDE w:val="0"/>
        <w:autoSpaceDN w:val="0"/>
        <w:adjustRightInd w:val="0"/>
        <w:spacing w:after="160"/>
        <w:ind w:left="0"/>
        <w:jc w:val="both"/>
        <w:textAlignment w:val="baseline"/>
      </w:pPr>
    </w:p>
    <w:p w:rsidR="00E36562" w:rsidRDefault="00E36562" w:rsidP="00E36562">
      <w:pPr>
        <w:pStyle w:val="Odstavecseseznamem2"/>
        <w:overflowPunct w:val="0"/>
        <w:autoSpaceDE w:val="0"/>
        <w:autoSpaceDN w:val="0"/>
        <w:adjustRightInd w:val="0"/>
        <w:spacing w:after="160"/>
        <w:ind w:left="0"/>
        <w:jc w:val="both"/>
        <w:textAlignment w:val="baseline"/>
      </w:pPr>
    </w:p>
    <w:p w:rsidR="00E36562" w:rsidRDefault="00E36562" w:rsidP="00E36562">
      <w:pPr>
        <w:pStyle w:val="Odstavecseseznamem2"/>
        <w:overflowPunct w:val="0"/>
        <w:autoSpaceDE w:val="0"/>
        <w:autoSpaceDN w:val="0"/>
        <w:adjustRightInd w:val="0"/>
        <w:spacing w:after="160"/>
        <w:ind w:left="0"/>
        <w:jc w:val="both"/>
        <w:textAlignment w:val="baseline"/>
      </w:pPr>
      <w:r>
        <w:t>Finanční nástroje by se měly na naplnění těchto cílových hodnot podílet skrze dosažení cílových hodnot následujících ukazatelů, jejichž rámcová kvantifikace byla provedena na základě výše uvedených modelových scénářů.</w:t>
      </w:r>
    </w:p>
    <w:p w:rsidR="00EE1C9A" w:rsidRDefault="00EE1C9A" w:rsidP="002C224A">
      <w:pPr>
        <w:pStyle w:val="Titulek"/>
        <w:keepNext/>
      </w:pPr>
      <w:r>
        <w:t>Tabulka</w:t>
      </w:r>
      <w:r w:rsidR="004A4860">
        <w:t xml:space="preserve"> </w:t>
      </w:r>
      <w:r w:rsidR="004A4860">
        <w:rPr>
          <w:noProof/>
        </w:rPr>
        <w:t>99</w:t>
      </w:r>
      <w:r>
        <w:t>: Cílové hodnoty FN</w:t>
      </w:r>
    </w:p>
    <w:tbl>
      <w:tblPr>
        <w:tblW w:w="0" w:type="auto"/>
        <w:tblCellMar>
          <w:left w:w="57" w:type="dxa"/>
          <w:right w:w="57" w:type="dxa"/>
        </w:tblCellMar>
        <w:tblLook w:val="01E0" w:firstRow="1" w:lastRow="1" w:firstColumn="1" w:lastColumn="1" w:noHBand="0" w:noVBand="0"/>
      </w:tblPr>
      <w:tblGrid>
        <w:gridCol w:w="4468"/>
        <w:gridCol w:w="1339"/>
        <w:gridCol w:w="1784"/>
        <w:gridCol w:w="1471"/>
      </w:tblGrid>
      <w:tr w:rsidR="00011656" w:rsidRPr="002C224A" w:rsidTr="005B4E91">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11656" w:rsidRPr="002C224A" w:rsidRDefault="00011656" w:rsidP="005B4E91">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11656" w:rsidRPr="002C224A" w:rsidRDefault="00011656" w:rsidP="005B4E91">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11656" w:rsidRPr="002C224A" w:rsidRDefault="00011656" w:rsidP="005B4E91">
            <w:pPr>
              <w:pStyle w:val="Tabulka"/>
              <w:keepNext/>
              <w:keepLines/>
              <w:rPr>
                <w:rFonts w:ascii="Calibri" w:hAnsi="Calibri" w:cs="Calibri"/>
                <w:b/>
              </w:rPr>
            </w:pPr>
            <w:r w:rsidRPr="002C224A">
              <w:rPr>
                <w:rFonts w:ascii="Calibri" w:hAnsi="Calibri"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011656" w:rsidRPr="002C224A" w:rsidRDefault="00011656" w:rsidP="005B4E91">
            <w:pPr>
              <w:pStyle w:val="Tabulka"/>
              <w:keepNext/>
              <w:keepLines/>
              <w:rPr>
                <w:rFonts w:ascii="Calibri" w:hAnsi="Calibri" w:cs="Calibri"/>
                <w:b/>
              </w:rPr>
            </w:pPr>
            <w:r w:rsidRPr="002C224A">
              <w:rPr>
                <w:rFonts w:ascii="Calibri" w:hAnsi="Calibri" w:cs="Calibri"/>
                <w:b/>
              </w:rPr>
              <w:t>Cílová hodnota (2023)</w:t>
            </w:r>
          </w:p>
        </w:tc>
      </w:tr>
      <w:tr w:rsidR="00011656"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011656" w:rsidRPr="002C224A" w:rsidRDefault="006D1939" w:rsidP="00A50943">
            <w:pPr>
              <w:pStyle w:val="Tabulka"/>
              <w:jc w:val="left"/>
              <w:rPr>
                <w:rFonts w:ascii="Calibri" w:hAnsi="Calibri" w:cs="Calibri"/>
              </w:rPr>
            </w:pPr>
            <w:r w:rsidRPr="00360BA1">
              <w:rPr>
                <w:rFonts w:ascii="Calibri" w:hAnsi="Calibri"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011656" w:rsidRPr="002C224A" w:rsidRDefault="006D1939" w:rsidP="005B4E91">
            <w:pPr>
              <w:pStyle w:val="Tabulka"/>
              <w:rPr>
                <w:rFonts w:ascii="Calibri" w:hAnsi="Calibri" w:cs="Calibri"/>
              </w:rPr>
            </w:pPr>
            <w:r>
              <w:rPr>
                <w:rFonts w:ascii="Calibri" w:hAnsi="Calibri"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011656" w:rsidRPr="002C224A" w:rsidRDefault="00011656" w:rsidP="005B4E91">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11656" w:rsidRPr="002C224A" w:rsidRDefault="00C25599" w:rsidP="008366D3">
            <w:pPr>
              <w:pStyle w:val="Tabulka"/>
              <w:rPr>
                <w:rFonts w:ascii="Calibri" w:hAnsi="Calibri" w:cs="Calibri"/>
              </w:rPr>
            </w:pPr>
            <w:r>
              <w:rPr>
                <w:rFonts w:ascii="Calibri" w:hAnsi="Calibri" w:cs="Calibri"/>
              </w:rPr>
              <w:t>180-235</w:t>
            </w:r>
          </w:p>
        </w:tc>
      </w:tr>
      <w:tr w:rsidR="00011656"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011656" w:rsidRPr="002C224A" w:rsidRDefault="00011656" w:rsidP="005B4E91">
            <w:pPr>
              <w:pStyle w:val="Tabulka"/>
              <w:jc w:val="left"/>
              <w:rPr>
                <w:rFonts w:ascii="Calibri" w:hAnsi="Calibri" w:cs="Calibri"/>
              </w:rPr>
            </w:pPr>
            <w:r w:rsidRPr="002C224A">
              <w:rPr>
                <w:rFonts w:ascii="Calibri" w:hAnsi="Calibri"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011656" w:rsidRPr="002C224A" w:rsidRDefault="00011656" w:rsidP="005B4E91">
            <w:pPr>
              <w:pStyle w:val="Tabulka"/>
              <w:rPr>
                <w:rFonts w:ascii="Calibri" w:hAnsi="Calibri" w:cs="Calibri"/>
              </w:rPr>
            </w:pPr>
            <w:r w:rsidRPr="002C224A">
              <w:rPr>
                <w:rFonts w:ascii="Calibri" w:hAnsi="Calibri" w:cs="Calibri"/>
              </w:rPr>
              <w:t>Mil. CZK</w:t>
            </w:r>
          </w:p>
        </w:tc>
        <w:tc>
          <w:tcPr>
            <w:tcW w:w="0" w:type="auto"/>
            <w:tcBorders>
              <w:top w:val="single" w:sz="4" w:space="0" w:color="000000"/>
              <w:left w:val="single" w:sz="4" w:space="0" w:color="000000"/>
              <w:bottom w:val="single" w:sz="4" w:space="0" w:color="000000"/>
              <w:right w:val="single" w:sz="4" w:space="0" w:color="000000"/>
            </w:tcBorders>
            <w:vAlign w:val="center"/>
          </w:tcPr>
          <w:p w:rsidR="00011656" w:rsidRPr="002C224A" w:rsidRDefault="00011656" w:rsidP="005B4E91">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11656" w:rsidRPr="002C224A" w:rsidRDefault="00011656" w:rsidP="008366D3">
            <w:pPr>
              <w:pStyle w:val="Tabulka"/>
              <w:rPr>
                <w:rFonts w:ascii="Calibri" w:hAnsi="Calibri" w:cs="Calibri"/>
              </w:rPr>
            </w:pPr>
            <w:r w:rsidRPr="002C224A">
              <w:rPr>
                <w:rFonts w:ascii="Calibri" w:hAnsi="Calibri" w:cs="Calibri"/>
              </w:rPr>
              <w:t>6</w:t>
            </w:r>
            <w:r w:rsidR="00C25599">
              <w:rPr>
                <w:rFonts w:ascii="Calibri" w:hAnsi="Calibri" w:cs="Calibri"/>
              </w:rPr>
              <w:t> 500-8 000</w:t>
            </w:r>
          </w:p>
        </w:tc>
      </w:tr>
    </w:tbl>
    <w:p w:rsidR="00D45B3D" w:rsidRPr="002C224A" w:rsidRDefault="00D45B3D" w:rsidP="00DA2862">
      <w:pPr>
        <w:pStyle w:val="Odstavecseseznamem2"/>
        <w:overflowPunct w:val="0"/>
        <w:autoSpaceDE w:val="0"/>
        <w:autoSpaceDN w:val="0"/>
        <w:adjustRightInd w:val="0"/>
        <w:spacing w:after="160"/>
        <w:ind w:left="0"/>
        <w:jc w:val="both"/>
        <w:textAlignment w:val="baseline"/>
      </w:pPr>
    </w:p>
    <w:p w:rsidR="00DA2862" w:rsidRDefault="00165CE4" w:rsidP="00DA2862">
      <w:pPr>
        <w:pStyle w:val="Odstavecseseznamem2"/>
        <w:overflowPunct w:val="0"/>
        <w:autoSpaceDE w:val="0"/>
        <w:autoSpaceDN w:val="0"/>
        <w:adjustRightInd w:val="0"/>
        <w:spacing w:after="160"/>
        <w:ind w:left="0"/>
        <w:jc w:val="both"/>
        <w:textAlignment w:val="baseline"/>
      </w:pPr>
      <w:r w:rsidRPr="002C224A">
        <w:t>N</w:t>
      </w:r>
      <w:r w:rsidR="00DA2862" w:rsidRPr="002C224A">
        <w:t xml:space="preserve">ásledující indikátory </w:t>
      </w:r>
      <w:r w:rsidRPr="002C224A">
        <w:t xml:space="preserve">budou sledovány </w:t>
      </w:r>
      <w:r w:rsidR="00DA2862" w:rsidRPr="002C224A">
        <w:t xml:space="preserve">za účelem monitorování </w:t>
      </w:r>
      <w:r w:rsidRPr="002C224A">
        <w:t>příspěvku finančního nástroje k </w:t>
      </w:r>
      <w:r w:rsidR="00DA2862" w:rsidRPr="002C224A">
        <w:t>cílů</w:t>
      </w:r>
      <w:r w:rsidRPr="002C224A">
        <w:t>m OP</w:t>
      </w:r>
      <w:r w:rsidR="00DA2862" w:rsidRPr="002C224A">
        <w:t xml:space="preserve"> (s hvězdičkou jsou uvedeny indikátory, které budou sledovány rovněž na úrovni projektů konečných příjemců)</w:t>
      </w:r>
      <w:r w:rsidRPr="002C224A">
        <w:t xml:space="preserve"> na základě Národního číselníku indikátorů MMR</w:t>
      </w:r>
      <w:r w:rsidR="00DA2862" w:rsidRPr="002C224A">
        <w:t>:</w:t>
      </w:r>
    </w:p>
    <w:p w:rsidR="006D1939" w:rsidRDefault="006D1939" w:rsidP="002C224A">
      <w:pPr>
        <w:pStyle w:val="Odstavecseseznamem2"/>
        <w:numPr>
          <w:ilvl w:val="0"/>
          <w:numId w:val="74"/>
        </w:numPr>
        <w:overflowPunct w:val="0"/>
        <w:autoSpaceDE w:val="0"/>
        <w:autoSpaceDN w:val="0"/>
        <w:adjustRightInd w:val="0"/>
        <w:spacing w:after="160"/>
        <w:jc w:val="both"/>
        <w:textAlignment w:val="baseline"/>
      </w:pPr>
      <w:r>
        <w:tab/>
        <w:t>21410 Tržby podpořených podniků v důsledku zavedené inovace*</w:t>
      </w:r>
    </w:p>
    <w:p w:rsidR="006D1939" w:rsidRDefault="006D1939" w:rsidP="006D1939">
      <w:pPr>
        <w:pStyle w:val="Odstavecseseznamem2"/>
        <w:numPr>
          <w:ilvl w:val="0"/>
          <w:numId w:val="74"/>
        </w:numPr>
        <w:spacing w:after="160"/>
      </w:pPr>
      <w:r>
        <w:tab/>
        <w:t>20400 Počet nových výzkumných pracovníků v podporovaných subjektech*</w:t>
      </w:r>
    </w:p>
    <w:p w:rsidR="006D1939" w:rsidRDefault="006D1939" w:rsidP="006D1939">
      <w:pPr>
        <w:pStyle w:val="Odstavecseseznamem2"/>
        <w:numPr>
          <w:ilvl w:val="0"/>
          <w:numId w:val="74"/>
        </w:numPr>
        <w:spacing w:after="160"/>
      </w:pPr>
      <w:r>
        <w:tab/>
        <w:t>20702 Počet nově vytvořených pracovních míst, zaměstnanci VaV – ženy*</w:t>
      </w:r>
    </w:p>
    <w:p w:rsidR="006D1939" w:rsidRDefault="006D1939" w:rsidP="006D1939">
      <w:pPr>
        <w:pStyle w:val="Odstavecseseznamem2"/>
        <w:numPr>
          <w:ilvl w:val="0"/>
          <w:numId w:val="74"/>
        </w:numPr>
        <w:spacing w:after="160"/>
      </w:pPr>
      <w:r>
        <w:tab/>
        <w:t>20000 Počet podniků spolupracujících s výzkumnými institucemi*</w:t>
      </w:r>
    </w:p>
    <w:p w:rsidR="006D1939" w:rsidRDefault="006D1939" w:rsidP="006D1939">
      <w:pPr>
        <w:pStyle w:val="Odstavecseseznamem2"/>
        <w:numPr>
          <w:ilvl w:val="0"/>
          <w:numId w:val="74"/>
        </w:numPr>
        <w:spacing w:after="160"/>
      </w:pPr>
      <w:r>
        <w:tab/>
        <w:t>21200 Počet podniků, které dostávají podporu pro účely uvádění nových výrobků na trh *</w:t>
      </w:r>
    </w:p>
    <w:p w:rsidR="006D1939" w:rsidRDefault="006D1939" w:rsidP="006D1939">
      <w:pPr>
        <w:pStyle w:val="Odstavecseseznamem2"/>
        <w:numPr>
          <w:ilvl w:val="0"/>
          <w:numId w:val="74"/>
        </w:numPr>
        <w:spacing w:after="160"/>
      </w:pPr>
      <w:r>
        <w:tab/>
        <w:t>21301 Počet podniků, které dostávají podporu pro účely zavádění výrobků nových pro podnik*</w:t>
      </w:r>
    </w:p>
    <w:p w:rsidR="006D1939" w:rsidRDefault="006D1939" w:rsidP="006D1939">
      <w:pPr>
        <w:pStyle w:val="Odstavecseseznamem2"/>
        <w:numPr>
          <w:ilvl w:val="0"/>
          <w:numId w:val="74"/>
        </w:numPr>
        <w:spacing w:after="160"/>
      </w:pPr>
      <w:r>
        <w:tab/>
        <w:t>22501 Počet zavedených inovací*</w:t>
      </w:r>
    </w:p>
    <w:p w:rsidR="006D1939" w:rsidRDefault="006D1939" w:rsidP="006D1939">
      <w:pPr>
        <w:pStyle w:val="Odstavecseseznamem2"/>
        <w:numPr>
          <w:ilvl w:val="0"/>
          <w:numId w:val="74"/>
        </w:numPr>
        <w:spacing w:after="160"/>
      </w:pPr>
      <w:r>
        <w:tab/>
        <w:t>10000 Počet podniků pobírajících jinou finanční pomoc než granty</w:t>
      </w:r>
    </w:p>
    <w:p w:rsidR="006D1939" w:rsidRDefault="006D1939" w:rsidP="006D1939">
      <w:pPr>
        <w:pStyle w:val="Odstavecseseznamem2"/>
        <w:numPr>
          <w:ilvl w:val="0"/>
          <w:numId w:val="74"/>
        </w:numPr>
        <w:spacing w:after="160"/>
      </w:pPr>
      <w:r>
        <w:tab/>
        <w:t>10300 Soukromé investice odpovídající veřejné podpoře podniků (jiné než granty)</w:t>
      </w:r>
    </w:p>
    <w:p w:rsidR="006D1939" w:rsidRDefault="006D1939" w:rsidP="006D1939">
      <w:pPr>
        <w:pStyle w:val="Odstavecseseznamem2"/>
        <w:numPr>
          <w:ilvl w:val="0"/>
          <w:numId w:val="74"/>
        </w:numPr>
        <w:spacing w:after="160"/>
      </w:pPr>
      <w:r>
        <w:tab/>
        <w:t>20900 Soukromé investice v projektech s veřejnou podporou v oblasti inovací nebo výzkumu a vývoje</w:t>
      </w:r>
    </w:p>
    <w:p w:rsidR="006D1939" w:rsidRDefault="006D1939" w:rsidP="006D1939">
      <w:pPr>
        <w:pStyle w:val="Odstavecseseznamem2"/>
        <w:numPr>
          <w:ilvl w:val="0"/>
          <w:numId w:val="74"/>
        </w:numPr>
        <w:spacing w:after="160"/>
      </w:pPr>
      <w:r>
        <w:tab/>
        <w:t>21411 Tržby z inovované produkce jako % celkových tržeb podniků s produktovou inovací</w:t>
      </w:r>
    </w:p>
    <w:p w:rsidR="006D1939" w:rsidRPr="008366D3" w:rsidRDefault="006D1939" w:rsidP="006D1939">
      <w:pPr>
        <w:pStyle w:val="Odstavecseseznamem2"/>
        <w:numPr>
          <w:ilvl w:val="0"/>
          <w:numId w:val="74"/>
        </w:numPr>
        <w:spacing w:after="160"/>
      </w:pPr>
      <w:r>
        <w:tab/>
      </w:r>
      <w:r w:rsidRPr="008366D3">
        <w:t>21010 Podnikové výdaje na VaV v podnikatelském sektoru jako % HDP - regiony ČR (mimo hl. m. Praha)</w:t>
      </w:r>
    </w:p>
    <w:p w:rsidR="006D1939" w:rsidRPr="008366D3" w:rsidRDefault="006D1939" w:rsidP="006D1939">
      <w:pPr>
        <w:pStyle w:val="Odstavecseseznamem2"/>
        <w:numPr>
          <w:ilvl w:val="0"/>
          <w:numId w:val="74"/>
        </w:numPr>
        <w:spacing w:after="160"/>
      </w:pPr>
      <w:r w:rsidRPr="008366D3">
        <w:tab/>
        <w:t>21002 Výdaje na VaV v podnikatelském sektoru</w:t>
      </w:r>
    </w:p>
    <w:p w:rsidR="003B2F8D" w:rsidRPr="002C224A" w:rsidRDefault="006D1939" w:rsidP="002C224A">
      <w:pPr>
        <w:pStyle w:val="Odstavecseseznamem2"/>
        <w:numPr>
          <w:ilvl w:val="0"/>
          <w:numId w:val="74"/>
        </w:numPr>
        <w:overflowPunct w:val="0"/>
        <w:autoSpaceDE w:val="0"/>
        <w:autoSpaceDN w:val="0"/>
        <w:adjustRightInd w:val="0"/>
        <w:spacing w:after="160"/>
        <w:jc w:val="both"/>
        <w:textAlignment w:val="baseline"/>
      </w:pPr>
      <w:r>
        <w:tab/>
        <w:t>21100 Souhrnný inovační index (SII)</w:t>
      </w:r>
    </w:p>
    <w:p w:rsidR="006D67F1" w:rsidRPr="002C224A" w:rsidRDefault="006D67F1" w:rsidP="00CE3165"/>
    <w:p w:rsidR="006D67F1" w:rsidRPr="002C224A" w:rsidRDefault="006D67F1" w:rsidP="00F87888">
      <w:pPr>
        <w:pStyle w:val="Nadpis4"/>
        <w:rPr>
          <w:rFonts w:ascii="Calibri" w:hAnsi="Calibri"/>
        </w:rPr>
      </w:pPr>
      <w:r w:rsidRPr="002C224A">
        <w:rPr>
          <w:rFonts w:ascii="Calibri" w:hAnsi="Calibri"/>
        </w:rPr>
        <w:t>Dílčí shrnutí</w:t>
      </w:r>
    </w:p>
    <w:p w:rsidR="006D67F1" w:rsidRPr="002C224A" w:rsidRDefault="006D67F1" w:rsidP="00794946">
      <w:pPr>
        <w:pStyle w:val="CaptionIntroductionparagraph"/>
        <w:rPr>
          <w:rFonts w:ascii="Calibri" w:hAnsi="Calibri"/>
        </w:rPr>
      </w:pPr>
    </w:p>
    <w:p w:rsidR="006D67F1" w:rsidRPr="002C224A" w:rsidRDefault="006D67F1" w:rsidP="00794946">
      <w:pPr>
        <w:pStyle w:val="CaptionIntroductionparagraph"/>
        <w:rPr>
          <w:rFonts w:ascii="Calibri" w:hAnsi="Calibri"/>
        </w:rPr>
      </w:pPr>
      <w:r w:rsidRPr="002C224A">
        <w:rPr>
          <w:rFonts w:ascii="Calibri" w:hAnsi="Calibri"/>
        </w:rPr>
        <w:t>Individuální nebo portfoliová záruka (SC 1.1)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794946">
        <w:tc>
          <w:tcPr>
            <w:tcW w:w="2282" w:type="dxa"/>
            <w:shd w:val="clear" w:color="auto" w:fill="ECFFC3"/>
          </w:tcPr>
          <w:p w:rsidR="006D67F1" w:rsidRPr="00A50943" w:rsidRDefault="006D67F1" w:rsidP="00794946">
            <w:pPr>
              <w:rPr>
                <w:b/>
              </w:rPr>
            </w:pPr>
          </w:p>
        </w:tc>
        <w:tc>
          <w:tcPr>
            <w:tcW w:w="6788" w:type="dxa"/>
            <w:shd w:val="clear" w:color="auto" w:fill="ECFFC3"/>
          </w:tcPr>
          <w:p w:rsidR="006D67F1" w:rsidRPr="002C224A" w:rsidRDefault="006D67F1" w:rsidP="00794946">
            <w:pPr>
              <w:ind w:left="38"/>
              <w:rPr>
                <w:b/>
              </w:rPr>
            </w:pPr>
          </w:p>
        </w:tc>
      </w:tr>
      <w:tr w:rsidR="006D67F1" w:rsidRPr="002C224A" w:rsidTr="00794946">
        <w:tc>
          <w:tcPr>
            <w:tcW w:w="2282" w:type="dxa"/>
            <w:shd w:val="clear" w:color="auto" w:fill="92D400"/>
            <w:noWrap/>
          </w:tcPr>
          <w:p w:rsidR="006D67F1" w:rsidRPr="002C224A" w:rsidRDefault="006D67F1" w:rsidP="00794946">
            <w:pPr>
              <w:jc w:val="left"/>
              <w:rPr>
                <w:b/>
                <w:color w:val="FFFFFF"/>
              </w:rPr>
            </w:pPr>
            <w:r w:rsidRPr="002C224A">
              <w:rPr>
                <w:b/>
                <w:color w:val="FFFFFF"/>
              </w:rPr>
              <w:lastRenderedPageBreak/>
              <w:t>Cíle a odůvodnění finančního nástroje</w:t>
            </w:r>
          </w:p>
        </w:tc>
        <w:tc>
          <w:tcPr>
            <w:tcW w:w="6788" w:type="dxa"/>
            <w:shd w:val="clear" w:color="auto" w:fill="FFFFFF"/>
            <w:noWrap/>
          </w:tcPr>
          <w:p w:rsidR="006D67F1" w:rsidRPr="002C224A" w:rsidRDefault="006D67F1" w:rsidP="00794946">
            <w:r w:rsidRPr="002C224A">
              <w:t>Cílem záručního nástroje je zpřístupnit financování pokročilých podnikových inovací pro subjekty s horším přístupem k bankovním úvěrům.</w:t>
            </w:r>
          </w:p>
        </w:tc>
      </w:tr>
      <w:tr w:rsidR="006D67F1" w:rsidRPr="002C224A" w:rsidTr="00794946">
        <w:tc>
          <w:tcPr>
            <w:tcW w:w="2282" w:type="dxa"/>
            <w:shd w:val="clear" w:color="auto" w:fill="92D400"/>
            <w:noWrap/>
          </w:tcPr>
          <w:p w:rsidR="006D67F1" w:rsidRPr="002C224A" w:rsidRDefault="006D67F1" w:rsidP="00794946">
            <w:pPr>
              <w:jc w:val="left"/>
              <w:rPr>
                <w:b/>
                <w:color w:val="FFFFFF"/>
              </w:rPr>
            </w:pPr>
            <w:r w:rsidRPr="002C224A">
              <w:rPr>
                <w:b/>
                <w:color w:val="FFFFFF"/>
              </w:rPr>
              <w:t>Definice a kritéria způsobilých projektů</w:t>
            </w:r>
          </w:p>
        </w:tc>
        <w:tc>
          <w:tcPr>
            <w:tcW w:w="6788" w:type="dxa"/>
            <w:shd w:val="clear" w:color="auto" w:fill="FFFFFF"/>
            <w:noWrap/>
          </w:tcPr>
          <w:p w:rsidR="006D67F1" w:rsidRPr="002C224A" w:rsidRDefault="006D67F1">
            <w:r w:rsidRPr="002C224A">
              <w:t xml:space="preserve">Podpora je určena pro financování inovací min. řádu 5 u MSP a 6 u VP </w:t>
            </w:r>
            <w:r w:rsidR="00540FA8" w:rsidRPr="002C224A">
              <w:t>(Valentova stupnice)</w:t>
            </w:r>
            <w:r w:rsidRPr="002C224A">
              <w:t xml:space="preserve"> v oblasti výrobků, služeb, procesů a marketingu.</w:t>
            </w:r>
          </w:p>
          <w:p w:rsidR="006D67F1" w:rsidRPr="002C224A" w:rsidRDefault="006D67F1">
            <w:r w:rsidRPr="002C224A">
              <w:t>Způsobilými výdaji se rozumí veškeré výdaje na inovace, které je nutno vynaložit ke splnění cíle projektu konečného příjemce.</w:t>
            </w:r>
          </w:p>
        </w:tc>
      </w:tr>
      <w:tr w:rsidR="006D67F1" w:rsidRPr="002C224A" w:rsidTr="00794946">
        <w:tc>
          <w:tcPr>
            <w:tcW w:w="2282" w:type="dxa"/>
            <w:shd w:val="clear" w:color="auto" w:fill="92D400"/>
            <w:noWrap/>
          </w:tcPr>
          <w:p w:rsidR="006D67F1" w:rsidRPr="002C224A" w:rsidRDefault="006D67F1" w:rsidP="00794946">
            <w:pPr>
              <w:jc w:val="left"/>
              <w:rPr>
                <w:b/>
                <w:color w:val="FFFFFF"/>
              </w:rPr>
            </w:pPr>
            <w:r w:rsidRPr="002C224A">
              <w:rPr>
                <w:b/>
                <w:color w:val="FFFFFF"/>
              </w:rPr>
              <w:t>Forma podpory</w:t>
            </w:r>
          </w:p>
        </w:tc>
        <w:tc>
          <w:tcPr>
            <w:tcW w:w="6788" w:type="dxa"/>
            <w:shd w:val="clear" w:color="auto" w:fill="FFFFFF"/>
            <w:noWrap/>
          </w:tcPr>
          <w:p w:rsidR="006D67F1" w:rsidRPr="002C224A" w:rsidRDefault="006D67F1" w:rsidP="00794946">
            <w:r w:rsidRPr="002C224A">
              <w:t>Finanční nástroj bude poskytovat účelovou podporu formou záruky za bankovní úvěr, distributorem úvěrů konečným příjemcům bude úvěrující instituce.</w:t>
            </w:r>
          </w:p>
          <w:p w:rsidR="006D67F1" w:rsidRPr="002C224A" w:rsidRDefault="006D67F1" w:rsidP="00794946"/>
          <w:p w:rsidR="006D67F1" w:rsidRPr="002C224A" w:rsidRDefault="006D67F1" w:rsidP="00794946">
            <w:r w:rsidRPr="002C224A">
              <w:t>Záruka bude doplněná podmíněným příspěvkem na úhradu úrokových nákladů.</w:t>
            </w:r>
          </w:p>
        </w:tc>
      </w:tr>
      <w:tr w:rsidR="006D67F1" w:rsidRPr="002C224A" w:rsidTr="00794946">
        <w:tc>
          <w:tcPr>
            <w:tcW w:w="2282" w:type="dxa"/>
            <w:shd w:val="clear" w:color="auto" w:fill="92D400"/>
            <w:noWrap/>
          </w:tcPr>
          <w:p w:rsidR="006D67F1" w:rsidRPr="002C224A" w:rsidRDefault="006D67F1" w:rsidP="00794946">
            <w:pPr>
              <w:jc w:val="left"/>
              <w:rPr>
                <w:b/>
                <w:color w:val="FFFFFF"/>
              </w:rPr>
            </w:pPr>
            <w:r w:rsidRPr="002C224A">
              <w:rPr>
                <w:b/>
                <w:color w:val="FFFFFF"/>
              </w:rPr>
              <w:t>Základní parametry poskytované podpory</w:t>
            </w:r>
          </w:p>
        </w:tc>
        <w:tc>
          <w:tcPr>
            <w:tcW w:w="6788" w:type="dxa"/>
            <w:shd w:val="clear" w:color="auto" w:fill="FFFFFF"/>
            <w:noWrap/>
          </w:tcPr>
          <w:p w:rsidR="00FC4A4E" w:rsidRPr="002C224A" w:rsidRDefault="00FC4A4E" w:rsidP="00FC4A4E">
            <w:r w:rsidRPr="002C224A">
              <w:rPr>
                <w:rFonts w:cs="Calibri"/>
              </w:rPr>
              <w:t xml:space="preserve">Záruka za úvěr je poskytována k bankovním úvěrům až do výše 80 % jistiny zaručeného úvěru, maximálně ve výši </w:t>
            </w:r>
            <w:smartTag w:uri="urn:schemas-microsoft-com:office:smarttags" w:element="metricconverter">
              <w:smartTagPr>
                <w:attr w:name="ProductID" w:val="100 mil"/>
              </w:smartTagPr>
              <w:r w:rsidRPr="002C224A">
                <w:rPr>
                  <w:rFonts w:cs="Calibri"/>
                </w:rPr>
                <w:t>100 mil</w:t>
              </w:r>
            </w:smartTag>
            <w:r w:rsidRPr="002C224A">
              <w:rPr>
                <w:rFonts w:cs="Calibri"/>
              </w:rPr>
              <w:t>. Kč. Očekávaná výše zaručených úvěrů je 19-</w:t>
            </w:r>
            <w:smartTag w:uri="urn:schemas-microsoft-com:office:smarttags" w:element="metricconverter">
              <w:smartTagPr>
                <w:attr w:name="ProductID" w:val="33 mil"/>
              </w:smartTagPr>
              <w:r w:rsidRPr="002C224A">
                <w:rPr>
                  <w:rFonts w:cs="Calibri"/>
                </w:rPr>
                <w:t>33 mil</w:t>
              </w:r>
            </w:smartTag>
            <w:r w:rsidRPr="002C224A">
              <w:rPr>
                <w:rFonts w:cs="Calibri"/>
              </w:rPr>
              <w:t>. Kč (dle zkušeností z v OP PI Inovace)</w:t>
            </w:r>
          </w:p>
          <w:p w:rsidR="006D67F1" w:rsidRPr="002C224A" w:rsidRDefault="006D67F1" w:rsidP="00794946"/>
        </w:tc>
      </w:tr>
      <w:tr w:rsidR="006D67F1" w:rsidRPr="002C224A" w:rsidTr="00794946">
        <w:tc>
          <w:tcPr>
            <w:tcW w:w="2282" w:type="dxa"/>
            <w:shd w:val="clear" w:color="auto" w:fill="92D400"/>
            <w:noWrap/>
          </w:tcPr>
          <w:p w:rsidR="006D67F1" w:rsidRPr="002C224A" w:rsidRDefault="006D67F1" w:rsidP="00794946">
            <w:pPr>
              <w:jc w:val="left"/>
              <w:rPr>
                <w:b/>
                <w:color w:val="FFFFFF"/>
              </w:rPr>
            </w:pPr>
            <w:r w:rsidRPr="002C224A">
              <w:rPr>
                <w:b/>
                <w:color w:val="FFFFFF"/>
              </w:rPr>
              <w:t>Kroky k aktivizaci soukromých finančních zdrojů</w:t>
            </w:r>
          </w:p>
        </w:tc>
        <w:tc>
          <w:tcPr>
            <w:tcW w:w="6788" w:type="dxa"/>
            <w:shd w:val="clear" w:color="auto" w:fill="FFFFFF"/>
            <w:noWrap/>
          </w:tcPr>
          <w:p w:rsidR="006D67F1" w:rsidRPr="002C224A" w:rsidRDefault="006D67F1" w:rsidP="00794946">
            <w:pPr>
              <w:contextualSpacing/>
            </w:pPr>
            <w:r w:rsidRPr="002C224A">
              <w:t xml:space="preserve">Bankovní subjekty mají zájem klienty úvěrovat, avšak s ohledem na riziko spojené s některými obchodními případy tak nečiní. Částečná eliminace rizika umožní bankám zapůjčit další objem finančních prostředků. </w:t>
            </w:r>
          </w:p>
        </w:tc>
      </w:tr>
      <w:tr w:rsidR="006D67F1" w:rsidRPr="002C224A" w:rsidTr="00794946">
        <w:tc>
          <w:tcPr>
            <w:tcW w:w="2282" w:type="dxa"/>
            <w:shd w:val="clear" w:color="auto" w:fill="92D400"/>
            <w:noWrap/>
          </w:tcPr>
          <w:p w:rsidR="006D67F1" w:rsidRPr="002C224A" w:rsidRDefault="006D67F1" w:rsidP="00794946">
            <w:pPr>
              <w:jc w:val="left"/>
              <w:rPr>
                <w:b/>
                <w:color w:val="FFFFFF"/>
              </w:rPr>
            </w:pPr>
            <w:r w:rsidRPr="002C224A">
              <w:rPr>
                <w:b/>
                <w:color w:val="FFFFFF"/>
              </w:rPr>
              <w:t>Očekávaná alokace</w:t>
            </w:r>
          </w:p>
        </w:tc>
        <w:tc>
          <w:tcPr>
            <w:tcW w:w="6788" w:type="dxa"/>
            <w:shd w:val="clear" w:color="auto" w:fill="FFFFFF"/>
            <w:noWrap/>
          </w:tcPr>
          <w:p w:rsidR="006D67F1" w:rsidRPr="002C224A" w:rsidRDefault="006D67F1" w:rsidP="00794946">
            <w:r w:rsidRPr="002C224A">
              <w:t xml:space="preserve">Doporučujeme záruční finanční nástroj využít </w:t>
            </w:r>
            <w:r w:rsidR="00BE0DC0" w:rsidRPr="002C224A">
              <w:t>v rozmezí 1400-</w:t>
            </w:r>
            <w:smartTag w:uri="urn:schemas-microsoft-com:office:smarttags" w:element="metricconverter">
              <w:smartTagPr>
                <w:attr w:name="ProductID" w:val="1800 mil"/>
              </w:smartTagPr>
              <w:r w:rsidR="00BE0DC0" w:rsidRPr="002C224A">
                <w:t>1800 mil</w:t>
              </w:r>
            </w:smartTag>
            <w:r w:rsidR="00BE0DC0" w:rsidRPr="002C224A">
              <w:t>. Kč.</w:t>
            </w:r>
          </w:p>
          <w:p w:rsidR="006D67F1" w:rsidRPr="002C224A" w:rsidRDefault="006D67F1" w:rsidP="00794946"/>
        </w:tc>
      </w:tr>
    </w:tbl>
    <w:p w:rsidR="006D67F1" w:rsidRPr="002C224A" w:rsidRDefault="00320102" w:rsidP="00320102">
      <w:pPr>
        <w:pStyle w:val="Titulek"/>
      </w:pPr>
      <w:r w:rsidRPr="002C224A">
        <w:t xml:space="preserve">Tabulka </w:t>
      </w:r>
      <w:r w:rsidR="004A4860">
        <w:t>100</w:t>
      </w:r>
      <w:r w:rsidRPr="002C224A">
        <w:t>: individuální nebo portfoliová záruka (SC 1.1)</w:t>
      </w:r>
    </w:p>
    <w:p w:rsidR="006D67F1" w:rsidRPr="002C224A" w:rsidRDefault="006D67F1" w:rsidP="006F771D">
      <w:pPr>
        <w:pStyle w:val="Nadpis3"/>
        <w:rPr>
          <w:rFonts w:ascii="Calibri" w:hAnsi="Calibri"/>
        </w:rPr>
      </w:pPr>
      <w:bookmarkStart w:id="1026" w:name="_Toc416800483"/>
      <w:bookmarkStart w:id="1027" w:name="_Toc421534325"/>
      <w:r w:rsidRPr="002C224A">
        <w:rPr>
          <w:rFonts w:ascii="Calibri" w:hAnsi="Calibri"/>
        </w:rPr>
        <w:t>Specifický cíl 1.2</w:t>
      </w:r>
      <w:bookmarkEnd w:id="1026"/>
      <w:bookmarkEnd w:id="1027"/>
    </w:p>
    <w:p w:rsidR="006D67F1" w:rsidRPr="002C224A" w:rsidRDefault="006D67F1" w:rsidP="00794946">
      <w:pPr>
        <w:pStyle w:val="Nadpis4"/>
        <w:rPr>
          <w:rFonts w:ascii="Calibri" w:hAnsi="Calibri"/>
        </w:rPr>
      </w:pPr>
      <w:bookmarkStart w:id="1028" w:name="_Toc416800484"/>
      <w:r w:rsidRPr="002C224A">
        <w:rPr>
          <w:rFonts w:ascii="Calibri" w:hAnsi="Calibri"/>
        </w:rPr>
        <w:t>Formy finančních nástrojů a výše alokace</w:t>
      </w:r>
    </w:p>
    <w:bookmarkEnd w:id="1028"/>
    <w:p w:rsidR="006D67F1" w:rsidRPr="002C224A" w:rsidRDefault="006D67F1" w:rsidP="00960BE3">
      <w:r w:rsidRPr="00A50943">
        <w:t>Financování fáze Proof-of-concept není bez účasti veřejných prostředků prakticky možné vzhledem ke š</w:t>
      </w:r>
      <w:r w:rsidRPr="002C224A">
        <w:t>patné uchopitelnosti projektů či za ním stojící struktury a z toho vyplývajícího vysokého rizika.</w:t>
      </w:r>
      <w:r w:rsidR="006663C9" w:rsidRPr="002C224A">
        <w:t xml:space="preserve"> </w:t>
      </w:r>
      <w:r w:rsidRPr="002C224A">
        <w:t>V České republice navzdory řadě pozitivních změn (např. podpora pre-seed aktivit z OP VaVpI, program GAMA</w:t>
      </w:r>
      <w:r w:rsidR="00B75B9E" w:rsidRPr="002C224A">
        <w:t xml:space="preserve"> </w:t>
      </w:r>
      <w:r w:rsidRPr="002C224A">
        <w:t>TAČR, fungování center transferu technologií) stále přetrvává pomyslná propast mezi veřejnými výzkumnými organizacemi a aplikační sférou.</w:t>
      </w:r>
      <w:r w:rsidR="006663C9" w:rsidRPr="002C224A">
        <w:t xml:space="preserve"> </w:t>
      </w:r>
      <w:r w:rsidRPr="002C224A">
        <w:t>Výsledky VaV mají vysoký, avšak nejistý ziskový potenciál – řada projektů nedosáhne fáze, kdy by bylo výhodné dále pokračovat ke komercializaci, řada je v důsledku neúspěšná, pouze menší část těchto projektů je úspěšná a zisková. Sledovaná oblast proof-of-concept je kritickou fází přesunu vědeckého projektu z akademické či výzkumné instituce do tržního prostředí, kdy v řadě odvětví (např. biochemie a další) je tato fáze je příliš dlouhá a tím i riziková pro běžné investory. S přihlédnutím k příkladům dobré praxe v zahraničí navrhujeme opustit model dotační podpory a vytvořit nový nástroj na bázi rizikového kapitálu, který by více zohlednil reálnou hodnotu výsledků VaV, a to skrze zřízení tzv. pre-seed fondu OP PIK.</w:t>
      </w:r>
    </w:p>
    <w:p w:rsidR="006D67F1" w:rsidRPr="002C224A" w:rsidRDefault="006D67F1" w:rsidP="00483DA7"/>
    <w:p w:rsidR="006D67F1" w:rsidRPr="002C224A" w:rsidRDefault="006D67F1" w:rsidP="00483DA7">
      <w:r w:rsidRPr="002C224A">
        <w:rPr>
          <w:b/>
        </w:rPr>
        <w:t>Veřejný kapitálový vstup lze definovat jako nejvhodnější typ finančního nástroje vzhledem k nevyzrálosti projektů a nejistotě spojené s jejich budoucími výsledky.</w:t>
      </w:r>
      <w:r w:rsidR="006663C9" w:rsidRPr="002C224A">
        <w:rPr>
          <w:b/>
        </w:rPr>
        <w:t xml:space="preserve"> </w:t>
      </w:r>
      <w:r w:rsidRPr="002C224A">
        <w:t xml:space="preserve">Perspektivní výzkumné záměry budou formou nepeněžitého vkladu vyčleněny z veřejné výzkumné organizace (VO) do právnické osoby pod ni spadající či </w:t>
      </w:r>
      <w:r w:rsidRPr="002C224A">
        <w:rPr>
          <w:b/>
        </w:rPr>
        <w:t>do oborově specializovaného fondu spravovaného přímo pod/v rámci Pre-seed Fondu OP PIK, kam následně budou investovány prostředky z FN.</w:t>
      </w:r>
    </w:p>
    <w:p w:rsidR="006D67F1" w:rsidRPr="002C224A" w:rsidRDefault="006D67F1" w:rsidP="00483DA7"/>
    <w:p w:rsidR="006D67F1" w:rsidRPr="002C224A" w:rsidRDefault="006D67F1" w:rsidP="00483DA7">
      <w:r w:rsidRPr="002C224A">
        <w:rPr>
          <w:b/>
        </w:rPr>
        <w:t>Prostřednictvím minoritního podílu v této entitě bude mít FN vlastnický podíl na každém projektu, který bude do entity vyčleněn</w:t>
      </w:r>
      <w:r w:rsidRPr="002C224A">
        <w:t>, a z toho vyplývající nárok na část zisku v případě ziskového exitu jakéhokoli projektu pro další fáze uplatnění na trhu (</w:t>
      </w:r>
      <w:r w:rsidRPr="002C224A">
        <w:rPr>
          <w:b/>
        </w:rPr>
        <w:t xml:space="preserve">např. spin-off odkoupený investory, licence strategickému investorovi z výrobního odvětví </w:t>
      </w:r>
      <w:r w:rsidRPr="002C224A">
        <w:t xml:space="preserve">atd.). Rozhodující část zisku musí zůstat jako motivační prvek nositelům projektu, nikoliv státu. Státní fond však prostřednictvím minoritního podílu na </w:t>
      </w:r>
      <w:r w:rsidRPr="002C224A">
        <w:lastRenderedPageBreak/>
        <w:t>ziskových projektech získává zpět prostředky a může na revolvingovém principu v dalším kole podpořit nové projekty.</w:t>
      </w:r>
    </w:p>
    <w:p w:rsidR="006D67F1" w:rsidRPr="002C224A" w:rsidRDefault="006D67F1" w:rsidP="00483DA7"/>
    <w:p w:rsidR="006D67F1" w:rsidRPr="002C224A" w:rsidRDefault="006D67F1" w:rsidP="002B4805">
      <w:r w:rsidRPr="002C224A">
        <w:t xml:space="preserve">Zamýšlená struktura přepokládá </w:t>
      </w:r>
      <w:r w:rsidRPr="002C224A">
        <w:rPr>
          <w:b/>
        </w:rPr>
        <w:t>podílnictví veřejných VO primárně prostřednictvím nepeněžních vkladů do základního kapitálu v podobě duševního vlastnictví.</w:t>
      </w:r>
      <w:r w:rsidRPr="002C224A">
        <w:t xml:space="preserve"> Na základě dalšího vyhodnocení je však </w:t>
      </w:r>
      <w:r w:rsidRPr="002C224A">
        <w:rPr>
          <w:b/>
        </w:rPr>
        <w:t>na místě zvážit též povinnou minimální spoluúčast konečných příjemců</w:t>
      </w:r>
      <w:r w:rsidRPr="002C224A">
        <w:t xml:space="preserve"> ve finanční podobě, která by na jednu stranu neznamenala zásadní bariéru pro zájem veřejných VO o účast, na stranu druhou by byla motivačním prvkem, který by omezoval morální hazard ze strany konečných příjemců a stimuloval kvalitní výběr a vedení projektů.</w:t>
      </w:r>
    </w:p>
    <w:p w:rsidR="006D67F1" w:rsidRPr="002C224A" w:rsidRDefault="006D67F1" w:rsidP="00483DA7"/>
    <w:p w:rsidR="006D67F1" w:rsidRPr="002C224A" w:rsidRDefault="006D67F1" w:rsidP="00483DA7">
      <w:r w:rsidRPr="002C224A">
        <w:t xml:space="preserve">Je dále třeba se s posunem projektů do další fáze neorientovat pouze na český trh, ale být v tomto smyslu otevření i zahraničním investorům, neboť výsledky výzkumu a vývoje jsou často využitelné globálně. </w:t>
      </w:r>
      <w:r w:rsidRPr="002C224A">
        <w:rPr>
          <w:b/>
        </w:rPr>
        <w:t>FN MPO bude vždy disponovat pouze minoritním podílem, který však bude zajišťovat podíl na kontrole řízení entity a zprostředkovaně i projektů</w:t>
      </w:r>
      <w:r w:rsidRPr="002C224A">
        <w:t>. Výběr projektů musí provést instituce, která je vytváří, tedy konečný příjemce (univerzita, v.v.i. apod.), avšak na jeho schválení k fondové podpoře se musí podílet i nezávislé posouzení, které je třeba zajistit na úrovni fondu OP PIK.</w:t>
      </w:r>
    </w:p>
    <w:p w:rsidR="006D67F1" w:rsidRPr="002C224A" w:rsidRDefault="006D67F1" w:rsidP="00483DA7"/>
    <w:p w:rsidR="006D67F1" w:rsidRPr="002C224A" w:rsidRDefault="006D67F1" w:rsidP="002433DA">
      <w:r w:rsidRPr="002C224A">
        <w:t xml:space="preserve">Pre-seed finanční nástroj OP PIK je v první pilotní fázi projektován jako podpora pro prioritní projekty excelentních pracovišť výzkumu a vývoje v České republice, který usnadní a zrychlí financování projektů s nejvyšší pravděpodobností uplatnění na trhu. Fondovým financováním dojde k překonání současných překážek, jako je např. neflexibilní plánování, zdlouhavá příprava a proplácení grantu na komercializaci. Vyčlenění projektů veřejných VO do fondové entity usnadní jejich následné komerční fungování. V pre-seed fondu OP PIK budou prostředky k dispozici průběžně dle potřeby projektu, nicméně budou vázány na dosažené výsledky a další komercializační potenciál. </w:t>
      </w:r>
    </w:p>
    <w:p w:rsidR="006D67F1" w:rsidRPr="002C224A" w:rsidRDefault="006D67F1" w:rsidP="002433DA"/>
    <w:p w:rsidR="006D67F1" w:rsidRPr="002C224A" w:rsidRDefault="006D67F1" w:rsidP="002433DA">
      <w:r w:rsidRPr="002C224A">
        <w:t>Fondové financování může dále usnadnit přístup investorů a urychlit tak samotnou komercializaci</w:t>
      </w:r>
      <w:r w:rsidR="00C57732">
        <w:t>.</w:t>
      </w:r>
      <w:r w:rsidRPr="002C224A">
        <w:t xml:space="preserve"> Jednou z možností investičního exitu je i podpoření projektů v další fázi v rámci nástroje rizikového kapitálu OP PIK</w:t>
      </w:r>
      <w:r w:rsidR="00C57732">
        <w:t xml:space="preserve"> v SC 2.1</w:t>
      </w:r>
      <w:r w:rsidRPr="002C224A">
        <w:t>. V další fázi, v případě jeho úspěchu, může dojít k rozšíření finančního nástroje pre-seed i na další pracoviště.</w:t>
      </w:r>
    </w:p>
    <w:p w:rsidR="006D67F1" w:rsidRPr="002C224A" w:rsidRDefault="006D67F1" w:rsidP="002433DA"/>
    <w:p w:rsidR="006D67F1" w:rsidRPr="002C224A" w:rsidRDefault="006D67F1" w:rsidP="002433DA">
      <w:r w:rsidRPr="002C224A">
        <w:t xml:space="preserve">Jedním z  </w:t>
      </w:r>
      <w:r w:rsidR="00C57732" w:rsidRPr="002C224A">
        <w:t xml:space="preserve">očekávaných </w:t>
      </w:r>
      <w:r w:rsidRPr="002C224A">
        <w:t xml:space="preserve">důležitých vedlejších produktů této podpory </w:t>
      </w:r>
      <w:r w:rsidR="00C57732">
        <w:t>by mělo být</w:t>
      </w:r>
      <w:r w:rsidR="00C57732" w:rsidRPr="002C224A">
        <w:t xml:space="preserve"> </w:t>
      </w:r>
      <w:r w:rsidRPr="002C224A">
        <w:t>zkvalitnění a zprůchodnění systému komercializace na veřejných VO. Nástroj bude poskytovat dostatečný kapitál, zásadní pro jeho úspěch bude však odborné vedení projektů, které bude primárně stát na konečných příjemcích.</w:t>
      </w:r>
      <w:r w:rsidR="006663C9" w:rsidRPr="002C224A">
        <w:t xml:space="preserve"> </w:t>
      </w:r>
      <w:r w:rsidR="00C57732">
        <w:t>FN tedy</w:t>
      </w:r>
      <w:r w:rsidRPr="002C224A">
        <w:t xml:space="preserve"> musí fungovat v synergii s fungováním CTT a poradenských služeb CzechInvest</w:t>
      </w:r>
      <w:r w:rsidR="001E08E2">
        <w:t>/API</w:t>
      </w:r>
      <w:r w:rsidRPr="002C224A">
        <w:t>, jejichž další zkvalitňování je pro úspěch podpory nezbytné.</w:t>
      </w:r>
    </w:p>
    <w:p w:rsidR="006D67F1" w:rsidRPr="002C224A" w:rsidRDefault="006D67F1" w:rsidP="002433DA"/>
    <w:p w:rsidR="006D67F1" w:rsidRPr="002C224A" w:rsidRDefault="006D67F1" w:rsidP="002433DA">
      <w:r w:rsidRPr="002C224A">
        <w:t xml:space="preserve">Problematickou součást implementace bude představovat zejména vybírání a oceňování vhodných projektů a duševního vlastnictví vloženého do fondu. Tyto rizika musí být v dalším rozpracování implementace adekvátně ošetřena. Jako vhodná se zde jeví </w:t>
      </w:r>
      <w:r w:rsidRPr="008366D3">
        <w:rPr>
          <w:b/>
        </w:rPr>
        <w:t>provázanost na grantové podpoření úvodní fáze Proof-of-concept</w:t>
      </w:r>
      <w:r w:rsidRPr="002C224A">
        <w:t>, jehož výsledkem by bylo zhodnocení tržního potenciálu a ocenění projektu.</w:t>
      </w:r>
    </w:p>
    <w:p w:rsidR="006D67F1" w:rsidRPr="002C224A" w:rsidRDefault="006D67F1" w:rsidP="002433DA"/>
    <w:p w:rsidR="006D67F1" w:rsidRPr="002C224A" w:rsidRDefault="006D67F1" w:rsidP="002433DA">
      <w:r w:rsidRPr="002C224A">
        <w:t xml:space="preserve">Konečná implementace bude muset respektovat daný legislativní rámec fungování veřejných VO. Schéma bude dále upraveno tak, aby konvenovalo </w:t>
      </w:r>
      <w:r w:rsidR="00C57732">
        <w:t xml:space="preserve">novému </w:t>
      </w:r>
      <w:r w:rsidRPr="002C224A">
        <w:t xml:space="preserve">zákonu o podpoře VaVaI </w:t>
      </w:r>
      <w:r w:rsidR="00C57732">
        <w:t>a</w:t>
      </w:r>
      <w:r w:rsidR="00C57732" w:rsidRPr="002C224A">
        <w:t xml:space="preserve"> </w:t>
      </w:r>
      <w:r w:rsidRPr="002C224A">
        <w:t>zákonu o vysokých školách.</w:t>
      </w:r>
    </w:p>
    <w:p w:rsidR="005A3124" w:rsidRPr="002C224A" w:rsidRDefault="005A3124" w:rsidP="002433DA"/>
    <w:p w:rsidR="005A3124" w:rsidRPr="002C224A" w:rsidRDefault="005A3124" w:rsidP="005A3124">
      <w:pPr>
        <w:rPr>
          <w:b/>
        </w:rPr>
      </w:pPr>
      <w:r w:rsidRPr="002C224A">
        <w:rPr>
          <w:b/>
        </w:rPr>
        <w:t>Alokace</w:t>
      </w:r>
    </w:p>
    <w:p w:rsidR="005A3124" w:rsidRPr="002C224A" w:rsidRDefault="005A3124" w:rsidP="005A3124">
      <w:r w:rsidRPr="002C224A">
        <w:t xml:space="preserve">Poptávka po zdrojích na komercializaci bude v tomto programovacím období růst. Funkčnost navrhovaného nástroje by nicméně měla být ověřena v pilotní verzi. </w:t>
      </w:r>
      <w:r w:rsidRPr="00A50943">
        <w:rPr>
          <w:b/>
        </w:rPr>
        <w:t xml:space="preserve">Pro </w:t>
      </w:r>
      <w:r w:rsidRPr="002C224A">
        <w:rPr>
          <w:b/>
        </w:rPr>
        <w:t>realizaci</w:t>
      </w:r>
      <w:r w:rsidR="00C57732">
        <w:rPr>
          <w:b/>
        </w:rPr>
        <w:t xml:space="preserve"> pilotního</w:t>
      </w:r>
      <w:r w:rsidRPr="002C224A">
        <w:rPr>
          <w:b/>
        </w:rPr>
        <w:t xml:space="preserve"> fondu </w:t>
      </w:r>
      <w:r w:rsidRPr="00A50943">
        <w:rPr>
          <w:b/>
        </w:rPr>
        <w:t xml:space="preserve">je minimální hranicí alokace </w:t>
      </w:r>
      <w:smartTag w:uri="urn:schemas-microsoft-com:office:smarttags" w:element="metricconverter">
        <w:smartTagPr>
          <w:attr w:name="ProductID" w:val="550 mil"/>
        </w:smartTagPr>
        <w:r w:rsidRPr="00A50943">
          <w:rPr>
            <w:b/>
          </w:rPr>
          <w:t>550 mil</w:t>
        </w:r>
      </w:smartTag>
      <w:r w:rsidRPr="00A50943">
        <w:rPr>
          <w:b/>
        </w:rPr>
        <w:t>. Kč</w:t>
      </w:r>
      <w:r w:rsidR="00C57732">
        <w:rPr>
          <w:b/>
        </w:rPr>
        <w:t xml:space="preserve">. Další prostředky by měly být ponechány v grantovém režimu na podporu úvodní fáze POC a výběru projektů – alokace programu by tedy měla být adekvátně </w:t>
      </w:r>
      <w:r w:rsidR="00C57732">
        <w:rPr>
          <w:b/>
        </w:rPr>
        <w:lastRenderedPageBreak/>
        <w:t>rozdělena</w:t>
      </w:r>
      <w:r w:rsidR="00AB058C" w:rsidRPr="002C224A">
        <w:t>.</w:t>
      </w:r>
      <w:r w:rsidR="00AB058C" w:rsidRPr="00A50943">
        <w:t xml:space="preserve"> </w:t>
      </w:r>
      <w:r w:rsidR="00AB058C" w:rsidRPr="008366D3">
        <w:t>Zároveň je po ověřen</w:t>
      </w:r>
      <w:r w:rsidR="00914B58" w:rsidRPr="008366D3">
        <w:t>í</w:t>
      </w:r>
      <w:r w:rsidR="00AB058C" w:rsidRPr="008366D3">
        <w:t xml:space="preserve"> konceptu nástroje doporučeno alokaci na podporu komercializace VaV výrazně rozšířit,</w:t>
      </w:r>
      <w:r w:rsidR="00914B58" w:rsidRPr="008366D3">
        <w:t xml:space="preserve"> a to</w:t>
      </w:r>
      <w:r w:rsidR="00AB058C" w:rsidRPr="008366D3">
        <w:t xml:space="preserve"> tak, aby více pokryla absorpční kapacitu v této oblasti</w:t>
      </w:r>
      <w:r w:rsidR="00AB058C" w:rsidRPr="002C224A">
        <w:rPr>
          <w:b/>
        </w:rPr>
        <w:t>.</w:t>
      </w:r>
    </w:p>
    <w:p w:rsidR="005A3124" w:rsidRPr="00A50943" w:rsidRDefault="005A3124" w:rsidP="002433DA">
      <w:pPr>
        <w:rPr>
          <w:bCs/>
        </w:rPr>
      </w:pPr>
    </w:p>
    <w:p w:rsidR="006D67F1" w:rsidRPr="002C224A" w:rsidRDefault="006D67F1" w:rsidP="00794946">
      <w:pPr>
        <w:pStyle w:val="Nadpis4"/>
        <w:rPr>
          <w:rFonts w:ascii="Calibri" w:hAnsi="Calibri"/>
        </w:rPr>
      </w:pPr>
      <w:bookmarkStart w:id="1029" w:name="_Toc416800485"/>
      <w:r w:rsidRPr="002C224A">
        <w:rPr>
          <w:rFonts w:ascii="Calibri" w:hAnsi="Calibri"/>
        </w:rPr>
        <w:t>Nejvhodnější možnosti implementace</w:t>
      </w:r>
    </w:p>
    <w:p w:rsidR="006D67F1" w:rsidRPr="00A50943" w:rsidRDefault="006D67F1" w:rsidP="00483DA7"/>
    <w:bookmarkEnd w:id="1029"/>
    <w:p w:rsidR="006D67F1" w:rsidRPr="002C224A" w:rsidRDefault="00184492" w:rsidP="00483DA7">
      <w:r>
        <w:t xml:space="preserve">Implementace je předpokládána v rámci nově vytvořené struktury Národního inovačního fondu. </w:t>
      </w:r>
    </w:p>
    <w:p w:rsidR="00A3040A" w:rsidRDefault="00A3040A" w:rsidP="00A3040A">
      <w:pPr>
        <w:pStyle w:val="Titulek"/>
      </w:pPr>
    </w:p>
    <w:p w:rsidR="00A3040A" w:rsidRPr="002C224A" w:rsidRDefault="00A3040A" w:rsidP="00A3040A">
      <w:pPr>
        <w:pStyle w:val="Titulek"/>
      </w:pPr>
      <w:r w:rsidRPr="002C224A">
        <w:t>Obrázek: kapitálový nástroj – Národní inovační fond (SC 2.1)</w:t>
      </w:r>
    </w:p>
    <w:p w:rsidR="00A3040A" w:rsidRPr="002C224A" w:rsidRDefault="00A3040A" w:rsidP="00A3040A">
      <w:pPr>
        <w:pStyle w:val="CaptionIntroductionparagraph"/>
        <w:rPr>
          <w:rFonts w:ascii="Calibri" w:hAnsi="Calibri"/>
        </w:rPr>
      </w:pPr>
      <w:r>
        <w:rPr>
          <w:noProof/>
          <w:lang w:eastAsia="cs-CZ"/>
        </w:rPr>
        <w:drawing>
          <wp:anchor distT="0" distB="0" distL="114300" distR="114300" simplePos="0" relativeHeight="251667456" behindDoc="0" locked="0" layoutInCell="1" allowOverlap="1" wp14:anchorId="70E9A776" wp14:editId="4ECA5892">
            <wp:simplePos x="0" y="0"/>
            <wp:positionH relativeFrom="margin">
              <wp:posOffset>0</wp:posOffset>
            </wp:positionH>
            <wp:positionV relativeFrom="paragraph">
              <wp:posOffset>180975</wp:posOffset>
            </wp:positionV>
            <wp:extent cx="5399405" cy="3973830"/>
            <wp:effectExtent l="0" t="0" r="0" b="762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9405" cy="3973830"/>
                    </a:xfrm>
                    <a:prstGeom prst="rect">
                      <a:avLst/>
                    </a:prstGeom>
                    <a:noFill/>
                  </pic:spPr>
                </pic:pic>
              </a:graphicData>
            </a:graphic>
            <wp14:sizeRelH relativeFrom="page">
              <wp14:pctWidth>0</wp14:pctWidth>
            </wp14:sizeRelH>
            <wp14:sizeRelV relativeFrom="page">
              <wp14:pctHeight>0</wp14:pctHeight>
            </wp14:sizeRelV>
          </wp:anchor>
        </w:drawing>
      </w:r>
    </w:p>
    <w:p w:rsidR="00A3040A" w:rsidRPr="002C224A" w:rsidRDefault="00A3040A" w:rsidP="00A3040A">
      <w:pPr>
        <w:pStyle w:val="CaptionIntroductionparagraph"/>
        <w:jc w:val="center"/>
        <w:rPr>
          <w:rFonts w:ascii="Calibri" w:hAnsi="Calibri"/>
        </w:rPr>
      </w:pPr>
    </w:p>
    <w:p w:rsidR="00A3040A" w:rsidRDefault="00184492" w:rsidP="00184492">
      <w:r w:rsidRPr="002C224A">
        <w:t>Pro sledovanou oblast byly navrženy dva základní modely finančního nástroje kapitálového vstupu – na bázi centralizované a decentralizované. Obě varianty jsou dle závěrů předběžného posouzení možné k použití Řídícím orgánem OP PIK</w:t>
      </w:r>
      <w:r>
        <w:t>, níže uvedená schémata jsou však pouze indikativní</w:t>
      </w:r>
      <w:r w:rsidRPr="002C224A">
        <w:t>. O volbě konkrétní implementační varianty bude rozhodnuto na základě detailní analýzy souvisejících procesů, která jde již nad rámec požadavků předběžného posouzení FN.</w:t>
      </w:r>
    </w:p>
    <w:p w:rsidR="006D67F1" w:rsidRPr="002C224A" w:rsidRDefault="00C95B4C" w:rsidP="00483DA7">
      <w:pPr>
        <w:pStyle w:val="Titulek"/>
      </w:pPr>
      <w:r w:rsidRPr="00C95B4C">
        <w:rPr>
          <w:noProof/>
          <w:lang w:eastAsia="cs-CZ"/>
        </w:rPr>
        <w:lastRenderedPageBreak/>
        <w:drawing>
          <wp:anchor distT="0" distB="0" distL="114300" distR="114300" simplePos="0" relativeHeight="251662336" behindDoc="0" locked="0" layoutInCell="1" allowOverlap="1" wp14:anchorId="43B4B8DF" wp14:editId="07252911">
            <wp:simplePos x="0" y="0"/>
            <wp:positionH relativeFrom="margin">
              <wp:posOffset>-137795</wp:posOffset>
            </wp:positionH>
            <wp:positionV relativeFrom="paragraph">
              <wp:posOffset>246380</wp:posOffset>
            </wp:positionV>
            <wp:extent cx="5550535" cy="4162425"/>
            <wp:effectExtent l="0" t="0" r="0" b="9525"/>
            <wp:wrapTopAndBottom/>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50535" cy="4162425"/>
                    </a:xfrm>
                    <a:prstGeom prst="rect">
                      <a:avLst/>
                    </a:prstGeom>
                  </pic:spPr>
                </pic:pic>
              </a:graphicData>
            </a:graphic>
            <wp14:sizeRelH relativeFrom="margin">
              <wp14:pctWidth>0</wp14:pctWidth>
            </wp14:sizeRelH>
            <wp14:sizeRelV relativeFrom="margin">
              <wp14:pctHeight>0</wp14:pctHeight>
            </wp14:sizeRelV>
          </wp:anchor>
        </w:drawing>
      </w:r>
      <w:r w:rsidR="006D67F1" w:rsidRPr="002C224A">
        <w:t xml:space="preserve">Obrázek </w:t>
      </w:r>
      <w:r w:rsidR="00646277">
        <w:t>38</w:t>
      </w:r>
      <w:r w:rsidR="006D67F1" w:rsidRPr="002C224A">
        <w:t xml:space="preserve">: </w:t>
      </w:r>
      <w:r w:rsidR="00214267">
        <w:t>S</w:t>
      </w:r>
      <w:r w:rsidR="006D67F1" w:rsidRPr="002C224A">
        <w:t>chéma návrhu decentralizovaného modelu Pre-seed fondu</w:t>
      </w:r>
    </w:p>
    <w:p w:rsidR="006D67F1" w:rsidRPr="00A50943" w:rsidRDefault="006D67F1" w:rsidP="00483DA7"/>
    <w:p w:rsidR="006D67F1" w:rsidRPr="002C224A" w:rsidRDefault="006D67F1" w:rsidP="00483DA7"/>
    <w:p w:rsidR="006D67F1" w:rsidRPr="002C224A" w:rsidRDefault="00C95B4C" w:rsidP="00483DA7">
      <w:pPr>
        <w:pStyle w:val="Titulek"/>
      </w:pPr>
      <w:r w:rsidRPr="00016B83">
        <w:rPr>
          <w:noProof/>
          <w:lang w:eastAsia="cs-CZ"/>
        </w:rPr>
        <w:lastRenderedPageBreak/>
        <w:drawing>
          <wp:anchor distT="0" distB="0" distL="114300" distR="114300" simplePos="0" relativeHeight="251660288" behindDoc="0" locked="0" layoutInCell="1" allowOverlap="1" wp14:anchorId="37A533CA" wp14:editId="57C09237">
            <wp:simplePos x="0" y="0"/>
            <wp:positionH relativeFrom="column">
              <wp:posOffset>-518795</wp:posOffset>
            </wp:positionH>
            <wp:positionV relativeFrom="paragraph">
              <wp:posOffset>201930</wp:posOffset>
            </wp:positionV>
            <wp:extent cx="5911850" cy="4171950"/>
            <wp:effectExtent l="0" t="0" r="0" b="0"/>
            <wp:wrapTopAndBottom/>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5870"/>
                    <a:stretch/>
                  </pic:blipFill>
                  <pic:spPr bwMode="auto">
                    <a:xfrm>
                      <a:off x="0" y="0"/>
                      <a:ext cx="5911850"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7F1" w:rsidRPr="002C224A">
        <w:t xml:space="preserve">Obrázek </w:t>
      </w:r>
      <w:r w:rsidR="00646277">
        <w:t>39</w:t>
      </w:r>
      <w:r w:rsidR="006D67F1" w:rsidRPr="002C224A">
        <w:t xml:space="preserve">: </w:t>
      </w:r>
      <w:r w:rsidR="00214267">
        <w:t>S</w:t>
      </w:r>
      <w:r w:rsidR="006D67F1" w:rsidRPr="002C224A">
        <w:t>chéma návrhu centralizovaného modelu Pre-seed fondu OP PIK</w:t>
      </w:r>
    </w:p>
    <w:p w:rsidR="006D67F1" w:rsidRPr="00A50943" w:rsidRDefault="006D67F1"/>
    <w:p w:rsidR="006D67F1" w:rsidRPr="002C224A" w:rsidRDefault="006D67F1" w:rsidP="00452FC6">
      <w:pPr>
        <w:pStyle w:val="Nadpis4"/>
        <w:rPr>
          <w:rFonts w:ascii="Calibri" w:hAnsi="Calibri"/>
        </w:rPr>
      </w:pPr>
      <w:bookmarkStart w:id="1030" w:name="_Toc416800486"/>
      <w:r w:rsidRPr="002C224A">
        <w:rPr>
          <w:rFonts w:ascii="Calibri" w:hAnsi="Calibri"/>
        </w:rPr>
        <w:t>Modelové scénáře vývoje portfolií, počet investic a revolvingový efekt</w:t>
      </w:r>
    </w:p>
    <w:p w:rsidR="00907F3F" w:rsidRDefault="006D67F1" w:rsidP="007D6F55">
      <w:pPr>
        <w:rPr>
          <w:b/>
        </w:rPr>
      </w:pPr>
      <w:r w:rsidRPr="00A50943">
        <w:t>Modelování výsledků nástroje Proof-of-concept je vzhledem k</w:t>
      </w:r>
      <w:r w:rsidR="00DA3038" w:rsidRPr="002C224A">
        <w:t> unikátnosti schématu a pouze rámcově určené investiční strategii obtížně proveditelné.</w:t>
      </w:r>
      <w:r w:rsidR="00623752">
        <w:t xml:space="preserve"> Je proveden rámcový odhad postavený na předpokladu, že v první fázi nedojde k zapojení soukromých investorů a spolufinancování konečných příjemců bude na úrovni 20 % (zde bude záležet na detailnějším nastavení nástroje) </w:t>
      </w:r>
      <w:r w:rsidR="00907F3F" w:rsidRPr="002C224A">
        <w:rPr>
          <w:b/>
        </w:rPr>
        <w:t xml:space="preserve">Při očekávané průměrné velikosti projektů </w:t>
      </w:r>
      <w:r w:rsidR="008F3FE9">
        <w:rPr>
          <w:b/>
        </w:rPr>
        <w:t>25</w:t>
      </w:r>
      <w:r w:rsidR="00907F3F" w:rsidRPr="002C224A">
        <w:rPr>
          <w:b/>
        </w:rPr>
        <w:t xml:space="preserve"> mil. Kč</w:t>
      </w:r>
      <w:r w:rsidR="008F3FE9">
        <w:rPr>
          <w:rStyle w:val="Znakapoznpodarou"/>
          <w:b/>
        </w:rPr>
        <w:footnoteReference w:id="59"/>
      </w:r>
      <w:r w:rsidR="00907F3F" w:rsidRPr="002C224A">
        <w:rPr>
          <w:b/>
        </w:rPr>
        <w:t xml:space="preserve"> a minimální navrhované alokaci FN (v kombinaci s grantovou podporou) je očekáváno podpoření 30-35 projektů.</w:t>
      </w:r>
    </w:p>
    <w:p w:rsidR="00623752" w:rsidRDefault="00623752" w:rsidP="007D6F55">
      <w:pPr>
        <w:rPr>
          <w:b/>
        </w:rPr>
      </w:pPr>
    </w:p>
    <w:p w:rsidR="00652E41" w:rsidRDefault="00652E41" w:rsidP="00331BB7">
      <w:pPr>
        <w:pStyle w:val="Titulek"/>
        <w:keepNext/>
      </w:pPr>
      <w:r>
        <w:t>Tabulka</w:t>
      </w:r>
      <w:r w:rsidR="004A4860">
        <w:t xml:space="preserve"> 101</w:t>
      </w:r>
      <w:r>
        <w:t>: Modelové výsledky SC 1.2</w:t>
      </w:r>
    </w:p>
    <w:tbl>
      <w:tblPr>
        <w:tblW w:w="4360" w:type="dxa"/>
        <w:tblInd w:w="70" w:type="dxa"/>
        <w:tblCellMar>
          <w:left w:w="70" w:type="dxa"/>
          <w:right w:w="70" w:type="dxa"/>
        </w:tblCellMar>
        <w:tblLook w:val="04A0" w:firstRow="1" w:lastRow="0" w:firstColumn="1" w:lastColumn="0" w:noHBand="0" w:noVBand="1"/>
      </w:tblPr>
      <w:tblGrid>
        <w:gridCol w:w="3880"/>
        <w:gridCol w:w="480"/>
      </w:tblGrid>
      <w:tr w:rsidR="00623752" w:rsidRPr="00623752" w:rsidTr="00623752">
        <w:trPr>
          <w:trHeight w:val="300"/>
        </w:trPr>
        <w:tc>
          <w:tcPr>
            <w:tcW w:w="4360" w:type="dxa"/>
            <w:gridSpan w:val="2"/>
            <w:tcBorders>
              <w:top w:val="single" w:sz="4" w:space="0" w:color="5B9BD5"/>
              <w:left w:val="single" w:sz="4" w:space="0" w:color="5B9BD5"/>
              <w:bottom w:val="single" w:sz="4" w:space="0" w:color="5B9BD5"/>
              <w:right w:val="single" w:sz="4" w:space="0" w:color="5B9BD5"/>
            </w:tcBorders>
            <w:shd w:val="clear" w:color="5B9BD5" w:fill="5B9BD5"/>
            <w:noWrap/>
            <w:vAlign w:val="bottom"/>
          </w:tcPr>
          <w:p w:rsidR="00623752" w:rsidRPr="00623752" w:rsidRDefault="00623752" w:rsidP="00623752">
            <w:pPr>
              <w:overflowPunct/>
              <w:autoSpaceDE/>
              <w:autoSpaceDN/>
              <w:adjustRightInd/>
              <w:jc w:val="center"/>
              <w:textAlignment w:val="auto"/>
              <w:rPr>
                <w:b/>
                <w:bCs/>
                <w:color w:val="FFFFFF"/>
                <w:szCs w:val="22"/>
              </w:rPr>
            </w:pPr>
            <w:r w:rsidRPr="00623752">
              <w:rPr>
                <w:b/>
                <w:bCs/>
                <w:color w:val="FFFFFF"/>
                <w:szCs w:val="22"/>
              </w:rPr>
              <w:t>Modelové výsledky SC 1.2</w:t>
            </w:r>
          </w:p>
        </w:tc>
      </w:tr>
      <w:tr w:rsidR="00623752" w:rsidRPr="00623752" w:rsidTr="00623752">
        <w:trPr>
          <w:trHeight w:val="300"/>
        </w:trPr>
        <w:tc>
          <w:tcPr>
            <w:tcW w:w="3880" w:type="dxa"/>
            <w:tcBorders>
              <w:top w:val="nil"/>
              <w:left w:val="single" w:sz="4" w:space="0" w:color="5B9BD5"/>
              <w:bottom w:val="nil"/>
              <w:right w:val="nil"/>
            </w:tcBorders>
            <w:shd w:val="clear" w:color="auto" w:fill="auto"/>
            <w:noWrap/>
            <w:vAlign w:val="bottom"/>
          </w:tcPr>
          <w:p w:rsidR="00623752" w:rsidRPr="00623752" w:rsidRDefault="00623752" w:rsidP="00623752">
            <w:pPr>
              <w:overflowPunct/>
              <w:autoSpaceDE/>
              <w:autoSpaceDN/>
              <w:adjustRightInd/>
              <w:jc w:val="left"/>
              <w:textAlignment w:val="auto"/>
              <w:rPr>
                <w:color w:val="000000"/>
                <w:szCs w:val="22"/>
              </w:rPr>
            </w:pPr>
            <w:r w:rsidRPr="00623752">
              <w:rPr>
                <w:color w:val="000000"/>
                <w:szCs w:val="22"/>
              </w:rPr>
              <w:t>Alokace</w:t>
            </w:r>
            <w:r w:rsidR="00E84236">
              <w:rPr>
                <w:color w:val="000000"/>
                <w:szCs w:val="22"/>
              </w:rPr>
              <w:t xml:space="preserve"> (mil. Kč)</w:t>
            </w:r>
          </w:p>
        </w:tc>
        <w:tc>
          <w:tcPr>
            <w:tcW w:w="480" w:type="dxa"/>
            <w:tcBorders>
              <w:top w:val="nil"/>
              <w:left w:val="nil"/>
              <w:bottom w:val="nil"/>
              <w:right w:val="single" w:sz="4" w:space="0" w:color="5B9BD5"/>
            </w:tcBorders>
            <w:shd w:val="clear" w:color="auto" w:fill="auto"/>
            <w:noWrap/>
            <w:vAlign w:val="bottom"/>
          </w:tcPr>
          <w:p w:rsidR="00623752" w:rsidRPr="00623752" w:rsidRDefault="00623752" w:rsidP="00623752">
            <w:pPr>
              <w:overflowPunct/>
              <w:autoSpaceDE/>
              <w:autoSpaceDN/>
              <w:adjustRightInd/>
              <w:jc w:val="right"/>
              <w:textAlignment w:val="auto"/>
              <w:rPr>
                <w:color w:val="000000"/>
                <w:szCs w:val="22"/>
              </w:rPr>
            </w:pPr>
            <w:r w:rsidRPr="00623752">
              <w:rPr>
                <w:color w:val="000000"/>
                <w:szCs w:val="22"/>
              </w:rPr>
              <w:t>550</w:t>
            </w:r>
            <w:r w:rsidR="00E84236">
              <w:rPr>
                <w:color w:val="000000"/>
                <w:szCs w:val="22"/>
              </w:rPr>
              <w:t xml:space="preserve"> </w:t>
            </w:r>
          </w:p>
        </w:tc>
      </w:tr>
      <w:tr w:rsidR="00623752" w:rsidRPr="00623752" w:rsidTr="00623752">
        <w:trPr>
          <w:trHeight w:val="300"/>
        </w:trPr>
        <w:tc>
          <w:tcPr>
            <w:tcW w:w="3880" w:type="dxa"/>
            <w:tcBorders>
              <w:top w:val="single" w:sz="4" w:space="0" w:color="5B9BD5"/>
              <w:left w:val="single" w:sz="4" w:space="0" w:color="5B9BD5"/>
              <w:bottom w:val="nil"/>
              <w:right w:val="nil"/>
            </w:tcBorders>
            <w:shd w:val="clear" w:color="auto" w:fill="auto"/>
            <w:noWrap/>
            <w:vAlign w:val="bottom"/>
          </w:tcPr>
          <w:p w:rsidR="00623752" w:rsidRPr="00623752" w:rsidRDefault="00623752" w:rsidP="00623752">
            <w:pPr>
              <w:overflowPunct/>
              <w:autoSpaceDE/>
              <w:autoSpaceDN/>
              <w:adjustRightInd/>
              <w:jc w:val="left"/>
              <w:textAlignment w:val="auto"/>
              <w:rPr>
                <w:color w:val="000000"/>
                <w:szCs w:val="22"/>
              </w:rPr>
            </w:pPr>
            <w:r w:rsidRPr="00623752">
              <w:rPr>
                <w:color w:val="000000"/>
                <w:szCs w:val="22"/>
              </w:rPr>
              <w:t>Průměrné náklady na projekt</w:t>
            </w:r>
            <w:r w:rsidR="00E84236">
              <w:rPr>
                <w:color w:val="000000"/>
                <w:szCs w:val="22"/>
              </w:rPr>
              <w:t xml:space="preserve"> (mil. Kč)</w:t>
            </w:r>
          </w:p>
        </w:tc>
        <w:tc>
          <w:tcPr>
            <w:tcW w:w="480" w:type="dxa"/>
            <w:tcBorders>
              <w:top w:val="single" w:sz="4" w:space="0" w:color="5B9BD5"/>
              <w:left w:val="nil"/>
              <w:bottom w:val="nil"/>
              <w:right w:val="single" w:sz="4" w:space="0" w:color="5B9BD5"/>
            </w:tcBorders>
            <w:shd w:val="clear" w:color="auto" w:fill="auto"/>
            <w:noWrap/>
            <w:vAlign w:val="bottom"/>
          </w:tcPr>
          <w:p w:rsidR="00623752" w:rsidRPr="00623752" w:rsidRDefault="008F3FE9" w:rsidP="00623752">
            <w:pPr>
              <w:overflowPunct/>
              <w:autoSpaceDE/>
              <w:autoSpaceDN/>
              <w:adjustRightInd/>
              <w:jc w:val="right"/>
              <w:textAlignment w:val="auto"/>
              <w:rPr>
                <w:color w:val="000000"/>
                <w:szCs w:val="22"/>
              </w:rPr>
            </w:pPr>
            <w:r>
              <w:rPr>
                <w:color w:val="000000"/>
                <w:szCs w:val="22"/>
              </w:rPr>
              <w:t>25</w:t>
            </w:r>
          </w:p>
        </w:tc>
      </w:tr>
      <w:tr w:rsidR="00623752" w:rsidRPr="00623752" w:rsidTr="00623752">
        <w:trPr>
          <w:trHeight w:val="300"/>
        </w:trPr>
        <w:tc>
          <w:tcPr>
            <w:tcW w:w="3880" w:type="dxa"/>
            <w:tcBorders>
              <w:top w:val="single" w:sz="4" w:space="0" w:color="5B9BD5"/>
              <w:left w:val="single" w:sz="4" w:space="0" w:color="5B9BD5"/>
              <w:bottom w:val="single" w:sz="4" w:space="0" w:color="5B9BD5"/>
              <w:right w:val="nil"/>
            </w:tcBorders>
            <w:shd w:val="clear" w:color="auto" w:fill="auto"/>
            <w:noWrap/>
            <w:vAlign w:val="bottom"/>
          </w:tcPr>
          <w:p w:rsidR="00623752" w:rsidRPr="00623752" w:rsidRDefault="00623752" w:rsidP="00623752">
            <w:pPr>
              <w:overflowPunct/>
              <w:autoSpaceDE/>
              <w:autoSpaceDN/>
              <w:adjustRightInd/>
              <w:jc w:val="left"/>
              <w:textAlignment w:val="auto"/>
              <w:rPr>
                <w:color w:val="000000"/>
                <w:szCs w:val="22"/>
              </w:rPr>
            </w:pPr>
            <w:r w:rsidRPr="00623752">
              <w:rPr>
                <w:color w:val="000000"/>
                <w:szCs w:val="22"/>
              </w:rPr>
              <w:t>Očekávaný počet projektů</w:t>
            </w:r>
          </w:p>
        </w:tc>
        <w:tc>
          <w:tcPr>
            <w:tcW w:w="480" w:type="dxa"/>
            <w:tcBorders>
              <w:top w:val="single" w:sz="4" w:space="0" w:color="5B9BD5"/>
              <w:left w:val="nil"/>
              <w:bottom w:val="single" w:sz="4" w:space="0" w:color="5B9BD5"/>
              <w:right w:val="single" w:sz="4" w:space="0" w:color="5B9BD5"/>
            </w:tcBorders>
            <w:shd w:val="clear" w:color="auto" w:fill="auto"/>
            <w:noWrap/>
            <w:vAlign w:val="bottom"/>
          </w:tcPr>
          <w:p w:rsidR="00623752" w:rsidRPr="00623752" w:rsidRDefault="008F3FE9" w:rsidP="00623752">
            <w:pPr>
              <w:overflowPunct/>
              <w:autoSpaceDE/>
              <w:autoSpaceDN/>
              <w:adjustRightInd/>
              <w:jc w:val="right"/>
              <w:textAlignment w:val="auto"/>
              <w:rPr>
                <w:color w:val="000000"/>
                <w:szCs w:val="22"/>
              </w:rPr>
            </w:pPr>
            <w:r>
              <w:rPr>
                <w:color w:val="000000"/>
                <w:szCs w:val="22"/>
              </w:rPr>
              <w:t>22</w:t>
            </w:r>
          </w:p>
        </w:tc>
      </w:tr>
    </w:tbl>
    <w:p w:rsidR="00623752" w:rsidRPr="002C224A" w:rsidRDefault="00623752" w:rsidP="007D6F55">
      <w:pPr>
        <w:rPr>
          <w:b/>
        </w:rPr>
      </w:pPr>
    </w:p>
    <w:p w:rsidR="00907F3F" w:rsidRPr="002C224A" w:rsidRDefault="006D67F1" w:rsidP="00907F3F">
      <w:r w:rsidRPr="002C224A">
        <w:t>Vzhledem k charakteru projektů a vysokému riziku nelze očekávat ziskový charakter fondu z hlediska vložených prostředků FN v krátkém období. Revolving proto bude v rámci programovacího</w:t>
      </w:r>
      <w:r w:rsidR="006E2FB1">
        <w:t xml:space="preserve"> období</w:t>
      </w:r>
      <w:r w:rsidRPr="002C224A">
        <w:t xml:space="preserve"> </w:t>
      </w:r>
      <w:r w:rsidR="00907F3F" w:rsidRPr="002C224A">
        <w:t>velmi</w:t>
      </w:r>
      <w:r w:rsidRPr="002C224A">
        <w:t xml:space="preserve"> omezený</w:t>
      </w:r>
      <w:r w:rsidR="006E2FB1">
        <w:t>, i vzhledem k očekávanému pozdějšímu spuštění FN</w:t>
      </w:r>
      <w:r w:rsidRPr="002C224A">
        <w:t>.</w:t>
      </w:r>
      <w:r w:rsidR="00ED5FEB" w:rsidRPr="002C224A">
        <w:t xml:space="preserve"> </w:t>
      </w:r>
      <w:r w:rsidR="00907F3F" w:rsidRPr="002C224A">
        <w:t>Výraznou roli v úspěšnosti nástroje bude hrát i implementace nástroje rizikového kapitálu v SC 2.1.</w:t>
      </w:r>
    </w:p>
    <w:p w:rsidR="006D67F1" w:rsidRPr="002C224A" w:rsidRDefault="006D67F1" w:rsidP="00CF3767"/>
    <w:p w:rsidR="006D67F1" w:rsidRPr="002C224A" w:rsidRDefault="006D67F1" w:rsidP="00CF3767">
      <w:r w:rsidRPr="002C224A">
        <w:t xml:space="preserve">Očekávanými výsledky využití kapitálového nástroje v programu Proof-of-concept </w:t>
      </w:r>
      <w:r w:rsidR="006E2FB1">
        <w:t>jsou</w:t>
      </w:r>
      <w:r w:rsidR="006E2FB1" w:rsidRPr="002C224A">
        <w:t xml:space="preserve"> </w:t>
      </w:r>
      <w:r w:rsidRPr="002C224A">
        <w:t xml:space="preserve">krom přímých kvantifikovaných ukazatelů především zlepšení prostředí na veřejných výzkumných organizacích vůči komercializačním aktivitám. Nástroj má přispět ke větší motivaci VaV pracovišť ke zhodnocování svých </w:t>
      </w:r>
      <w:r w:rsidRPr="002C224A">
        <w:lastRenderedPageBreak/>
        <w:t>výsledků a podpořit profesionalizaci v této oblasti. Výzkumné organizace by z něj měly v delším horizontu profitovat nejen finančně formou navázání spolupráce se soukromými investory, zvýšením smluvního výzkumu navázaného na odprodané know-how i prestiží v případě úspěchu některého z projektů.</w:t>
      </w:r>
    </w:p>
    <w:p w:rsidR="006D67F1" w:rsidRPr="002C224A" w:rsidRDefault="006D67F1" w:rsidP="00F87888"/>
    <w:p w:rsidR="006D67F1" w:rsidRPr="002C224A" w:rsidRDefault="006D67F1" w:rsidP="00F87888">
      <w:pPr>
        <w:pStyle w:val="Nadpis4"/>
        <w:rPr>
          <w:rFonts w:ascii="Calibri" w:hAnsi="Calibri"/>
        </w:rPr>
      </w:pPr>
      <w:r w:rsidRPr="002C224A">
        <w:rPr>
          <w:rFonts w:ascii="Calibri" w:hAnsi="Calibri"/>
        </w:rPr>
        <w:t xml:space="preserve">Očekávané výsledky </w:t>
      </w:r>
    </w:p>
    <w:p w:rsidR="00914B58" w:rsidRPr="00A50943" w:rsidRDefault="00914B58" w:rsidP="00165CE4">
      <w:pPr>
        <w:pStyle w:val="Odstavecseseznamem2"/>
        <w:overflowPunct w:val="0"/>
        <w:autoSpaceDE w:val="0"/>
        <w:autoSpaceDN w:val="0"/>
        <w:adjustRightInd w:val="0"/>
        <w:spacing w:after="160"/>
        <w:ind w:left="0"/>
        <w:jc w:val="both"/>
        <w:textAlignment w:val="baseline"/>
      </w:pPr>
    </w:p>
    <w:p w:rsidR="00C72F85" w:rsidRPr="00360BA1" w:rsidRDefault="00C72F85" w:rsidP="00C72F85">
      <w:pPr>
        <w:pStyle w:val="Odstavecseseznamem2"/>
        <w:overflowPunct w:val="0"/>
        <w:autoSpaceDE w:val="0"/>
        <w:autoSpaceDN w:val="0"/>
        <w:adjustRightInd w:val="0"/>
        <w:spacing w:after="160"/>
        <w:ind w:left="0"/>
        <w:jc w:val="both"/>
        <w:textAlignment w:val="baseline"/>
      </w:pPr>
      <w:r>
        <w:t>Následující tabulka udává hlavní indikátory cílů SC 1.</w:t>
      </w:r>
      <w:r w:rsidR="003C7D84">
        <w:t>2</w:t>
      </w:r>
      <w:r>
        <w:t xml:space="preserve"> definované v operačním programu.</w:t>
      </w:r>
    </w:p>
    <w:p w:rsidR="00C72F85" w:rsidRDefault="00C72F85" w:rsidP="00C72F85">
      <w:pPr>
        <w:pStyle w:val="Titulek"/>
        <w:keepNext/>
      </w:pPr>
      <w:r>
        <w:t>Tabulka</w:t>
      </w:r>
      <w:r w:rsidR="004A4860">
        <w:rPr>
          <w:noProof/>
        </w:rPr>
        <w:t xml:space="preserve"> 102</w:t>
      </w:r>
      <w:r>
        <w:t>: Ukazatele výsledků SC 1.</w:t>
      </w:r>
      <w:r w:rsidR="00713664">
        <w:t>2</w:t>
      </w:r>
    </w:p>
    <w:tbl>
      <w:tblPr>
        <w:tblW w:w="9186" w:type="dxa"/>
        <w:tblCellMar>
          <w:left w:w="57" w:type="dxa"/>
          <w:right w:w="57" w:type="dxa"/>
        </w:tblCellMar>
        <w:tblLook w:val="01E0" w:firstRow="1" w:lastRow="1" w:firstColumn="1" w:lastColumn="1" w:noHBand="0" w:noVBand="0"/>
      </w:tblPr>
      <w:tblGrid>
        <w:gridCol w:w="2170"/>
        <w:gridCol w:w="1033"/>
        <w:gridCol w:w="1200"/>
        <w:gridCol w:w="1104"/>
        <w:gridCol w:w="819"/>
        <w:gridCol w:w="890"/>
        <w:gridCol w:w="1008"/>
        <w:gridCol w:w="962"/>
      </w:tblGrid>
      <w:tr w:rsidR="00C72F85" w:rsidRPr="00360BA1" w:rsidTr="00B86390">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sidRPr="00360BA1">
              <w:rPr>
                <w:rFonts w:ascii="Calibri" w:hAnsi="Calibri" w:cs="Calibri"/>
                <w:b/>
              </w:rPr>
              <w:t>Ukazatel</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sidRPr="00360BA1">
              <w:rPr>
                <w:rFonts w:ascii="Calibri" w:hAnsi="Calibri" w:cs="Calibri"/>
                <w:b/>
              </w:rPr>
              <w:t>Měrná jednotka</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sidRPr="00360BA1">
              <w:rPr>
                <w:rFonts w:ascii="Calibri" w:hAnsi="Calibri" w:cs="Calibri"/>
                <w:b/>
              </w:rPr>
              <w:t>Kategorie regionu</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sidRPr="00360BA1">
              <w:rPr>
                <w:rFonts w:ascii="Calibri" w:hAnsi="Calibri" w:cs="Calibri"/>
                <w:b/>
              </w:rPr>
              <w:t>Cílová hodnota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Pr="00360BA1" w:rsidRDefault="00C72F85" w:rsidP="00B86390">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72F85" w:rsidRDefault="00C72F85" w:rsidP="00B86390">
            <w:pPr>
              <w:pStyle w:val="Tabulka"/>
              <w:keepNext/>
              <w:keepLines/>
              <w:rPr>
                <w:rFonts w:ascii="Calibri" w:hAnsi="Calibri" w:cs="Calibri"/>
                <w:b/>
              </w:rPr>
            </w:pPr>
            <w:r>
              <w:rPr>
                <w:rFonts w:ascii="Calibri" w:hAnsi="Calibri" w:cs="Calibri"/>
                <w:b/>
              </w:rPr>
              <w:t>Četnost podávání zpráv</w:t>
            </w:r>
          </w:p>
        </w:tc>
      </w:tr>
      <w:tr w:rsidR="00C72F85" w:rsidRPr="00360BA1" w:rsidTr="00B86390">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AA6FED" w:rsidRPr="00AA6FED" w:rsidRDefault="00AA6FED" w:rsidP="00AA6FED">
            <w:pPr>
              <w:pStyle w:val="Tabulka"/>
              <w:rPr>
                <w:rFonts w:ascii="Calibri" w:hAnsi="Calibri" w:cs="Calibri"/>
              </w:rPr>
            </w:pPr>
            <w:r w:rsidRPr="00AA6FED">
              <w:rPr>
                <w:rFonts w:ascii="Calibri" w:hAnsi="Calibri" w:cs="Calibri"/>
              </w:rPr>
              <w:t>Výdaje</w:t>
            </w:r>
            <w:r>
              <w:rPr>
                <w:rFonts w:ascii="Calibri" w:hAnsi="Calibri" w:cs="Calibri"/>
              </w:rPr>
              <w:t xml:space="preserve"> </w:t>
            </w:r>
            <w:r w:rsidRPr="00AA6FED">
              <w:rPr>
                <w:rFonts w:ascii="Calibri" w:hAnsi="Calibri" w:cs="Calibri"/>
              </w:rPr>
              <w:t>podnikatelského</w:t>
            </w:r>
            <w:r>
              <w:rPr>
                <w:rFonts w:ascii="Calibri" w:hAnsi="Calibri" w:cs="Calibri"/>
              </w:rPr>
              <w:t xml:space="preserve"> </w:t>
            </w:r>
            <w:r w:rsidRPr="00AA6FED">
              <w:rPr>
                <w:rFonts w:ascii="Calibri" w:hAnsi="Calibri" w:cs="Calibri"/>
              </w:rPr>
              <w:t>sektoru na</w:t>
            </w:r>
            <w:r>
              <w:rPr>
                <w:rFonts w:ascii="Calibri" w:hAnsi="Calibri" w:cs="Calibri"/>
              </w:rPr>
              <w:t xml:space="preserve"> </w:t>
            </w:r>
            <w:r w:rsidRPr="00AA6FED">
              <w:rPr>
                <w:rFonts w:ascii="Calibri" w:hAnsi="Calibri" w:cs="Calibri"/>
              </w:rPr>
              <w:t>provádění VaV ve</w:t>
            </w:r>
            <w:r>
              <w:rPr>
                <w:rFonts w:ascii="Calibri" w:hAnsi="Calibri" w:cs="Calibri"/>
              </w:rPr>
              <w:t xml:space="preserve"> </w:t>
            </w:r>
            <w:r w:rsidRPr="00AA6FED">
              <w:rPr>
                <w:rFonts w:ascii="Calibri" w:hAnsi="Calibri" w:cs="Calibri"/>
              </w:rPr>
              <w:t>vládním a</w:t>
            </w:r>
          </w:p>
          <w:p w:rsidR="00AA6FED" w:rsidRPr="00AA6FED" w:rsidRDefault="00AA6FED" w:rsidP="00AA6FED">
            <w:pPr>
              <w:pStyle w:val="Tabulka"/>
              <w:rPr>
                <w:rFonts w:ascii="Calibri" w:hAnsi="Calibri" w:cs="Calibri"/>
              </w:rPr>
            </w:pPr>
            <w:r w:rsidRPr="00AA6FED">
              <w:rPr>
                <w:rFonts w:ascii="Calibri" w:hAnsi="Calibri" w:cs="Calibri"/>
              </w:rPr>
              <w:t>Vysokoškolském</w:t>
            </w:r>
            <w:r>
              <w:rPr>
                <w:rFonts w:ascii="Calibri" w:hAnsi="Calibri" w:cs="Calibri"/>
              </w:rPr>
              <w:t xml:space="preserve"> </w:t>
            </w:r>
            <w:r w:rsidRPr="00AA6FED">
              <w:rPr>
                <w:rFonts w:ascii="Calibri" w:hAnsi="Calibri" w:cs="Calibri"/>
              </w:rPr>
              <w:t>sektoru jako %</w:t>
            </w:r>
            <w:r>
              <w:rPr>
                <w:rFonts w:ascii="Calibri" w:hAnsi="Calibri" w:cs="Calibri"/>
              </w:rPr>
              <w:t xml:space="preserve"> </w:t>
            </w:r>
          </w:p>
          <w:p w:rsidR="00C72F85" w:rsidRPr="00360BA1" w:rsidRDefault="00AA6FED" w:rsidP="00A50943">
            <w:pPr>
              <w:pStyle w:val="Tabulka"/>
              <w:rPr>
                <w:rFonts w:ascii="Calibri" w:hAnsi="Calibri" w:cs="Calibri"/>
              </w:rPr>
            </w:pPr>
            <w:r w:rsidRPr="00AA6FED">
              <w:rPr>
                <w:rFonts w:ascii="Calibri" w:hAnsi="Calibri" w:cs="Calibri"/>
              </w:rPr>
              <w:t>celkových výdajů na</w:t>
            </w:r>
            <w:r>
              <w:rPr>
                <w:rFonts w:ascii="Calibri" w:hAnsi="Calibri" w:cs="Calibri"/>
              </w:rPr>
              <w:t xml:space="preserve"> </w:t>
            </w:r>
            <w:r w:rsidRPr="00AA6FED">
              <w:rPr>
                <w:rFonts w:ascii="Calibri" w:hAnsi="Calibri" w:cs="Calibri"/>
              </w:rPr>
              <w:t>provádění VaV v</w:t>
            </w:r>
            <w:r>
              <w:rPr>
                <w:rFonts w:ascii="Calibri" w:hAnsi="Calibri" w:cs="Calibri"/>
              </w:rPr>
              <w:t xml:space="preserve"> </w:t>
            </w:r>
            <w:r w:rsidRPr="00AA6FED">
              <w:rPr>
                <w:rFonts w:ascii="Calibri" w:hAnsi="Calibri" w:cs="Calibri"/>
              </w:rPr>
              <w:t>těchto sektorech</w:t>
            </w:r>
          </w:p>
        </w:tc>
        <w:tc>
          <w:tcPr>
            <w:tcW w:w="1033" w:type="dxa"/>
            <w:tcBorders>
              <w:top w:val="single" w:sz="4" w:space="0" w:color="000000"/>
              <w:left w:val="single" w:sz="4" w:space="0" w:color="000000"/>
              <w:bottom w:val="single" w:sz="4" w:space="0" w:color="000000"/>
              <w:right w:val="single" w:sz="4" w:space="0" w:color="000000"/>
            </w:tcBorders>
            <w:vAlign w:val="center"/>
          </w:tcPr>
          <w:p w:rsidR="00C72F85" w:rsidRPr="00360BA1" w:rsidRDefault="00C72F85" w:rsidP="00B86390">
            <w:pPr>
              <w:pStyle w:val="Tabulka"/>
              <w:rPr>
                <w:rFonts w:ascii="Calibri" w:hAnsi="Calibri" w:cs="Calibri"/>
              </w:rPr>
            </w:pPr>
            <w:r w:rsidRPr="00A52D1B">
              <w:rPr>
                <w:rFonts w:ascii="Calibri" w:hAnsi="Calibri" w:cs="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rsidR="00C72F85" w:rsidRPr="00360BA1" w:rsidRDefault="00C72F85" w:rsidP="00B86390">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C72F85" w:rsidRPr="00360BA1" w:rsidRDefault="00AA6FED" w:rsidP="00B86390">
            <w:pPr>
              <w:pStyle w:val="Tabulka"/>
              <w:rPr>
                <w:rFonts w:ascii="Calibri" w:hAnsi="Calibri" w:cs="Calibri"/>
              </w:rPr>
            </w:pPr>
            <w:r>
              <w:rPr>
                <w:rFonts w:ascii="Calibri" w:hAnsi="Calibri" w:cs="Calibri"/>
              </w:rPr>
              <w:t>5,6</w:t>
            </w:r>
          </w:p>
        </w:tc>
        <w:tc>
          <w:tcPr>
            <w:tcW w:w="819" w:type="dxa"/>
            <w:tcBorders>
              <w:top w:val="single" w:sz="4" w:space="0" w:color="000000"/>
              <w:left w:val="single" w:sz="4" w:space="0" w:color="000000"/>
              <w:bottom w:val="single" w:sz="4" w:space="0" w:color="000000"/>
              <w:right w:val="single" w:sz="4" w:space="0" w:color="000000"/>
            </w:tcBorders>
            <w:vAlign w:val="center"/>
          </w:tcPr>
          <w:p w:rsidR="00C72F85" w:rsidRPr="00360BA1" w:rsidRDefault="00C72F85" w:rsidP="00B86390">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C72F85" w:rsidRPr="00360BA1" w:rsidRDefault="00AA6FED" w:rsidP="00B86390">
            <w:pPr>
              <w:pStyle w:val="Tabulka"/>
              <w:rPr>
                <w:rFonts w:ascii="Calibri" w:hAnsi="Calibri" w:cs="Calibri"/>
              </w:rPr>
            </w:pPr>
            <w:r>
              <w:rPr>
                <w:rFonts w:ascii="Calibri" w:hAnsi="Calibri" w:cs="Calibri"/>
              </w:rPr>
              <w:t>6,5-7,5</w:t>
            </w:r>
          </w:p>
        </w:tc>
        <w:tc>
          <w:tcPr>
            <w:tcW w:w="1008" w:type="dxa"/>
            <w:tcBorders>
              <w:top w:val="single" w:sz="4" w:space="0" w:color="000000"/>
              <w:left w:val="single" w:sz="4" w:space="0" w:color="000000"/>
              <w:bottom w:val="single" w:sz="4" w:space="0" w:color="000000"/>
              <w:right w:val="single" w:sz="4" w:space="0" w:color="000000"/>
            </w:tcBorders>
            <w:vAlign w:val="center"/>
          </w:tcPr>
          <w:p w:rsidR="00C72F85" w:rsidRPr="00A52D1B" w:rsidRDefault="00C72F85" w:rsidP="00B86390">
            <w:pPr>
              <w:pStyle w:val="Tabulka"/>
              <w:rPr>
                <w:rFonts w:ascii="Calibri" w:hAnsi="Calibri" w:cs="Calibri"/>
              </w:rPr>
            </w:pPr>
            <w:r w:rsidRPr="00A52D1B">
              <w:rPr>
                <w:rFonts w:ascii="Calibri" w:hAnsi="Calibri" w:cs="Calibri"/>
              </w:rPr>
              <w:t>ŘO na</w:t>
            </w:r>
          </w:p>
          <w:p w:rsidR="00C72F85" w:rsidRPr="00A52D1B" w:rsidRDefault="00C72F85" w:rsidP="00B86390">
            <w:pPr>
              <w:pStyle w:val="Tabulka"/>
              <w:rPr>
                <w:rFonts w:ascii="Calibri" w:hAnsi="Calibri" w:cs="Calibri"/>
              </w:rPr>
            </w:pPr>
            <w:r w:rsidRPr="00A52D1B">
              <w:rPr>
                <w:rFonts w:ascii="Calibri" w:hAnsi="Calibri" w:cs="Calibri"/>
              </w:rPr>
              <w:t>základě</w:t>
            </w:r>
          </w:p>
          <w:p w:rsidR="00C72F85" w:rsidRPr="00360BA1" w:rsidRDefault="00C72F85" w:rsidP="00B86390">
            <w:pPr>
              <w:pStyle w:val="Tabulka"/>
              <w:rPr>
                <w:rFonts w:ascii="Calibri" w:hAnsi="Calibri" w:cs="Calibri"/>
              </w:rPr>
            </w:pPr>
            <w:r w:rsidRPr="00A52D1B">
              <w:rPr>
                <w:rFonts w:ascii="Calibri" w:hAnsi="Calibri" w:cs="Calibri"/>
              </w:rPr>
              <w:t>dat ČSÚ</w:t>
            </w:r>
          </w:p>
        </w:tc>
        <w:tc>
          <w:tcPr>
            <w:tcW w:w="962" w:type="dxa"/>
            <w:tcBorders>
              <w:top w:val="single" w:sz="4" w:space="0" w:color="000000"/>
              <w:left w:val="single" w:sz="4" w:space="0" w:color="000000"/>
              <w:bottom w:val="single" w:sz="4" w:space="0" w:color="000000"/>
              <w:right w:val="single" w:sz="4" w:space="0" w:color="000000"/>
            </w:tcBorders>
            <w:vAlign w:val="center"/>
          </w:tcPr>
          <w:p w:rsidR="00C72F85" w:rsidRPr="00A52D1B" w:rsidRDefault="00C72F85" w:rsidP="00B86390">
            <w:pPr>
              <w:pStyle w:val="Tabulka"/>
              <w:rPr>
                <w:rFonts w:ascii="Calibri" w:hAnsi="Calibri" w:cs="Calibri"/>
              </w:rPr>
            </w:pPr>
            <w:r>
              <w:rPr>
                <w:rFonts w:ascii="Calibri" w:hAnsi="Calibri" w:cs="Calibri"/>
              </w:rPr>
              <w:t>ročně</w:t>
            </w:r>
          </w:p>
        </w:tc>
      </w:tr>
    </w:tbl>
    <w:p w:rsidR="00C72F85" w:rsidRDefault="00C72F85" w:rsidP="00C72F85">
      <w:pPr>
        <w:pStyle w:val="Odstavecseseznamem2"/>
        <w:overflowPunct w:val="0"/>
        <w:autoSpaceDE w:val="0"/>
        <w:autoSpaceDN w:val="0"/>
        <w:adjustRightInd w:val="0"/>
        <w:spacing w:after="160"/>
        <w:ind w:left="0"/>
        <w:jc w:val="both"/>
        <w:textAlignment w:val="baseline"/>
      </w:pPr>
    </w:p>
    <w:p w:rsidR="00C72F85" w:rsidRDefault="00C72F85" w:rsidP="00C72F85">
      <w:pPr>
        <w:pStyle w:val="Odstavecseseznamem2"/>
        <w:overflowPunct w:val="0"/>
        <w:autoSpaceDE w:val="0"/>
        <w:autoSpaceDN w:val="0"/>
        <w:adjustRightInd w:val="0"/>
        <w:spacing w:after="160"/>
        <w:ind w:left="0"/>
        <w:jc w:val="both"/>
        <w:textAlignment w:val="baseline"/>
      </w:pPr>
      <w:r>
        <w:t>Finanční nástroje by se měly na naplnění těchto cílových hodnot podílet skrze dosažení cílových hodnot následujících ukazatelů, jejichž rámcová kvantifikace byla provedena na základě výše uvedených modelových scénářů.</w:t>
      </w:r>
    </w:p>
    <w:p w:rsidR="00E70FB3" w:rsidRDefault="00E70FB3" w:rsidP="002C224A">
      <w:pPr>
        <w:pStyle w:val="Titulek"/>
        <w:keepNext/>
      </w:pPr>
      <w:r>
        <w:t>Tabulka</w:t>
      </w:r>
      <w:r w:rsidR="004A4860">
        <w:t xml:space="preserve"> 103:</w:t>
      </w:r>
      <w:r>
        <w:t xml:space="preserve"> Cílové hodnoty FN</w:t>
      </w:r>
    </w:p>
    <w:tbl>
      <w:tblPr>
        <w:tblW w:w="0" w:type="auto"/>
        <w:tblCellMar>
          <w:left w:w="57" w:type="dxa"/>
          <w:right w:w="57" w:type="dxa"/>
        </w:tblCellMar>
        <w:tblLook w:val="01E0" w:firstRow="1" w:lastRow="1" w:firstColumn="1" w:lastColumn="1" w:noHBand="0" w:noVBand="0"/>
      </w:tblPr>
      <w:tblGrid>
        <w:gridCol w:w="4106"/>
        <w:gridCol w:w="1463"/>
        <w:gridCol w:w="2022"/>
        <w:gridCol w:w="1471"/>
      </w:tblGrid>
      <w:tr w:rsidR="00087FB4" w:rsidRPr="002C224A" w:rsidTr="005B4E91">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87FB4" w:rsidRPr="002C224A" w:rsidRDefault="00087FB4" w:rsidP="005B4E91">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87FB4" w:rsidRPr="002C224A" w:rsidRDefault="00087FB4" w:rsidP="005B4E91">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87FB4" w:rsidRPr="002C224A" w:rsidRDefault="00087FB4" w:rsidP="005B4E91">
            <w:pPr>
              <w:pStyle w:val="Tabulka"/>
              <w:keepNext/>
              <w:keepLines/>
              <w:rPr>
                <w:rFonts w:ascii="Calibri" w:hAnsi="Calibri" w:cs="Calibri"/>
                <w:b/>
              </w:rPr>
            </w:pPr>
            <w:r w:rsidRPr="002C224A">
              <w:rPr>
                <w:rFonts w:ascii="Calibri" w:hAnsi="Calibri"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087FB4" w:rsidRPr="002C224A" w:rsidRDefault="00087FB4" w:rsidP="005B4E91">
            <w:pPr>
              <w:pStyle w:val="Tabulka"/>
              <w:keepNext/>
              <w:keepLines/>
              <w:rPr>
                <w:rFonts w:ascii="Calibri" w:hAnsi="Calibri" w:cs="Calibri"/>
                <w:b/>
              </w:rPr>
            </w:pPr>
            <w:r w:rsidRPr="002C224A">
              <w:rPr>
                <w:rFonts w:ascii="Calibri" w:hAnsi="Calibri" w:cs="Calibri"/>
                <w:b/>
              </w:rPr>
              <w:t>Cílová hodnota (2023)</w:t>
            </w:r>
          </w:p>
        </w:tc>
      </w:tr>
      <w:tr w:rsidR="00087FB4"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087FB4" w:rsidRPr="002C224A" w:rsidRDefault="009D2545" w:rsidP="002C224A">
            <w:pPr>
              <w:pStyle w:val="Odstavecseseznamem2"/>
              <w:overflowPunct w:val="0"/>
              <w:autoSpaceDE w:val="0"/>
              <w:autoSpaceDN w:val="0"/>
              <w:adjustRightInd w:val="0"/>
              <w:spacing w:after="160"/>
              <w:ind w:left="0"/>
              <w:jc w:val="both"/>
              <w:textAlignment w:val="baseline"/>
            </w:pPr>
            <w:r w:rsidRPr="00360BA1">
              <w:rPr>
                <w:rFonts w:cs="Times New Roman"/>
                <w:szCs w:val="20"/>
                <w:lang w:eastAsia="cs-CZ"/>
              </w:rPr>
              <w:t>Počet ověřených aktivit/konceptů Proof of concept</w:t>
            </w:r>
          </w:p>
        </w:tc>
        <w:tc>
          <w:tcPr>
            <w:tcW w:w="0" w:type="auto"/>
            <w:tcBorders>
              <w:top w:val="single" w:sz="4" w:space="0" w:color="000000"/>
              <w:left w:val="single" w:sz="4" w:space="0" w:color="000000"/>
              <w:bottom w:val="single" w:sz="4" w:space="0" w:color="000000"/>
              <w:right w:val="single" w:sz="4" w:space="0" w:color="000000"/>
            </w:tcBorders>
            <w:vAlign w:val="center"/>
          </w:tcPr>
          <w:p w:rsidR="00087FB4" w:rsidRPr="002C224A" w:rsidRDefault="00764247" w:rsidP="005B4E91">
            <w:pPr>
              <w:pStyle w:val="Tabulka"/>
              <w:rPr>
                <w:rFonts w:ascii="Calibri" w:hAnsi="Calibri" w:cs="Calibri"/>
              </w:rPr>
            </w:pPr>
            <w:r w:rsidRPr="002C224A">
              <w:rPr>
                <w:rFonts w:ascii="Calibri" w:hAnsi="Calibri" w:cs="Calibri"/>
              </w:rPr>
              <w:t>Projekty</w:t>
            </w:r>
          </w:p>
        </w:tc>
        <w:tc>
          <w:tcPr>
            <w:tcW w:w="0" w:type="auto"/>
            <w:tcBorders>
              <w:top w:val="single" w:sz="4" w:space="0" w:color="000000"/>
              <w:left w:val="single" w:sz="4" w:space="0" w:color="000000"/>
              <w:bottom w:val="single" w:sz="4" w:space="0" w:color="000000"/>
              <w:right w:val="single" w:sz="4" w:space="0" w:color="000000"/>
            </w:tcBorders>
            <w:vAlign w:val="center"/>
          </w:tcPr>
          <w:p w:rsidR="00087FB4" w:rsidRPr="002C224A" w:rsidRDefault="00087FB4" w:rsidP="005B4E91">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87FB4" w:rsidRPr="002C224A" w:rsidRDefault="008F3FE9" w:rsidP="000F1064">
            <w:pPr>
              <w:pStyle w:val="Tabulka"/>
              <w:rPr>
                <w:rFonts w:ascii="Calibri" w:hAnsi="Calibri" w:cs="Calibri"/>
              </w:rPr>
            </w:pPr>
            <w:r>
              <w:rPr>
                <w:rFonts w:ascii="Calibri" w:hAnsi="Calibri" w:cs="Calibri"/>
              </w:rPr>
              <w:t>20</w:t>
            </w:r>
            <w:r w:rsidR="005E40A4" w:rsidRPr="002C224A">
              <w:rPr>
                <w:rFonts w:ascii="Calibri" w:hAnsi="Calibri" w:cs="Calibri"/>
              </w:rPr>
              <w:t>-</w:t>
            </w:r>
            <w:r>
              <w:rPr>
                <w:rFonts w:ascii="Calibri" w:hAnsi="Calibri" w:cs="Calibri"/>
              </w:rPr>
              <w:t>2</w:t>
            </w:r>
            <w:r w:rsidR="005E40A4" w:rsidRPr="002C224A">
              <w:rPr>
                <w:rFonts w:ascii="Calibri" w:hAnsi="Calibri" w:cs="Calibri"/>
              </w:rPr>
              <w:t>5</w:t>
            </w:r>
          </w:p>
        </w:tc>
      </w:tr>
    </w:tbl>
    <w:p w:rsidR="00A31243" w:rsidRPr="002C224A" w:rsidRDefault="00A31243" w:rsidP="00DA2862">
      <w:pPr>
        <w:pStyle w:val="Odstavecseseznamem2"/>
        <w:overflowPunct w:val="0"/>
        <w:autoSpaceDE w:val="0"/>
        <w:autoSpaceDN w:val="0"/>
        <w:adjustRightInd w:val="0"/>
        <w:spacing w:after="160"/>
        <w:ind w:left="0"/>
        <w:jc w:val="both"/>
        <w:textAlignment w:val="baseline"/>
      </w:pPr>
    </w:p>
    <w:p w:rsidR="00165CE4" w:rsidRPr="002C224A" w:rsidRDefault="00165CE4" w:rsidP="00165CE4">
      <w:pPr>
        <w:pStyle w:val="Odstavecseseznamem2"/>
        <w:overflowPunct w:val="0"/>
        <w:autoSpaceDE w:val="0"/>
        <w:autoSpaceDN w:val="0"/>
        <w:adjustRightInd w:val="0"/>
        <w:spacing w:after="160"/>
        <w:ind w:left="0"/>
        <w:jc w:val="both"/>
        <w:textAlignment w:val="baseline"/>
      </w:pPr>
      <w:r w:rsidRPr="002C224A">
        <w:t>Následující indikátory budou sledovány za účelem monitorování příspěvku finančního nástroje k cílům OP (s hvězdičkou jsou uvedeny indikátory, které budou sledovány rovněž na úrovni projektů konečných příjemců) na základě Národního číselníku indikátorů MMR:</w:t>
      </w:r>
    </w:p>
    <w:p w:rsidR="00DA2862" w:rsidRPr="002C224A" w:rsidRDefault="00DA2862" w:rsidP="00DA2862">
      <w:pPr>
        <w:pStyle w:val="Odstavecseseznamem2"/>
        <w:overflowPunct w:val="0"/>
        <w:autoSpaceDE w:val="0"/>
        <w:autoSpaceDN w:val="0"/>
        <w:adjustRightInd w:val="0"/>
        <w:spacing w:after="160"/>
        <w:ind w:left="0"/>
        <w:jc w:val="both"/>
        <w:textAlignment w:val="baseline"/>
      </w:pPr>
    </w:p>
    <w:p w:rsidR="00AA6FED" w:rsidRPr="00AA6FED" w:rsidRDefault="00AA6FED" w:rsidP="002C224A">
      <w:pPr>
        <w:pStyle w:val="Odstavecseseznamem2"/>
        <w:numPr>
          <w:ilvl w:val="0"/>
          <w:numId w:val="85"/>
        </w:numPr>
        <w:spacing w:after="160"/>
        <w:rPr>
          <w:rFonts w:cs="Times New Roman"/>
          <w:szCs w:val="20"/>
          <w:lang w:eastAsia="cs-CZ"/>
        </w:rPr>
      </w:pPr>
      <w:r w:rsidRPr="00AA6FED">
        <w:rPr>
          <w:rFonts w:cs="Times New Roman"/>
          <w:szCs w:val="20"/>
          <w:lang w:eastAsia="cs-CZ"/>
        </w:rPr>
        <w:t>20000 Počet podniků spolupracujících s výzkumnými institucemi</w:t>
      </w:r>
      <w:r>
        <w:rPr>
          <w:rFonts w:cs="Times New Roman"/>
          <w:szCs w:val="20"/>
          <w:lang w:eastAsia="cs-CZ"/>
        </w:rPr>
        <w:t>*</w:t>
      </w:r>
    </w:p>
    <w:p w:rsidR="00AA6FED" w:rsidRPr="00AA6FED" w:rsidRDefault="00AA6FED" w:rsidP="002C224A">
      <w:pPr>
        <w:pStyle w:val="Odstavecseseznamem2"/>
        <w:numPr>
          <w:ilvl w:val="0"/>
          <w:numId w:val="85"/>
        </w:numPr>
        <w:spacing w:after="160"/>
        <w:rPr>
          <w:rFonts w:cs="Times New Roman"/>
          <w:szCs w:val="20"/>
          <w:lang w:eastAsia="cs-CZ"/>
        </w:rPr>
      </w:pPr>
      <w:r w:rsidRPr="00AA6FED">
        <w:rPr>
          <w:rFonts w:cs="Times New Roman"/>
          <w:szCs w:val="20"/>
          <w:lang w:eastAsia="cs-CZ"/>
        </w:rPr>
        <w:t xml:space="preserve">20101 Počet výzkumných organizací spolupracujících s firmami </w:t>
      </w:r>
      <w:r>
        <w:rPr>
          <w:rFonts w:cs="Times New Roman"/>
          <w:szCs w:val="20"/>
          <w:lang w:eastAsia="cs-CZ"/>
        </w:rPr>
        <w:t>*</w:t>
      </w:r>
    </w:p>
    <w:p w:rsidR="00AA6FED" w:rsidRPr="00AA6FED" w:rsidRDefault="00AA6FED" w:rsidP="002C224A">
      <w:pPr>
        <w:pStyle w:val="Odstavecseseznamem2"/>
        <w:numPr>
          <w:ilvl w:val="0"/>
          <w:numId w:val="85"/>
        </w:numPr>
        <w:spacing w:after="160"/>
        <w:rPr>
          <w:rFonts w:cs="Times New Roman"/>
          <w:szCs w:val="20"/>
          <w:lang w:eastAsia="cs-CZ"/>
        </w:rPr>
      </w:pPr>
      <w:r w:rsidRPr="00AA6FED">
        <w:rPr>
          <w:rFonts w:cs="Times New Roman"/>
          <w:szCs w:val="20"/>
          <w:lang w:eastAsia="cs-CZ"/>
        </w:rPr>
        <w:t>20400 Počet nových výzkumných pracovníků v podporovaných subjektech</w:t>
      </w:r>
      <w:r>
        <w:rPr>
          <w:rFonts w:cs="Times New Roman"/>
          <w:szCs w:val="20"/>
          <w:lang w:eastAsia="cs-CZ"/>
        </w:rPr>
        <w:t>*</w:t>
      </w:r>
    </w:p>
    <w:p w:rsidR="00AA6FED" w:rsidRPr="00AA6FED" w:rsidRDefault="00AA6FED" w:rsidP="002C224A">
      <w:pPr>
        <w:pStyle w:val="Odstavecseseznamem2"/>
        <w:numPr>
          <w:ilvl w:val="0"/>
          <w:numId w:val="85"/>
        </w:numPr>
        <w:spacing w:after="160"/>
        <w:rPr>
          <w:rFonts w:cs="Times New Roman"/>
          <w:szCs w:val="20"/>
          <w:lang w:eastAsia="cs-CZ"/>
        </w:rPr>
      </w:pPr>
      <w:r w:rsidRPr="00AA6FED">
        <w:rPr>
          <w:rFonts w:cs="Times New Roman"/>
          <w:szCs w:val="20"/>
          <w:lang w:eastAsia="cs-CZ"/>
        </w:rPr>
        <w:t>20702 Počet nově vytvořených pracovních míst, zaměstnanci VaV – ženy</w:t>
      </w:r>
      <w:r>
        <w:rPr>
          <w:rFonts w:cs="Times New Roman"/>
          <w:szCs w:val="20"/>
          <w:lang w:eastAsia="cs-CZ"/>
        </w:rPr>
        <w:t>*</w:t>
      </w:r>
    </w:p>
    <w:p w:rsidR="00AA6FED" w:rsidRPr="005E0C75" w:rsidRDefault="00AA6FED" w:rsidP="002C224A">
      <w:pPr>
        <w:pStyle w:val="Odstavecseseznamem2"/>
        <w:numPr>
          <w:ilvl w:val="0"/>
          <w:numId w:val="85"/>
        </w:numPr>
        <w:spacing w:after="160"/>
        <w:rPr>
          <w:rFonts w:cs="Times New Roman"/>
          <w:szCs w:val="20"/>
          <w:lang w:eastAsia="cs-CZ"/>
        </w:rPr>
      </w:pPr>
      <w:r w:rsidRPr="005E0C75">
        <w:rPr>
          <w:rFonts w:cs="Times New Roman"/>
          <w:szCs w:val="20"/>
          <w:lang w:eastAsia="cs-CZ"/>
        </w:rPr>
        <w:t>22200 Počet aktivit/konceptů Proof of concept v procesu ochrany duševního vlastnictví*</w:t>
      </w:r>
    </w:p>
    <w:p w:rsidR="00AA6FED" w:rsidRPr="004729E1" w:rsidRDefault="00AA6FED" w:rsidP="002C224A">
      <w:pPr>
        <w:pStyle w:val="Odstavecseseznamem2"/>
        <w:numPr>
          <w:ilvl w:val="0"/>
          <w:numId w:val="85"/>
        </w:numPr>
        <w:spacing w:after="160"/>
        <w:rPr>
          <w:rFonts w:cs="Times New Roman"/>
          <w:szCs w:val="20"/>
          <w:lang w:eastAsia="cs-CZ"/>
        </w:rPr>
      </w:pPr>
      <w:r w:rsidRPr="004729E1">
        <w:rPr>
          <w:rFonts w:cs="Times New Roman"/>
          <w:szCs w:val="20"/>
          <w:lang w:eastAsia="cs-CZ"/>
        </w:rPr>
        <w:t>22201 Počet ověřených aktivit/konceptů Proof of concept*</w:t>
      </w:r>
    </w:p>
    <w:p w:rsidR="00AA6FED" w:rsidRPr="00331BB7" w:rsidRDefault="00AA6FED" w:rsidP="002C224A">
      <w:pPr>
        <w:pStyle w:val="Odstavecseseznamem2"/>
        <w:numPr>
          <w:ilvl w:val="0"/>
          <w:numId w:val="85"/>
        </w:numPr>
        <w:spacing w:after="160"/>
        <w:rPr>
          <w:rFonts w:cs="Times New Roman"/>
          <w:szCs w:val="20"/>
          <w:lang w:eastAsia="cs-CZ"/>
        </w:rPr>
      </w:pPr>
      <w:r w:rsidRPr="00331BB7">
        <w:rPr>
          <w:rFonts w:cs="Times New Roman"/>
          <w:szCs w:val="20"/>
          <w:lang w:eastAsia="cs-CZ"/>
        </w:rPr>
        <w:lastRenderedPageBreak/>
        <w:t>10000 Počet podniků pobírajících podporu</w:t>
      </w:r>
    </w:p>
    <w:p w:rsidR="00AA6FED" w:rsidRPr="005E0C75" w:rsidRDefault="00AA6FED" w:rsidP="002C224A">
      <w:pPr>
        <w:pStyle w:val="Odstavecseseznamem2"/>
        <w:numPr>
          <w:ilvl w:val="0"/>
          <w:numId w:val="85"/>
        </w:numPr>
        <w:spacing w:after="160"/>
        <w:rPr>
          <w:rFonts w:cs="Times New Roman"/>
          <w:szCs w:val="20"/>
          <w:lang w:eastAsia="cs-CZ"/>
        </w:rPr>
      </w:pPr>
      <w:r w:rsidRPr="005E0C75">
        <w:rPr>
          <w:rFonts w:cs="Times New Roman"/>
          <w:szCs w:val="20"/>
          <w:lang w:eastAsia="cs-CZ"/>
        </w:rPr>
        <w:t>20900 Soukromé investice v projektech s veřejnou podporou v oblasti inovací nebo výzkumu a vývoje</w:t>
      </w:r>
    </w:p>
    <w:p w:rsidR="00AA6FED" w:rsidRPr="004729E1" w:rsidRDefault="00AA6FED" w:rsidP="002C224A">
      <w:pPr>
        <w:pStyle w:val="Odstavecseseznamem2"/>
        <w:numPr>
          <w:ilvl w:val="0"/>
          <w:numId w:val="85"/>
        </w:numPr>
        <w:spacing w:after="160"/>
        <w:rPr>
          <w:rFonts w:cs="Times New Roman"/>
          <w:szCs w:val="20"/>
          <w:lang w:eastAsia="cs-CZ"/>
        </w:rPr>
      </w:pPr>
      <w:r w:rsidRPr="004729E1">
        <w:rPr>
          <w:rFonts w:cs="Times New Roman"/>
          <w:szCs w:val="20"/>
          <w:lang w:eastAsia="cs-CZ"/>
        </w:rPr>
        <w:t>21002 Výdaje na VaV v podnikatelském sektoru</w:t>
      </w:r>
    </w:p>
    <w:p w:rsidR="00AA6FED" w:rsidRPr="004729E1" w:rsidRDefault="00AA6FED" w:rsidP="002C224A">
      <w:pPr>
        <w:pStyle w:val="Odstavecseseznamem2"/>
        <w:numPr>
          <w:ilvl w:val="0"/>
          <w:numId w:val="85"/>
        </w:numPr>
        <w:spacing w:after="160"/>
        <w:rPr>
          <w:rFonts w:cs="Times New Roman"/>
          <w:szCs w:val="20"/>
          <w:lang w:eastAsia="cs-CZ"/>
        </w:rPr>
      </w:pPr>
      <w:r w:rsidRPr="004729E1">
        <w:rPr>
          <w:rFonts w:cs="Times New Roman"/>
          <w:szCs w:val="20"/>
          <w:lang w:eastAsia="cs-CZ"/>
        </w:rPr>
        <w:t>21100 Souhrnný inovační index (SII)</w:t>
      </w:r>
    </w:p>
    <w:p w:rsidR="00AA6FED" w:rsidRPr="00AA6FED" w:rsidRDefault="00AA6FED" w:rsidP="002C224A">
      <w:pPr>
        <w:pStyle w:val="Odstavecseseznamem2"/>
        <w:numPr>
          <w:ilvl w:val="0"/>
          <w:numId w:val="85"/>
        </w:numPr>
        <w:spacing w:after="160"/>
        <w:rPr>
          <w:rFonts w:cs="Times New Roman"/>
          <w:szCs w:val="20"/>
          <w:lang w:eastAsia="cs-CZ"/>
        </w:rPr>
      </w:pPr>
      <w:r w:rsidRPr="008F6AF1">
        <w:rPr>
          <w:rFonts w:cs="Times New Roman"/>
          <w:szCs w:val="20"/>
          <w:lang w:eastAsia="cs-CZ"/>
        </w:rPr>
        <w:t>21011 Výdaje podnikatelského sektoru na provádění VaV ve vládním a vysok</w:t>
      </w:r>
      <w:r w:rsidRPr="00AA6FED">
        <w:rPr>
          <w:rFonts w:cs="Times New Roman"/>
          <w:szCs w:val="20"/>
          <w:lang w:eastAsia="cs-CZ"/>
        </w:rPr>
        <w:t>oškolském sektoru jako % celkových výdajů na provádění VaV v těchto sektorech</w:t>
      </w:r>
    </w:p>
    <w:p w:rsidR="006D67F1" w:rsidRPr="002C224A" w:rsidRDefault="006D67F1" w:rsidP="002C224A">
      <w:pPr>
        <w:pStyle w:val="Odstavecseseznamem2"/>
        <w:spacing w:after="160"/>
        <w:rPr>
          <w:rFonts w:cs="Times New Roman"/>
          <w:szCs w:val="20"/>
          <w:lang w:eastAsia="cs-CZ"/>
        </w:rPr>
      </w:pPr>
    </w:p>
    <w:p w:rsidR="006D67F1" w:rsidRPr="002C224A" w:rsidRDefault="006D67F1" w:rsidP="00F87888">
      <w:pPr>
        <w:pStyle w:val="Nadpis4"/>
        <w:rPr>
          <w:rFonts w:ascii="Calibri" w:hAnsi="Calibri"/>
        </w:rPr>
      </w:pPr>
      <w:r w:rsidRPr="002C224A">
        <w:rPr>
          <w:rFonts w:ascii="Calibri" w:hAnsi="Calibri"/>
        </w:rPr>
        <w:t>Dílčí shrnutí</w:t>
      </w:r>
    </w:p>
    <w:bookmarkEnd w:id="1030"/>
    <w:p w:rsidR="006D67F1" w:rsidRPr="002C224A" w:rsidRDefault="002741FC" w:rsidP="002C224A">
      <w:pPr>
        <w:pStyle w:val="Titulek"/>
      </w:pPr>
      <w:r w:rsidRPr="002C224A">
        <w:t xml:space="preserve">Tabulka </w:t>
      </w:r>
      <w:r w:rsidR="004A4860">
        <w:t>104</w:t>
      </w:r>
      <w:r w:rsidRPr="002C224A">
        <w:t xml:space="preserve">: </w:t>
      </w:r>
      <w:r w:rsidR="00DA3038" w:rsidRPr="002C224A">
        <w:t>Shrnutí FN SC 1.2 Proof-of-concept</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84116">
        <w:tc>
          <w:tcPr>
            <w:tcW w:w="2282" w:type="dxa"/>
            <w:shd w:val="clear" w:color="auto" w:fill="ECFFC3"/>
          </w:tcPr>
          <w:p w:rsidR="006D67F1" w:rsidRPr="00A50943" w:rsidRDefault="006D67F1" w:rsidP="00A84116">
            <w:pPr>
              <w:rPr>
                <w:b/>
              </w:rPr>
            </w:pPr>
          </w:p>
        </w:tc>
        <w:tc>
          <w:tcPr>
            <w:tcW w:w="6788" w:type="dxa"/>
            <w:shd w:val="clear" w:color="auto" w:fill="ECFFC3"/>
          </w:tcPr>
          <w:p w:rsidR="006D67F1" w:rsidRPr="002C224A" w:rsidRDefault="006D67F1" w:rsidP="00A84116">
            <w:pPr>
              <w:ind w:left="38"/>
              <w:rPr>
                <w:b/>
              </w:rPr>
            </w:pP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Cíle finančního nástroje</w:t>
            </w:r>
          </w:p>
        </w:tc>
        <w:tc>
          <w:tcPr>
            <w:tcW w:w="6788" w:type="dxa"/>
            <w:shd w:val="clear" w:color="auto" w:fill="FFFFFF"/>
            <w:noWrap/>
          </w:tcPr>
          <w:p w:rsidR="006D67F1" w:rsidRPr="002C224A" w:rsidRDefault="00CF4AE1" w:rsidP="00A84116">
            <w:pPr>
              <w:rPr>
                <w:b/>
              </w:rPr>
            </w:pPr>
            <w:r w:rsidRPr="002C224A">
              <w:t>Cílem FN je</w:t>
            </w:r>
            <w:r w:rsidR="006D67F1" w:rsidRPr="002C224A">
              <w:t xml:space="preserve"> kapitálově</w:t>
            </w:r>
            <w:r w:rsidRPr="002C224A">
              <w:t xml:space="preserve"> podpořit aktivity komercionalizace výsledků VaV.</w:t>
            </w:r>
            <w:r w:rsidR="006D67F1" w:rsidRPr="002C224A">
              <w:t xml:space="preserve"> Investovaný kapitál bude sloužit k financování fáze </w:t>
            </w:r>
            <w:r w:rsidR="006D67F1" w:rsidRPr="002C224A">
              <w:rPr>
                <w:b/>
              </w:rPr>
              <w:t>Proof-of-Concept</w:t>
            </w:r>
            <w:r w:rsidRPr="002C224A">
              <w:rPr>
                <w:b/>
              </w:rPr>
              <w:t>/Pre-seed</w:t>
            </w:r>
            <w:r w:rsidR="006D67F1" w:rsidRPr="002C224A">
              <w:rPr>
                <w:b/>
              </w:rPr>
              <w:t>.</w:t>
            </w:r>
          </w:p>
          <w:p w:rsidR="006D67F1" w:rsidRPr="002C224A" w:rsidRDefault="006D67F1" w:rsidP="00A84116">
            <w:pPr>
              <w:rPr>
                <w:b/>
              </w:rPr>
            </w:pPr>
          </w:p>
          <w:p w:rsidR="006D67F1" w:rsidRPr="002C224A" w:rsidRDefault="006D67F1" w:rsidP="00CF4AE1">
            <w:r w:rsidRPr="002C224A">
              <w:t>Kapitálová forma podpory umožní financování perspektivních výsledků VaV</w:t>
            </w:r>
            <w:r w:rsidR="00CF4AE1" w:rsidRPr="002C224A">
              <w:t xml:space="preserve"> a usnadní přechod do komerčního fungování a nalezení soukromého investora. Část prostředků z úspěšných exitu úspěšných projektů se bude vracet do fondu prostřednictvím kapitálového podílu.</w:t>
            </w:r>
            <w:r w:rsidRPr="002C224A">
              <w:t xml:space="preserve"> Finanční nástroj bude též prostřednictvím minority kontrolovat vnitřní procesy a další směřování projektu</w:t>
            </w:r>
            <w:r w:rsidR="00CF4AE1" w:rsidRPr="002C224A">
              <w:t xml:space="preserve"> v podporované fázi</w:t>
            </w:r>
            <w:r w:rsidRPr="002C224A">
              <w:t xml:space="preserve">. </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Definice a kritéria způsobilých projektů</w:t>
            </w:r>
          </w:p>
        </w:tc>
        <w:tc>
          <w:tcPr>
            <w:tcW w:w="6788" w:type="dxa"/>
            <w:shd w:val="clear" w:color="auto" w:fill="FFFFFF"/>
            <w:noWrap/>
          </w:tcPr>
          <w:p w:rsidR="006D67F1" w:rsidRPr="002C224A" w:rsidRDefault="00CF4AE1" w:rsidP="002433DA">
            <w:r w:rsidRPr="002C224A">
              <w:t>Komercionalizační projekty VaV veřejných výzkumných organizací ve fázi Proof-of-Concept/Pre-seed</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Forma podpory</w:t>
            </w:r>
          </w:p>
        </w:tc>
        <w:tc>
          <w:tcPr>
            <w:tcW w:w="6788" w:type="dxa"/>
            <w:shd w:val="clear" w:color="auto" w:fill="FFFFFF"/>
            <w:noWrap/>
          </w:tcPr>
          <w:p w:rsidR="00593183" w:rsidRPr="002C224A" w:rsidRDefault="00593183" w:rsidP="00A84116">
            <w:r w:rsidRPr="002C224A">
              <w:t>Kapitálový vstup</w:t>
            </w:r>
          </w:p>
          <w:p w:rsidR="006D67F1" w:rsidRPr="002C224A" w:rsidRDefault="00A410AD" w:rsidP="00593183">
            <w:r w:rsidRPr="002C224A">
              <w:t>Příspěvek</w:t>
            </w:r>
            <w:r w:rsidR="006D67F1" w:rsidRPr="002C224A">
              <w:t xml:space="preserve"> na úhradu nákladů na přípravu projektů </w:t>
            </w:r>
            <w:r w:rsidR="00593183" w:rsidRPr="002C224A">
              <w:t xml:space="preserve">a přípravu nabídky na trhu a vstup investora. </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Základní parametry poskytované podpory</w:t>
            </w:r>
          </w:p>
        </w:tc>
        <w:tc>
          <w:tcPr>
            <w:tcW w:w="6788" w:type="dxa"/>
            <w:shd w:val="clear" w:color="auto" w:fill="FFFFFF"/>
            <w:noWrap/>
          </w:tcPr>
          <w:p w:rsidR="006D67F1" w:rsidRPr="002C224A" w:rsidRDefault="006D67F1" w:rsidP="00A84116">
            <w:r w:rsidRPr="002C224A">
              <w:t>Poskytovaný kapitálový vstup do entity bude mít následující parametry:</w:t>
            </w:r>
          </w:p>
          <w:p w:rsidR="006D67F1" w:rsidRPr="002C224A" w:rsidRDefault="006D67F1" w:rsidP="006F771D">
            <w:pPr>
              <w:pStyle w:val="Odstavecseseznamem1"/>
              <w:numPr>
                <w:ilvl w:val="0"/>
                <w:numId w:val="29"/>
              </w:numPr>
              <w:overflowPunct/>
              <w:autoSpaceDE/>
              <w:autoSpaceDN/>
              <w:adjustRightInd/>
              <w:ind w:left="412" w:hanging="141"/>
              <w:textAlignment w:val="auto"/>
            </w:pPr>
            <w:r w:rsidRPr="002C224A">
              <w:t>Výše investice bude odpovídat až 100 % způsobilých nákladů zamýšleného projektu;</w:t>
            </w:r>
          </w:p>
          <w:p w:rsidR="003A7C23" w:rsidRPr="002C224A" w:rsidRDefault="003A7C23" w:rsidP="006F771D">
            <w:pPr>
              <w:pStyle w:val="Odstavecseseznamem1"/>
              <w:numPr>
                <w:ilvl w:val="0"/>
                <w:numId w:val="29"/>
              </w:numPr>
              <w:overflowPunct/>
              <w:autoSpaceDE/>
              <w:autoSpaceDN/>
              <w:adjustRightInd/>
              <w:ind w:left="412" w:hanging="141"/>
              <w:textAlignment w:val="auto"/>
            </w:pPr>
            <w:r w:rsidRPr="002C224A">
              <w:t>Účast konečného příjemce bude formou vloženého oceněného duševního vlastnictví, případně menší mírou finančního vkladu</w:t>
            </w:r>
          </w:p>
          <w:p w:rsidR="006D67F1" w:rsidRPr="002C224A" w:rsidRDefault="006D67F1" w:rsidP="006F771D">
            <w:pPr>
              <w:pStyle w:val="Odstavecseseznamem1"/>
              <w:numPr>
                <w:ilvl w:val="0"/>
                <w:numId w:val="29"/>
              </w:numPr>
              <w:overflowPunct/>
              <w:autoSpaceDE/>
              <w:autoSpaceDN/>
              <w:adjustRightInd/>
              <w:ind w:left="412" w:hanging="141"/>
              <w:textAlignment w:val="auto"/>
            </w:pPr>
            <w:r w:rsidRPr="002C224A">
              <w:t xml:space="preserve">účast Fondu na projektu skrze majetkový podíl v entitě není časově omezena; </w:t>
            </w:r>
          </w:p>
          <w:p w:rsidR="006D67F1" w:rsidRPr="002C224A" w:rsidRDefault="003A7C23" w:rsidP="006F771D">
            <w:pPr>
              <w:pStyle w:val="Odstavecseseznamem1"/>
              <w:numPr>
                <w:ilvl w:val="0"/>
                <w:numId w:val="29"/>
              </w:numPr>
              <w:overflowPunct/>
              <w:autoSpaceDE/>
              <w:autoSpaceDN/>
              <w:adjustRightInd/>
              <w:ind w:left="412" w:hanging="141"/>
              <w:textAlignment w:val="auto"/>
            </w:pPr>
            <w:r w:rsidRPr="002C224A">
              <w:t>FN</w:t>
            </w:r>
            <w:r w:rsidR="006D67F1" w:rsidRPr="002C224A">
              <w:t xml:space="preserve"> jako minoritní </w:t>
            </w:r>
            <w:r w:rsidRPr="002C224A">
              <w:t>podílník</w:t>
            </w:r>
            <w:r w:rsidR="006D67F1" w:rsidRPr="002C224A">
              <w:t>, má nárok na výplatu podílu na zisku;</w:t>
            </w:r>
          </w:p>
          <w:p w:rsidR="006D67F1" w:rsidRPr="002C224A" w:rsidRDefault="006D67F1" w:rsidP="006F771D">
            <w:pPr>
              <w:pStyle w:val="Odstavecseseznamem1"/>
              <w:numPr>
                <w:ilvl w:val="0"/>
                <w:numId w:val="29"/>
              </w:numPr>
              <w:overflowPunct/>
              <w:autoSpaceDE/>
              <w:autoSpaceDN/>
              <w:adjustRightInd/>
              <w:ind w:left="412" w:hanging="141"/>
              <w:textAlignment w:val="auto"/>
            </w:pPr>
            <w:r w:rsidRPr="002C224A">
              <w:t>Poskytnuté prostředky jsou účelově vázané na krytí výše vymezených způsobilých investičních výdajů na komercializaci výsledků VaV;</w:t>
            </w:r>
          </w:p>
          <w:p w:rsidR="006D67F1" w:rsidRPr="002C224A" w:rsidRDefault="003A7C23" w:rsidP="006F771D">
            <w:pPr>
              <w:pStyle w:val="Odstavecseseznamem1"/>
              <w:numPr>
                <w:ilvl w:val="0"/>
                <w:numId w:val="29"/>
              </w:numPr>
              <w:overflowPunct/>
              <w:autoSpaceDE/>
              <w:autoSpaceDN/>
              <w:adjustRightInd/>
              <w:ind w:left="412" w:hanging="141"/>
              <w:textAlignment w:val="auto"/>
            </w:pPr>
            <w:r w:rsidRPr="002C224A">
              <w:t>M</w:t>
            </w:r>
            <w:r w:rsidR="006D67F1" w:rsidRPr="002C224A">
              <w:t>ožná účast soukromých investorů a to jak na úrovni Fondu, tak po vyčlenění z entity i na úrovni projektu;</w:t>
            </w:r>
          </w:p>
          <w:p w:rsidR="003A7C23" w:rsidRPr="002C224A" w:rsidRDefault="003A7C23" w:rsidP="003A7C23">
            <w:pPr>
              <w:pStyle w:val="Odstavecseseznamem1"/>
              <w:numPr>
                <w:ilvl w:val="0"/>
                <w:numId w:val="29"/>
              </w:numPr>
              <w:overflowPunct/>
              <w:autoSpaceDE/>
              <w:autoSpaceDN/>
              <w:adjustRightInd/>
              <w:ind w:left="412" w:hanging="141"/>
              <w:textAlignment w:val="auto"/>
            </w:pPr>
            <w:r w:rsidRPr="002C224A">
              <w:t xml:space="preserve">Realizace projektu probíhá v režii konečného příjemce </w:t>
            </w:r>
          </w:p>
          <w:p w:rsidR="006D67F1" w:rsidRPr="002C224A" w:rsidRDefault="006D67F1" w:rsidP="003A7C23">
            <w:pPr>
              <w:pStyle w:val="Odstavecseseznamem1"/>
              <w:numPr>
                <w:ilvl w:val="0"/>
                <w:numId w:val="29"/>
              </w:numPr>
              <w:overflowPunct/>
              <w:autoSpaceDE/>
              <w:autoSpaceDN/>
              <w:adjustRightInd/>
              <w:ind w:left="412" w:hanging="141"/>
              <w:textAlignment w:val="auto"/>
            </w:pPr>
            <w:r w:rsidRPr="002C224A">
              <w:t>Způsob prodeje z entity vyděleného projektu: Kapitálový vstup Fondu bude vykoupen zpět spoluinvestory buď přednostně ve zkrácené době za využití např. opčního práva, případně může být postupně vykupován dle předem sjednaných pravidel, nebo bude prodej podílu realizován po uplynutí sjednané doby pro přednostní výkup na volném trhu.</w:t>
            </w:r>
          </w:p>
        </w:tc>
      </w:tr>
      <w:tr w:rsidR="003A7C23" w:rsidRPr="002C224A" w:rsidTr="00A84116">
        <w:tc>
          <w:tcPr>
            <w:tcW w:w="2282" w:type="dxa"/>
            <w:shd w:val="clear" w:color="auto" w:fill="92D400"/>
            <w:noWrap/>
          </w:tcPr>
          <w:p w:rsidR="003A7C23" w:rsidRPr="002C224A" w:rsidRDefault="003A7C23" w:rsidP="00A84116">
            <w:pPr>
              <w:jc w:val="left"/>
              <w:rPr>
                <w:b/>
                <w:color w:val="FFFFFF"/>
              </w:rPr>
            </w:pPr>
            <w:r w:rsidRPr="002C224A">
              <w:rPr>
                <w:b/>
                <w:color w:val="FFFFFF"/>
              </w:rPr>
              <w:t>Výše podpory</w:t>
            </w:r>
          </w:p>
        </w:tc>
        <w:tc>
          <w:tcPr>
            <w:tcW w:w="6788" w:type="dxa"/>
            <w:shd w:val="clear" w:color="auto" w:fill="FFFFFF"/>
            <w:noWrap/>
          </w:tcPr>
          <w:p w:rsidR="003A7C23" w:rsidRPr="002C224A" w:rsidRDefault="003A7C23" w:rsidP="00A84116">
            <w:r w:rsidRPr="002C224A">
              <w:t>Průměrnou investici očekáváme v rozmezí 30-</w:t>
            </w:r>
            <w:smartTag w:uri="urn:schemas-microsoft-com:office:smarttags" w:element="metricconverter">
              <w:smartTagPr>
                <w:attr w:name="ProductID" w:val="40 mil"/>
              </w:smartTagPr>
              <w:r w:rsidRPr="002C224A">
                <w:t>40 mil</w:t>
              </w:r>
            </w:smartTag>
            <w:r w:rsidRPr="002C224A">
              <w:t xml:space="preserve">. Kč, s výrazným rozptylem jednotlivých projektů, maximálně však </w:t>
            </w:r>
            <w:smartTag w:uri="urn:schemas-microsoft-com:office:smarttags" w:element="metricconverter">
              <w:smartTagPr>
                <w:attr w:name="ProductID" w:val="100 mil"/>
              </w:smartTagPr>
              <w:r w:rsidRPr="002C224A">
                <w:t>100 mil</w:t>
              </w:r>
            </w:smartTag>
            <w:r w:rsidRPr="002C224A">
              <w:t>. Kč.</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lastRenderedPageBreak/>
              <w:t>Kroky vedoucí k zapojení potenciálních spoluinvestorů</w:t>
            </w:r>
          </w:p>
        </w:tc>
        <w:tc>
          <w:tcPr>
            <w:tcW w:w="6788" w:type="dxa"/>
            <w:shd w:val="clear" w:color="auto" w:fill="FFFFFF"/>
            <w:noWrap/>
          </w:tcPr>
          <w:p w:rsidR="006D67F1" w:rsidRPr="002C224A" w:rsidRDefault="008927B2" w:rsidP="00A84116">
            <w:pPr>
              <w:contextualSpacing/>
            </w:pPr>
            <w:r w:rsidRPr="002C224A">
              <w:t>Primárně není očekáváno. Potenciálním soukromým investorům na úrovni fondu/projektů je vhodné nabídnout preferenční odměňování.</w:t>
            </w:r>
          </w:p>
          <w:p w:rsidR="008927B2" w:rsidRPr="002C224A" w:rsidRDefault="008927B2" w:rsidP="008927B2">
            <w:pPr>
              <w:pStyle w:val="Odstavecseseznamem1"/>
              <w:numPr>
                <w:ilvl w:val="0"/>
                <w:numId w:val="71"/>
              </w:numPr>
            </w:pPr>
            <w:r w:rsidRPr="002C224A">
              <w:t>preferenční dělení zisku vůči soukromému investorovi v případě, že výnos úspěšného projektu přesáhne stanovenou základní mez.</w:t>
            </w:r>
          </w:p>
          <w:p w:rsidR="00FF3302" w:rsidRPr="002C224A" w:rsidRDefault="00FF3302" w:rsidP="00FF3302">
            <w:pPr>
              <w:pStyle w:val="Odstavecseseznamem1"/>
              <w:numPr>
                <w:ilvl w:val="0"/>
                <w:numId w:val="71"/>
              </w:numPr>
            </w:pPr>
            <w:r>
              <w:t>opční právo investora odkoupit od FN vlastnický podíl v cílové společnosti za předem určenou cenu</w:t>
            </w:r>
          </w:p>
          <w:p w:rsidR="008927B2" w:rsidRPr="002C224A" w:rsidRDefault="008927B2" w:rsidP="00A84116">
            <w:pPr>
              <w:contextualSpacing/>
            </w:pP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Očekávaná alokace</w:t>
            </w:r>
          </w:p>
        </w:tc>
        <w:tc>
          <w:tcPr>
            <w:tcW w:w="6788" w:type="dxa"/>
            <w:shd w:val="clear" w:color="auto" w:fill="FFFFFF"/>
            <w:noWrap/>
          </w:tcPr>
          <w:p w:rsidR="006D67F1" w:rsidRPr="002C224A" w:rsidRDefault="000F4347" w:rsidP="00A84116">
            <w:r w:rsidRPr="002C224A">
              <w:t>Doporučujeme kapitálový nástroj využít na větší část alokac</w:t>
            </w:r>
            <w:r w:rsidR="00CA42C6" w:rsidRPr="002C224A">
              <w:t>e</w:t>
            </w:r>
            <w:r w:rsidRPr="002C224A">
              <w:t xml:space="preserve"> programu Proof-of-concept, v rozpětí </w:t>
            </w:r>
            <w:r w:rsidR="00CA42C6" w:rsidRPr="002C224A">
              <w:t>550</w:t>
            </w:r>
            <w:r w:rsidRPr="002C224A">
              <w:t>-</w:t>
            </w:r>
            <w:smartTag w:uri="urn:schemas-microsoft-com:office:smarttags" w:element="metricconverter">
              <w:smartTagPr>
                <w:attr w:name="ProductID" w:val="1100 mil"/>
              </w:smartTagPr>
              <w:r w:rsidRPr="002C224A">
                <w:t>1100</w:t>
              </w:r>
              <w:r w:rsidR="007315D9" w:rsidRPr="002C224A">
                <w:t xml:space="preserve"> mil</w:t>
              </w:r>
            </w:smartTag>
            <w:r w:rsidR="007315D9" w:rsidRPr="002C224A">
              <w:t>.</w:t>
            </w:r>
            <w:r w:rsidRPr="002C224A">
              <w:t xml:space="preserve"> Kč.</w:t>
            </w:r>
          </w:p>
          <w:p w:rsidR="00320102" w:rsidRPr="002C224A" w:rsidRDefault="00320102" w:rsidP="002741FC">
            <w:pPr>
              <w:pStyle w:val="Titulek"/>
            </w:pPr>
          </w:p>
        </w:tc>
      </w:tr>
    </w:tbl>
    <w:p w:rsidR="006D67F1" w:rsidRPr="002C224A" w:rsidRDefault="006D67F1" w:rsidP="006F771D">
      <w:pPr>
        <w:pStyle w:val="Nadpis3"/>
        <w:rPr>
          <w:rFonts w:ascii="Calibri" w:hAnsi="Calibri"/>
        </w:rPr>
      </w:pPr>
      <w:bookmarkStart w:id="1031" w:name="_Toc416909282"/>
      <w:bookmarkStart w:id="1032" w:name="_Toc417544665"/>
      <w:bookmarkStart w:id="1033" w:name="_Toc416909285"/>
      <w:bookmarkStart w:id="1034" w:name="_Toc417544668"/>
      <w:bookmarkStart w:id="1035" w:name="_Toc416909287"/>
      <w:bookmarkStart w:id="1036" w:name="_Toc417544670"/>
      <w:bookmarkStart w:id="1037" w:name="_Toc416909289"/>
      <w:bookmarkStart w:id="1038" w:name="_Toc417544672"/>
      <w:bookmarkStart w:id="1039" w:name="_Toc416909291"/>
      <w:bookmarkStart w:id="1040" w:name="_Toc417544674"/>
      <w:bookmarkStart w:id="1041" w:name="_Toc416909292"/>
      <w:bookmarkStart w:id="1042" w:name="_Toc417544675"/>
      <w:bookmarkStart w:id="1043" w:name="_Toc416909294"/>
      <w:bookmarkStart w:id="1044" w:name="_Toc417544677"/>
      <w:bookmarkStart w:id="1045" w:name="_Toc416909295"/>
      <w:bookmarkStart w:id="1046" w:name="_Toc417544678"/>
      <w:bookmarkStart w:id="1047" w:name="_Toc416909297"/>
      <w:bookmarkStart w:id="1048" w:name="_Toc417544680"/>
      <w:bookmarkStart w:id="1049" w:name="_Toc416909326"/>
      <w:bookmarkStart w:id="1050" w:name="_Toc417544709"/>
      <w:bookmarkStart w:id="1051" w:name="_Toc416909329"/>
      <w:bookmarkStart w:id="1052" w:name="_Toc417544712"/>
      <w:bookmarkStart w:id="1053" w:name="_Toc416909342"/>
      <w:bookmarkStart w:id="1054" w:name="_Toc417544725"/>
      <w:bookmarkStart w:id="1055" w:name="_Toc416909346"/>
      <w:bookmarkStart w:id="1056" w:name="_Toc417544729"/>
      <w:bookmarkStart w:id="1057" w:name="_Toc416909350"/>
      <w:bookmarkStart w:id="1058" w:name="_Toc417544733"/>
      <w:bookmarkStart w:id="1059" w:name="_Toc416909354"/>
      <w:bookmarkStart w:id="1060" w:name="_Toc417544737"/>
      <w:bookmarkStart w:id="1061" w:name="_Toc416909362"/>
      <w:bookmarkStart w:id="1062" w:name="_Toc417544745"/>
      <w:bookmarkStart w:id="1063" w:name="_Toc416909366"/>
      <w:bookmarkStart w:id="1064" w:name="_Toc417544749"/>
      <w:bookmarkStart w:id="1065" w:name="_Toc416909370"/>
      <w:bookmarkStart w:id="1066" w:name="_Toc417544753"/>
      <w:bookmarkStart w:id="1067" w:name="_Toc416909374"/>
      <w:bookmarkStart w:id="1068" w:name="_Toc417544757"/>
      <w:bookmarkStart w:id="1069" w:name="_Toc416909382"/>
      <w:bookmarkStart w:id="1070" w:name="_Toc417544765"/>
      <w:bookmarkStart w:id="1071" w:name="_Toc416909386"/>
      <w:bookmarkStart w:id="1072" w:name="_Toc417544769"/>
      <w:bookmarkStart w:id="1073" w:name="_Toc416909390"/>
      <w:bookmarkStart w:id="1074" w:name="_Toc417544773"/>
      <w:bookmarkStart w:id="1075" w:name="_Toc416909392"/>
      <w:bookmarkStart w:id="1076" w:name="_Toc417544775"/>
      <w:bookmarkStart w:id="1077" w:name="_Toc416909394"/>
      <w:bookmarkStart w:id="1078" w:name="_Toc417544777"/>
      <w:bookmarkStart w:id="1079" w:name="_Toc416800489"/>
      <w:bookmarkStart w:id="1080" w:name="_Toc421534326"/>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2C224A">
        <w:rPr>
          <w:rFonts w:ascii="Calibri" w:hAnsi="Calibri"/>
        </w:rPr>
        <w:t>Specifický cíl 2.1</w:t>
      </w:r>
      <w:bookmarkEnd w:id="1079"/>
      <w:bookmarkEnd w:id="1080"/>
    </w:p>
    <w:p w:rsidR="006D67F1" w:rsidRPr="002C224A" w:rsidRDefault="006D67F1" w:rsidP="00F87888">
      <w:pPr>
        <w:pStyle w:val="Nadpis4"/>
        <w:rPr>
          <w:rFonts w:ascii="Calibri" w:hAnsi="Calibri"/>
        </w:rPr>
      </w:pPr>
      <w:bookmarkStart w:id="1081" w:name="_Toc416800490"/>
      <w:r w:rsidRPr="002C224A">
        <w:rPr>
          <w:rFonts w:ascii="Calibri" w:hAnsi="Calibri"/>
        </w:rPr>
        <w:t>Formy finančních nástrojů a výše alokace</w:t>
      </w:r>
    </w:p>
    <w:bookmarkEnd w:id="1081"/>
    <w:p w:rsidR="006D67F1" w:rsidRPr="002C224A" w:rsidRDefault="006D67F1" w:rsidP="00CE3165">
      <w:r w:rsidRPr="00A50943">
        <w:t>Analyzované oblasti podpory rozvoje M</w:t>
      </w:r>
      <w:r w:rsidRPr="002C224A">
        <w:t>SP v SC 2.1 dle našeho názoru vykazují široký potenciál pro využití finančních nástrojů. V rámci OP PIK se jedná o nejvhodnější oblasti pro jejich aplikaci a doporučujeme tedy jejich plné pokrytí navrhovanými FN.</w:t>
      </w:r>
    </w:p>
    <w:p w:rsidR="006D67F1" w:rsidRPr="002C224A" w:rsidRDefault="006D67F1" w:rsidP="00CE3165"/>
    <w:p w:rsidR="006D67F1" w:rsidRPr="002C224A" w:rsidRDefault="006D67F1">
      <w:pPr>
        <w:pStyle w:val="Neslovannadpisy"/>
      </w:pPr>
      <w:r w:rsidRPr="002C224A">
        <w:t>Úvěrový a záruční nástroj</w:t>
      </w:r>
    </w:p>
    <w:p w:rsidR="006D67F1" w:rsidRPr="002C224A" w:rsidRDefault="006D67F1" w:rsidP="00CE3165">
      <w:r w:rsidRPr="002C224A">
        <w:t xml:space="preserve">Na základě analýzy v bloku I. doporučujeme aplikaci zvýhodněných úvěrů a záruk na projekty etablovaných MSP, které hledají financování na investice do svého dalšího rozvoje. </w:t>
      </w:r>
    </w:p>
    <w:p w:rsidR="006D67F1" w:rsidRPr="002C224A" w:rsidRDefault="006D67F1" w:rsidP="00CE3165"/>
    <w:p w:rsidR="006D67F1" w:rsidRDefault="006D67F1" w:rsidP="00CE3165">
      <w:r w:rsidRPr="002C224A">
        <w:t>Záruky za bankovní úvěry by měly řešit primárně tržní selhání v oblasti rizikovějších MSP bez odpovídajícího zajištění, které mají obtížnější přístup k financování kvůli konzervativnímu přístupu bank.</w:t>
      </w:r>
      <w:r w:rsidR="00962B14">
        <w:t xml:space="preserve"> </w:t>
      </w:r>
      <w:r w:rsidRPr="002C224A">
        <w:t>Zvýhodněné úvěry mají za cíl primárně řešit problém rostoucího diferenciálu mezi sazbami úvěrů pro MSP a velké podniky, který negativně ovlivňuje tržní prostředí a náklady MSP na externí financování dalšího rozvoje.</w:t>
      </w:r>
    </w:p>
    <w:p w:rsidR="00DF60D5" w:rsidRDefault="00DF60D5" w:rsidP="00CE3165"/>
    <w:p w:rsidR="00DF60D5" w:rsidRDefault="00DF60D5" w:rsidP="00DF60D5">
      <w:r>
        <w:t>Předběžné posouzení doporučuje, aby FN OP</w:t>
      </w:r>
      <w:r w:rsidR="001C1A67">
        <w:t xml:space="preserve"> </w:t>
      </w:r>
      <w:r w:rsidR="003601AC">
        <w:t>PIK, zejména úvěry na záruky v SC</w:t>
      </w:r>
      <w:r>
        <w:t xml:space="preserve"> 2.1, podporovaly též sociální rozměr podnikání v souladu s textem programového dokumentu OP PIK. Zároveň je toto opatření v souladu s Koncepcí podpory malých a středních podnikatelů na období let 2014.</w:t>
      </w:r>
    </w:p>
    <w:p w:rsidR="006D67F1" w:rsidRPr="002C224A" w:rsidRDefault="006D67F1" w:rsidP="00CE3165"/>
    <w:p w:rsidR="00962B14" w:rsidRPr="002C224A" w:rsidRDefault="006D67F1" w:rsidP="00601A37">
      <w:r w:rsidRPr="002C224A">
        <w:rPr>
          <w:b/>
        </w:rPr>
        <w:t>Záruky za bankovní úvěry</w:t>
      </w:r>
      <w:r w:rsidRPr="002C224A">
        <w:t xml:space="preserve"> budou</w:t>
      </w:r>
      <w:r w:rsidR="00CF79CD">
        <w:t xml:space="preserve"> způsobilým podnikům</w:t>
      </w:r>
      <w:r w:rsidRPr="002C224A">
        <w:t xml:space="preserve"> poskytovány ze záručního fondu OP PIK vybraným </w:t>
      </w:r>
      <w:r w:rsidR="00CF79CD">
        <w:t>správcem FN</w:t>
      </w:r>
      <w:r w:rsidRPr="002C224A">
        <w:t xml:space="preserve"> (příjemcem).</w:t>
      </w:r>
      <w:r w:rsidR="00536B5D">
        <w:t xml:space="preserve"> </w:t>
      </w:r>
      <w:r w:rsidRPr="002C224A">
        <w:t>Záruky budou poskytovány do určené výše, maximálně však 80</w:t>
      </w:r>
      <w:r w:rsidR="00CF79CD">
        <w:t> </w:t>
      </w:r>
      <w:r w:rsidRPr="002C224A">
        <w:t>% jistiny úvěru. Navrhujeme použití jak nástroje individuálních záruk, tak portfoliových záruk. Portfoliové záruky budou aplikovány v případě komerčních bank s</w:t>
      </w:r>
      <w:r w:rsidR="00DA44C2" w:rsidRPr="002C224A">
        <w:t xml:space="preserve">e schopností vytvořit podle vlastního odhadu banky </w:t>
      </w:r>
      <w:r w:rsidRPr="002C224A">
        <w:t>dostatečn</w:t>
      </w:r>
      <w:r w:rsidR="00DA44C2" w:rsidRPr="002C224A">
        <w:t>é</w:t>
      </w:r>
      <w:r w:rsidR="00DC0ABF" w:rsidRPr="002C224A">
        <w:t xml:space="preserve"> </w:t>
      </w:r>
      <w:r w:rsidRPr="002C224A">
        <w:t>portfoli</w:t>
      </w:r>
      <w:r w:rsidR="00DA44C2" w:rsidRPr="002C224A">
        <w:t>o</w:t>
      </w:r>
      <w:r w:rsidRPr="002C224A">
        <w:t xml:space="preserve"> způsobilých projektů. </w:t>
      </w:r>
      <w:r w:rsidR="00DA44C2" w:rsidRPr="002C224A">
        <w:t xml:space="preserve">Celková výše plnění ze záruk bude omezena limitem plnění na </w:t>
      </w:r>
      <w:r w:rsidRPr="002C224A">
        <w:t xml:space="preserve">portfolio </w:t>
      </w:r>
      <w:r w:rsidR="00DA44C2" w:rsidRPr="002C224A">
        <w:t>zaručených úvěrů</w:t>
      </w:r>
      <w:r w:rsidR="00E066DD" w:rsidRPr="002C224A">
        <w:t xml:space="preserve"> do výše 10-15 % ztrát</w:t>
      </w:r>
      <w:r w:rsidR="00DA44C2" w:rsidRPr="002C224A">
        <w:t>.</w:t>
      </w:r>
    </w:p>
    <w:p w:rsidR="006D67F1" w:rsidRPr="002C224A" w:rsidRDefault="006D67F1" w:rsidP="00601A37"/>
    <w:p w:rsidR="006D67F1" w:rsidRPr="002C224A" w:rsidRDefault="006D67F1" w:rsidP="00601A37">
      <w:r w:rsidRPr="002C224A">
        <w:rPr>
          <w:b/>
        </w:rPr>
        <w:t xml:space="preserve">Zvýhodněné úvěry </w:t>
      </w:r>
      <w:r w:rsidRPr="002C224A">
        <w:t xml:space="preserve">budou poskytovány z úvěrového fondu OP PIK vybraným </w:t>
      </w:r>
      <w:r w:rsidR="00EB6FF7">
        <w:t>správcem FN</w:t>
      </w:r>
      <w:r w:rsidR="00EB6FF7" w:rsidRPr="002C224A">
        <w:t xml:space="preserve"> </w:t>
      </w:r>
      <w:r w:rsidRPr="002C224A">
        <w:t xml:space="preserve">(příjemcem) přímo způsobilým MSP (konečným příjemcům) do určené výše způsobilých výdajů projektu. Podmínkou bude způsobilost projektu a zároveň současné </w:t>
      </w:r>
      <w:r w:rsidR="00DA44C2" w:rsidRPr="002C224A">
        <w:t>uzavření smlouvy o</w:t>
      </w:r>
      <w:r w:rsidR="00EB6FF7">
        <w:t xml:space="preserve"> komerčním</w:t>
      </w:r>
      <w:r w:rsidR="00DA44C2" w:rsidRPr="002C224A">
        <w:t xml:space="preserve"> </w:t>
      </w:r>
      <w:r w:rsidR="007E6D24" w:rsidRPr="002C224A">
        <w:t xml:space="preserve">bankovním </w:t>
      </w:r>
      <w:r w:rsidRPr="002C224A">
        <w:t>úvěru.</w:t>
      </w:r>
      <w:r w:rsidR="00DA44C2" w:rsidRPr="002C224A">
        <w:t xml:space="preserve"> </w:t>
      </w:r>
      <w:r w:rsidR="00DC0ABF" w:rsidRPr="002C224A">
        <w:t>T</w:t>
      </w:r>
      <w:r w:rsidRPr="002C224A">
        <w:t>ím dojde pro konečného příjemce v praxi ke složení úrokové sazby komerční a zvýhodněné</w:t>
      </w:r>
      <w:r w:rsidR="00EB6FF7">
        <w:t>, oba úvěry však budou oddělené</w:t>
      </w:r>
      <w:r w:rsidRPr="002C224A">
        <w:t>.</w:t>
      </w:r>
      <w:r w:rsidR="00391B15" w:rsidRPr="002C224A">
        <w:t xml:space="preserve"> </w:t>
      </w:r>
      <w:r w:rsidRPr="002C224A">
        <w:t xml:space="preserve">Zvýhodněné úvěry navrhujeme aplikovat s delší dobou splatnosti a sekundárním zástavním právem vůči zastaveným aktivům soukromé </w:t>
      </w:r>
      <w:r w:rsidR="00EB6FF7">
        <w:t>úvěrující</w:t>
      </w:r>
      <w:r w:rsidR="00EB6FF7" w:rsidRPr="002C224A">
        <w:t xml:space="preserve"> </w:t>
      </w:r>
      <w:r w:rsidRPr="002C224A">
        <w:t>instituci. Tímto způsobem bude posílena úvěrovatelnost podniku dalšími soukromými subjekty a nebude vytlačován soukromý kapitál – v efektu dojde k vyšší páce a investicím MSP.</w:t>
      </w:r>
    </w:p>
    <w:p w:rsidR="006D67F1" w:rsidRPr="002C224A" w:rsidRDefault="006D67F1" w:rsidP="00601A37"/>
    <w:p w:rsidR="006D67F1" w:rsidRPr="002C224A" w:rsidRDefault="006D67F1" w:rsidP="00601A37">
      <w:r w:rsidRPr="002C224A">
        <w:lastRenderedPageBreak/>
        <w:t>Na základě dalšího vyhodnocení a daných požadavků na způsobilé projekty lze záruky a zvýhodněné úvěry doplnit též o možnost podmíněného příspěvku na úhradu části úrokových nákladů – v případě realizace stanovených cílů a řádného splácení. Tento příspěvek by měl podpořit řádné splácení a dosažení účelu projektu.</w:t>
      </w:r>
    </w:p>
    <w:p w:rsidR="006D67F1" w:rsidRPr="002C224A" w:rsidRDefault="006D67F1" w:rsidP="00601A37"/>
    <w:p w:rsidR="006D67F1" w:rsidRPr="002C224A" w:rsidRDefault="006D67F1" w:rsidP="006F771D">
      <w:pPr>
        <w:pStyle w:val="Neslovannadpisy"/>
      </w:pPr>
      <w:r w:rsidRPr="002C224A">
        <w:t>Nástroj rizikového kapitálu</w:t>
      </w:r>
    </w:p>
    <w:p w:rsidR="006D67F1" w:rsidRPr="002C224A" w:rsidRDefault="006D67F1" w:rsidP="00CE3165">
      <w:r w:rsidRPr="002C224A">
        <w:t>Prvotní a rozvojovou fázi MSP</w:t>
      </w:r>
      <w:r w:rsidR="00E608B5">
        <w:t xml:space="preserve"> s vysokým růstovým potenciálem</w:t>
      </w:r>
      <w:r w:rsidRPr="002C224A">
        <w:t xml:space="preserve"> není vhodné financovat dluhově. Příliš velký podíl dluhu na zdrojích společnosti značně ztěžuje její pozici pro budoucí vyjednávání v dalších kolech financování</w:t>
      </w:r>
      <w:r w:rsidR="00E608B5">
        <w:t xml:space="preserve"> a neumožňuje rychlý růst</w:t>
      </w:r>
      <w:r w:rsidRPr="002C224A">
        <w:t xml:space="preserve">. </w:t>
      </w:r>
      <w:r w:rsidR="00E608B5">
        <w:t>N</w:t>
      </w:r>
      <w:r w:rsidRPr="002C224A">
        <w:t xml:space="preserve">ejvhodnější formou veřejné podpory </w:t>
      </w:r>
      <w:r w:rsidR="00E608B5">
        <w:t>pro nové podnikatelské projekty</w:t>
      </w:r>
      <w:r w:rsidRPr="002C224A">
        <w:t xml:space="preserve"> jsou v případě inovativních startupů investice do jejich základního kapitálu realizované prostřednictvím </w:t>
      </w:r>
      <w:r w:rsidR="00CD64E4">
        <w:t xml:space="preserve">struktury </w:t>
      </w:r>
      <w:r w:rsidRPr="00604DA8">
        <w:rPr>
          <w:b/>
        </w:rPr>
        <w:t>Národního inovačního fondu (NIF)</w:t>
      </w:r>
      <w:r w:rsidRPr="002C224A">
        <w:t>.</w:t>
      </w:r>
    </w:p>
    <w:p w:rsidR="006D67F1" w:rsidRDefault="006D67F1" w:rsidP="00CE3165"/>
    <w:p w:rsidR="00E608B5" w:rsidRDefault="00E608B5" w:rsidP="00CE3165">
      <w:r>
        <w:t>NIF by měl být založen na dvou zákl</w:t>
      </w:r>
      <w:r w:rsidR="00EA4933">
        <w:t>adních investičních přístupech – investicích jednak přímo do cílových projektů a jednak do soukromých fondů rizikového kapitálu. Obě cesty předběžné posouzení doporučuje k realizaci.</w:t>
      </w:r>
    </w:p>
    <w:p w:rsidR="00CE7A24" w:rsidRPr="002C224A" w:rsidRDefault="00CE7A24" w:rsidP="00CE3165"/>
    <w:p w:rsidR="006D67F1" w:rsidRPr="002C224A" w:rsidRDefault="00EA4933" w:rsidP="00CE3165">
      <w:r>
        <w:rPr>
          <w:b/>
        </w:rPr>
        <w:t>I</w:t>
      </w:r>
      <w:r w:rsidR="006F315A" w:rsidRPr="002C224A">
        <w:rPr>
          <w:b/>
        </w:rPr>
        <w:t>nvest</w:t>
      </w:r>
      <w:r>
        <w:rPr>
          <w:b/>
        </w:rPr>
        <w:t>ice do</w:t>
      </w:r>
      <w:r w:rsidR="007D27C3">
        <w:rPr>
          <w:b/>
        </w:rPr>
        <w:t xml:space="preserve"> soukromých</w:t>
      </w:r>
      <w:r w:rsidR="006D67F1" w:rsidRPr="002C224A">
        <w:rPr>
          <w:b/>
        </w:rPr>
        <w:t xml:space="preserve"> fondů rizikového kapitálu</w:t>
      </w:r>
      <w:r w:rsidR="006D67F1" w:rsidRPr="002C224A">
        <w:t xml:space="preserve"> </w:t>
      </w:r>
      <w:r w:rsidR="00CE7A24">
        <w:t>-</w:t>
      </w:r>
      <w:r w:rsidR="006D67F1" w:rsidRPr="002C224A">
        <w:t xml:space="preserve"> </w:t>
      </w:r>
      <w:r w:rsidR="007E6D24" w:rsidRPr="002C224A">
        <w:t xml:space="preserve"> </w:t>
      </w:r>
      <w:r>
        <w:t>NIF by</w:t>
      </w:r>
      <w:r w:rsidR="007D27C3">
        <w:t xml:space="preserve"> investoval za preferenčních podmínek do vybraných fondů s požadovanou investiční strategií, které by následně byly zodpovědné za investice do cílových subjektů a jejich zhodnocení.</w:t>
      </w:r>
      <w:r>
        <w:t xml:space="preserve"> </w:t>
      </w:r>
      <w:r w:rsidR="00D804D0" w:rsidRPr="002C224A">
        <w:t>M</w:t>
      </w:r>
      <w:r w:rsidR="006D67F1" w:rsidRPr="002C224A">
        <w:t xml:space="preserve">anažeři těchto fondů </w:t>
      </w:r>
      <w:r w:rsidR="00D804D0" w:rsidRPr="002C224A">
        <w:t xml:space="preserve">musí splnit </w:t>
      </w:r>
      <w:r w:rsidR="006D67F1" w:rsidRPr="002C224A">
        <w:t xml:space="preserve">stanovené požadavky na zkušenosti a kredibilitu v oblasti investování rizikového kapitálu, stejně jako zajištění závazků soukromých investorů, neboť NIF </w:t>
      </w:r>
      <w:r w:rsidR="007D27C3">
        <w:t>bude provádět</w:t>
      </w:r>
      <w:r w:rsidR="007D27C3" w:rsidRPr="002C224A">
        <w:t xml:space="preserve"> </w:t>
      </w:r>
      <w:r w:rsidR="006F315A" w:rsidRPr="002C224A">
        <w:t xml:space="preserve">due diligence </w:t>
      </w:r>
      <w:r w:rsidR="006D67F1" w:rsidRPr="002C224A">
        <w:t xml:space="preserve">na úrovni fondů, do kterých investuje. NIF </w:t>
      </w:r>
      <w:r w:rsidR="007D27C3">
        <w:t>bude investovat</w:t>
      </w:r>
      <w:r w:rsidR="007D27C3" w:rsidRPr="002C224A">
        <w:t xml:space="preserve"> </w:t>
      </w:r>
      <w:r w:rsidR="006D67F1" w:rsidRPr="002C224A">
        <w:t>typicky jako limited partner se specifickými požadavky na investiční strategii s ohledem na cíle operačního programu.</w:t>
      </w:r>
      <w:r w:rsidR="0057586E">
        <w:t xml:space="preserve"> Tímto způsobem bude podpořen růst komerčního trhu s rizikovým kapitálem</w:t>
      </w:r>
      <w:r w:rsidR="00AF59D5">
        <w:t xml:space="preserve"> a vznik nových investičních subjektů zaměřených na cílové oblasti OP PIK</w:t>
      </w:r>
      <w:r w:rsidR="0057586E">
        <w:t>.</w:t>
      </w:r>
      <w:r w:rsidR="006D67F1" w:rsidRPr="002C224A">
        <w:t xml:space="preserve"> </w:t>
      </w:r>
      <w:r w:rsidR="00551FA0" w:rsidRPr="002C224A">
        <w:t xml:space="preserve">Nástroj by měl umožnit též podporu </w:t>
      </w:r>
      <w:r w:rsidR="006D67F1" w:rsidRPr="002C224A">
        <w:t>na scouting costs</w:t>
      </w:r>
      <w:r w:rsidR="00895890">
        <w:t xml:space="preserve">, která by usnadnila </w:t>
      </w:r>
      <w:r w:rsidR="00AF59D5">
        <w:t>investorům</w:t>
      </w:r>
      <w:r w:rsidR="00895890">
        <w:t xml:space="preserve"> průzkum nových segmentů trhu</w:t>
      </w:r>
      <w:r w:rsidR="006D67F1" w:rsidRPr="002C224A">
        <w:t>.</w:t>
      </w:r>
    </w:p>
    <w:p w:rsidR="006D67F1" w:rsidRPr="002C224A" w:rsidRDefault="006D67F1" w:rsidP="00CE3165"/>
    <w:p w:rsidR="006D67F1" w:rsidRPr="002C224A" w:rsidRDefault="006D67F1" w:rsidP="00CE3165">
      <w:r w:rsidRPr="002C224A">
        <w:rPr>
          <w:b/>
        </w:rPr>
        <w:t xml:space="preserve">NIF by měl mít též možnost </w:t>
      </w:r>
      <w:r w:rsidR="00BC6AB6">
        <w:rPr>
          <w:b/>
        </w:rPr>
        <w:t>investovat přímo</w:t>
      </w:r>
      <w:r w:rsidR="00BC6AB6" w:rsidRPr="002C224A">
        <w:rPr>
          <w:b/>
        </w:rPr>
        <w:t xml:space="preserve"> </w:t>
      </w:r>
      <w:r w:rsidR="00BC6AB6">
        <w:rPr>
          <w:b/>
        </w:rPr>
        <w:t>do</w:t>
      </w:r>
      <w:r w:rsidRPr="002C224A">
        <w:rPr>
          <w:b/>
        </w:rPr>
        <w:t xml:space="preserve"> konkrétní</w:t>
      </w:r>
      <w:r w:rsidR="00BC6AB6">
        <w:rPr>
          <w:b/>
        </w:rPr>
        <w:t>ch</w:t>
      </w:r>
      <w:r w:rsidRPr="002C224A">
        <w:rPr>
          <w:b/>
        </w:rPr>
        <w:t xml:space="preserve"> projekt</w:t>
      </w:r>
      <w:r w:rsidR="00BC6AB6">
        <w:rPr>
          <w:b/>
        </w:rPr>
        <w:t>ů</w:t>
      </w:r>
      <w:r w:rsidRPr="002C224A">
        <w:t xml:space="preserve"> v seed a startup fázi,</w:t>
      </w:r>
      <w:r w:rsidR="00BC6AB6">
        <w:t xml:space="preserve"> s podmínkou současné koinvestice soukromého investora (za preferenčních podmínek). Tyto investice mohou navázat i na pre-seed podporu SC 1.2. Koinvestoři musí být opět podrobeni </w:t>
      </w:r>
      <w:r w:rsidRPr="002C224A">
        <w:t>ze strany NIF due diligence (např. EIF takto postupuje v případě European Angels Fund). NIF může dále pomoci rozvinout např. vhodný program vzdělávání business angels. Přímé koinvestice v seed a startup fázi mohou být poskytovány také ve formě</w:t>
      </w:r>
      <w:r w:rsidR="00BC6AB6">
        <w:t xml:space="preserve"> kvazi-kapitálového vstupu v podobě</w:t>
      </w:r>
      <w:r w:rsidRPr="002C224A">
        <w:t xml:space="preserve"> podřízeného úvěru po vzoru německého Hjgh-Tech Gründerfonds spravovaného německou rozvojovou bankou KfW.</w:t>
      </w:r>
    </w:p>
    <w:p w:rsidR="006D67F1" w:rsidRPr="002C224A" w:rsidRDefault="006D67F1" w:rsidP="00CE3165"/>
    <w:p w:rsidR="006D67F1" w:rsidRPr="002C224A" w:rsidRDefault="006D67F1" w:rsidP="00CE3165">
      <w:r w:rsidRPr="002C224A">
        <w:t>Pro investice v seed a startup fázi je také doporučeno úzce spolupracovat s podnikatelskými inkubátory a akcelerátory, které mohou NIF a soukromým investorům poskytnout potřebné deal flow.</w:t>
      </w:r>
    </w:p>
    <w:p w:rsidR="006D67F1" w:rsidRDefault="006D67F1" w:rsidP="00CE3165"/>
    <w:p w:rsidR="006D67F1" w:rsidRPr="002C224A" w:rsidRDefault="006D67F1" w:rsidP="00D76421">
      <w:r w:rsidRPr="002C224A">
        <w:t xml:space="preserve">Jedním z klíčových rizik úspěchu fondu je na jedné straně zapojení dostatečně kvalifikovaných soukromých spoluinvestorů, na straně druhé dostatečný počet kvalitních projektů, které budou mít o kapitálové vstupy zájem. Tyto rizika je vhodné adresovat </w:t>
      </w:r>
    </w:p>
    <w:p w:rsidR="006D67F1" w:rsidRPr="002C224A" w:rsidRDefault="006D67F1">
      <w:pPr>
        <w:numPr>
          <w:ilvl w:val="0"/>
          <w:numId w:val="51"/>
        </w:numPr>
        <w:overflowPunct/>
        <w:autoSpaceDE/>
        <w:autoSpaceDN/>
        <w:adjustRightInd/>
        <w:textAlignment w:val="auto"/>
      </w:pPr>
      <w:r w:rsidRPr="002C224A">
        <w:t>důrazem na maximálně transparentní nastavení nových struktur, obsazení klíčových manažerských pozic respektovanými profesionály;</w:t>
      </w:r>
    </w:p>
    <w:p w:rsidR="006D67F1" w:rsidRPr="002C224A" w:rsidRDefault="006D67F1" w:rsidP="006F771D">
      <w:pPr>
        <w:pStyle w:val="Odstavecseseznamem1"/>
        <w:numPr>
          <w:ilvl w:val="0"/>
          <w:numId w:val="51"/>
        </w:numPr>
      </w:pPr>
      <w:r w:rsidRPr="002C224A">
        <w:t>vhodně nastavenou podporou do oblasti pre-seed, která bude stimulovat deal-flow ze strany výsledků VaV;</w:t>
      </w:r>
    </w:p>
    <w:p w:rsidR="006D67F1" w:rsidRPr="002C224A" w:rsidRDefault="006D67F1" w:rsidP="00443EA1">
      <w:pPr>
        <w:pStyle w:val="Odstavecseseznamem1"/>
        <w:numPr>
          <w:ilvl w:val="0"/>
          <w:numId w:val="51"/>
        </w:numPr>
      </w:pPr>
      <w:r w:rsidRPr="002C224A">
        <w:t>zvyšováním investiční připravenosti (investor readiness) podnikatelů, zejména vytvořením účinného systému poradenství a koučinku;</w:t>
      </w:r>
    </w:p>
    <w:p w:rsidR="006D67F1" w:rsidRPr="002C224A" w:rsidRDefault="006D67F1" w:rsidP="006F771D">
      <w:pPr>
        <w:pStyle w:val="Odstavecseseznamem1"/>
        <w:numPr>
          <w:ilvl w:val="0"/>
          <w:numId w:val="51"/>
        </w:numPr>
      </w:pPr>
      <w:r w:rsidRPr="002C224A">
        <w:t>preferenčním nastavením vůči spoluinvestorům v rámci dělení zisku z projektů a jejich případnou účasti na kontrolních/poradních orgánech veřejného fondu.</w:t>
      </w:r>
    </w:p>
    <w:p w:rsidR="006D67F1" w:rsidRPr="002C224A" w:rsidRDefault="006D67F1" w:rsidP="00D76421"/>
    <w:p w:rsidR="006D67F1" w:rsidRPr="002C224A" w:rsidRDefault="006D67F1" w:rsidP="00CE3165">
      <w:r w:rsidRPr="002C224A">
        <w:lastRenderedPageBreak/>
        <w:t xml:space="preserve">Pro úspěch projektu NIF je klíčový výběr jeho managementu, který musí být profesionální a nezávislý, jinak fond nezíská potřebnou kredibilitu, jak rovněž ukazují zahraniční zkušenosti. Pro výběr managementu je možné využít např. výběrová řízení </w:t>
      </w:r>
      <w:r w:rsidR="00CD64E4">
        <w:t>a též</w:t>
      </w:r>
      <w:r w:rsidRPr="002C224A">
        <w:t xml:space="preserve"> využít možnosti přímého zadání Evropskému investičnímu fondu, který v oblasti rizikového kapitálu disponuje rozsáhlou expertízou a zkušeností z různých zemí.</w:t>
      </w:r>
    </w:p>
    <w:p w:rsidR="006D67F1" w:rsidRPr="002C224A" w:rsidRDefault="006D67F1" w:rsidP="00CE3165"/>
    <w:p w:rsidR="006D67F1" w:rsidRPr="002C224A" w:rsidRDefault="006D67F1" w:rsidP="00CE3165">
      <w:pPr>
        <w:rPr>
          <w:b/>
        </w:rPr>
      </w:pPr>
      <w:r w:rsidRPr="002C224A">
        <w:t xml:space="preserve">Jedním z klíčových prvků investiční strategie NIF je také zahrnutí projektů startupů usazených na území hlavního města Prahy, neboť v případě regionálního omezení fondu by se v návaznosti na zjištěné reakce strany nabídky během rozhovorů k první části předběžného posouzení nejednalo o funkční schéma. Je proto nutné pracovat na </w:t>
      </w:r>
      <w:r w:rsidRPr="002C224A">
        <w:rPr>
          <w:b/>
        </w:rPr>
        <w:t xml:space="preserve">zajištění spolupráce a komplementarity s OP PPR, </w:t>
      </w:r>
      <w:r w:rsidRPr="002C224A">
        <w:t>jelikož regionální omezení OP PIK přímé podpoře v pražském regionu zamezuje</w:t>
      </w:r>
      <w:r w:rsidRPr="002C224A">
        <w:rPr>
          <w:b/>
        </w:rPr>
        <w:t>.</w:t>
      </w:r>
      <w:r w:rsidR="00322321" w:rsidRPr="002C224A">
        <w:rPr>
          <w:b/>
        </w:rPr>
        <w:t xml:space="preserve"> </w:t>
      </w:r>
      <w:r w:rsidR="00322321" w:rsidRPr="002C224A">
        <w:t>K tomuto závěru</w:t>
      </w:r>
      <w:r w:rsidR="00322321" w:rsidRPr="002C224A">
        <w:rPr>
          <w:b/>
        </w:rPr>
        <w:t xml:space="preserve"> </w:t>
      </w:r>
      <w:r w:rsidR="00322321" w:rsidRPr="002C224A">
        <w:t>dospělo</w:t>
      </w:r>
      <w:r w:rsidR="00322321" w:rsidRPr="002C224A">
        <w:rPr>
          <w:b/>
        </w:rPr>
        <w:t xml:space="preserve"> </w:t>
      </w:r>
      <w:r w:rsidR="00322321" w:rsidRPr="002C224A">
        <w:t>předběžné posouzení na základě kontroly konzistence s další dostupnou podporou</w:t>
      </w:r>
      <w:r w:rsidR="00322321" w:rsidRPr="002C224A">
        <w:rPr>
          <w:b/>
        </w:rPr>
        <w:t xml:space="preserve"> </w:t>
      </w:r>
      <w:r w:rsidR="00322321" w:rsidRPr="002C224A">
        <w:t>v souladu s Obecnou metodikou EK.</w:t>
      </w:r>
    </w:p>
    <w:p w:rsidR="006D67F1" w:rsidRPr="002C224A" w:rsidRDefault="006D67F1" w:rsidP="00CE3165">
      <w:pPr>
        <w:rPr>
          <w:b/>
        </w:rPr>
      </w:pPr>
    </w:p>
    <w:p w:rsidR="006D67F1" w:rsidRPr="002C224A" w:rsidRDefault="006D67F1" w:rsidP="006D4CCA">
      <w:r w:rsidRPr="002C224A">
        <w:t>Uvolnění větších kapitálových zdrojů samo identifikovanou tržní mezeru nemůže vyřešit. Bez stálého přílivu firem s vysokým potenciálem připravených na investici skončí další investice ve firmách nízké kvality, což povede k selhání podpory.</w:t>
      </w:r>
    </w:p>
    <w:p w:rsidR="006D67F1" w:rsidRPr="002C224A" w:rsidRDefault="006D67F1" w:rsidP="006D4CCA"/>
    <w:p w:rsidR="006D67F1" w:rsidRPr="002C224A" w:rsidRDefault="006D67F1" w:rsidP="006F771D">
      <w:r w:rsidRPr="002C224A">
        <w:t>K zajištění správného fungování je tedy třeba dále rozvinout podporu celkovému startupovému prostředí v ČR v těchto oblastech</w:t>
      </w:r>
    </w:p>
    <w:p w:rsidR="006D67F1" w:rsidRPr="002C224A" w:rsidRDefault="006D67F1" w:rsidP="006F771D">
      <w:pPr>
        <w:pStyle w:val="Odstavecseseznamem1"/>
        <w:numPr>
          <w:ilvl w:val="0"/>
          <w:numId w:val="52"/>
        </w:numPr>
      </w:pPr>
      <w:r w:rsidRPr="002C224A">
        <w:t>budování startupové komunity a networking</w:t>
      </w:r>
    </w:p>
    <w:p w:rsidR="006D67F1" w:rsidRPr="002C224A" w:rsidRDefault="006D67F1" w:rsidP="006D4CCA">
      <w:pPr>
        <w:numPr>
          <w:ilvl w:val="0"/>
          <w:numId w:val="34"/>
        </w:numPr>
        <w:overflowPunct/>
        <w:autoSpaceDE/>
        <w:autoSpaceDN/>
        <w:adjustRightInd/>
        <w:textAlignment w:val="auto"/>
      </w:pPr>
      <w:r w:rsidRPr="002C224A">
        <w:t>technologické inkubátory a startup akcelerátory</w:t>
      </w:r>
    </w:p>
    <w:p w:rsidR="006D67F1" w:rsidRPr="002C224A" w:rsidRDefault="006D67F1" w:rsidP="006D4CCA">
      <w:pPr>
        <w:numPr>
          <w:ilvl w:val="0"/>
          <w:numId w:val="34"/>
        </w:numPr>
        <w:overflowPunct/>
        <w:autoSpaceDE/>
        <w:autoSpaceDN/>
        <w:adjustRightInd/>
        <w:textAlignment w:val="auto"/>
      </w:pPr>
      <w:r w:rsidRPr="002C224A">
        <w:t>podnikatelské vzdělávání</w:t>
      </w:r>
    </w:p>
    <w:p w:rsidR="006D67F1" w:rsidRPr="002C224A" w:rsidRDefault="006D67F1" w:rsidP="006D4CCA">
      <w:pPr>
        <w:numPr>
          <w:ilvl w:val="0"/>
          <w:numId w:val="34"/>
        </w:numPr>
        <w:overflowPunct/>
        <w:autoSpaceDE/>
        <w:autoSpaceDN/>
        <w:adjustRightInd/>
        <w:textAlignment w:val="auto"/>
      </w:pPr>
      <w:r w:rsidRPr="002C224A">
        <w:t>profesní komunity: VC &amp; asociace, kluby BA, sítě (networks)</w:t>
      </w:r>
    </w:p>
    <w:p w:rsidR="006D67F1" w:rsidRPr="002C224A" w:rsidRDefault="006D67F1" w:rsidP="006D4CCA">
      <w:pPr>
        <w:numPr>
          <w:ilvl w:val="0"/>
          <w:numId w:val="34"/>
        </w:numPr>
        <w:overflowPunct/>
        <w:autoSpaceDE/>
        <w:autoSpaceDN/>
        <w:adjustRightInd/>
        <w:textAlignment w:val="auto"/>
      </w:pPr>
      <w:r w:rsidRPr="002C224A">
        <w:t>příznivá regulace a daňové stimuly</w:t>
      </w:r>
    </w:p>
    <w:p w:rsidR="006D67F1" w:rsidRPr="002C224A" w:rsidRDefault="006D67F1" w:rsidP="006D4CCA">
      <w:pPr>
        <w:numPr>
          <w:ilvl w:val="0"/>
          <w:numId w:val="34"/>
        </w:numPr>
        <w:overflowPunct/>
        <w:autoSpaceDE/>
        <w:autoSpaceDN/>
        <w:adjustRightInd/>
        <w:textAlignment w:val="auto"/>
      </w:pPr>
      <w:r w:rsidRPr="002C224A">
        <w:t>spojnice mezi venture fondy, vzdělávacími a výzkumnými uzly a rozvojem firem</w:t>
      </w:r>
    </w:p>
    <w:p w:rsidR="006D67F1" w:rsidRPr="002C224A" w:rsidRDefault="006D67F1" w:rsidP="00CE3165"/>
    <w:p w:rsidR="006D67F1" w:rsidRPr="002C224A" w:rsidRDefault="006D67F1" w:rsidP="00CE3165">
      <w:r w:rsidRPr="002C224A">
        <w:t>Vhodné je zde propojení NIF s aktivitami, které doposud provozovala agentura CzechInvest (CzechAccelerator, CzechEkoSystem). K této podpoře by měly mít projekty podpořené v NIF prioritní přístup, např. prostřednictvím zjednodušených žádostí o tuto doplňkovou podporu. Doplňkově je možné podpořit též exity a to např. ve formě úhrady nákladů na IPO na alternativních investičních platformách.</w:t>
      </w:r>
    </w:p>
    <w:p w:rsidR="006D67F1" w:rsidRPr="002C224A" w:rsidRDefault="006D67F1" w:rsidP="00CE3165"/>
    <w:p w:rsidR="006D67F1" w:rsidRPr="00A50943" w:rsidRDefault="00C1713B" w:rsidP="00CE3165">
      <w:pPr>
        <w:rPr>
          <w:b/>
        </w:rPr>
      </w:pPr>
      <w:r w:rsidRPr="002C224A">
        <w:rPr>
          <w:b/>
        </w:rPr>
        <w:t>Alokace</w:t>
      </w:r>
    </w:p>
    <w:p w:rsidR="001C6D1E" w:rsidRPr="002C224A" w:rsidRDefault="00023FE0" w:rsidP="00CE3165">
      <w:r w:rsidRPr="002C224A">
        <w:t xml:space="preserve">Zvýhodněné úvěry a záruky v SC 2.1 jsou nástroje s ověřenou absorpční kapacitou a výrazným makroekonomickým efektem investic MSP. </w:t>
      </w:r>
      <w:r w:rsidRPr="00A50943">
        <w:rPr>
          <w:b/>
        </w:rPr>
        <w:t>Alokace v</w:t>
      </w:r>
      <w:r w:rsidRPr="002C224A">
        <w:rPr>
          <w:b/>
        </w:rPr>
        <w:t> rozmezí 8</w:t>
      </w:r>
      <w:r w:rsidR="00496BBD">
        <w:rPr>
          <w:b/>
        </w:rPr>
        <w:t xml:space="preserve"> </w:t>
      </w:r>
      <w:r w:rsidRPr="002C224A">
        <w:rPr>
          <w:b/>
        </w:rPr>
        <w:t>850-</w:t>
      </w:r>
      <w:smartTag w:uri="urn:schemas-microsoft-com:office:smarttags" w:element="metricconverter">
        <w:smartTagPr>
          <w:attr w:name="ProductID" w:val="12ﾠ000 mil"/>
        </w:smartTagPr>
        <w:r w:rsidRPr="002C224A">
          <w:rPr>
            <w:b/>
          </w:rPr>
          <w:t>12 000 mil</w:t>
        </w:r>
      </w:smartTag>
      <w:r w:rsidRPr="002C224A">
        <w:rPr>
          <w:b/>
        </w:rPr>
        <w:t>. Kč</w:t>
      </w:r>
      <w:r w:rsidRPr="002C224A">
        <w:t xml:space="preserve"> by měla </w:t>
      </w:r>
      <w:r w:rsidR="00493018" w:rsidRPr="00A50943">
        <w:t xml:space="preserve">dle rámcové modelace výsledků </w:t>
      </w:r>
      <w:r w:rsidRPr="002C224A">
        <w:t xml:space="preserve">adekvátně pokrýt odhadované tržní selhání. </w:t>
      </w:r>
    </w:p>
    <w:p w:rsidR="00023FE0" w:rsidRPr="002C224A" w:rsidRDefault="00023FE0" w:rsidP="00CE3165"/>
    <w:p w:rsidR="00023FE0" w:rsidRDefault="00023FE0" w:rsidP="00CE3165">
      <w:r w:rsidRPr="002C224A">
        <w:t xml:space="preserve">V případě rizikového kapitálu považujeme za </w:t>
      </w:r>
      <w:r w:rsidR="00284379" w:rsidRPr="002C224A">
        <w:t xml:space="preserve">rozumnou </w:t>
      </w:r>
      <w:r w:rsidR="00284379" w:rsidRPr="00A50943">
        <w:rPr>
          <w:b/>
        </w:rPr>
        <w:t>pilotní alokaci fondu 8</w:t>
      </w:r>
      <w:r w:rsidR="00BB16F8">
        <w:rPr>
          <w:b/>
        </w:rPr>
        <w:t>00</w:t>
      </w:r>
      <w:r w:rsidR="00284379" w:rsidRPr="00A50943">
        <w:rPr>
          <w:b/>
        </w:rPr>
        <w:t>-</w:t>
      </w:r>
      <w:smartTag w:uri="urn:schemas-microsoft-com:office:smarttags" w:element="metricconverter">
        <w:smartTagPr>
          <w:attr w:name="ProductID" w:val="1 100 mil"/>
        </w:smartTagPr>
        <w:r w:rsidR="00284379" w:rsidRPr="00A50943">
          <w:rPr>
            <w:b/>
          </w:rPr>
          <w:t>1</w:t>
        </w:r>
        <w:r w:rsidR="00BB16F8">
          <w:rPr>
            <w:b/>
          </w:rPr>
          <w:t xml:space="preserve"> </w:t>
        </w:r>
        <w:r w:rsidR="00284379" w:rsidRPr="00A50943">
          <w:rPr>
            <w:b/>
          </w:rPr>
          <w:t>100 mil</w:t>
        </w:r>
      </w:smartTag>
      <w:r w:rsidR="00284379" w:rsidRPr="00A50943">
        <w:rPr>
          <w:b/>
        </w:rPr>
        <w:t>. Kč</w:t>
      </w:r>
      <w:r w:rsidR="00284379" w:rsidRPr="002C224A">
        <w:t>, při které fond může vytvoři</w:t>
      </w:r>
      <w:r w:rsidR="00F015CD" w:rsidRPr="002C224A">
        <w:t>t dostatečné portfolio investic a zasáhnout tržní mezeru,</w:t>
      </w:r>
      <w:r w:rsidR="00284379" w:rsidRPr="002C224A">
        <w:t xml:space="preserve"> zároveň však nezahltí současný trh. V případě úspěšné realizace pre-seed fondu v SC 1.2 je </w:t>
      </w:r>
      <w:r w:rsidR="00A618D9" w:rsidRPr="002C224A">
        <w:t>vhodné</w:t>
      </w:r>
      <w:r w:rsidR="00284379" w:rsidRPr="002C224A">
        <w:t xml:space="preserve"> tuto alokaci</w:t>
      </w:r>
      <w:r w:rsidR="003B1CC1" w:rsidRPr="002C224A">
        <w:t xml:space="preserve"> dále</w:t>
      </w:r>
      <w:r w:rsidR="00284379" w:rsidRPr="002C224A">
        <w:t xml:space="preserve"> rozšířit.</w:t>
      </w:r>
    </w:p>
    <w:p w:rsidR="006D67F1" w:rsidRPr="002C224A" w:rsidRDefault="006D67F1" w:rsidP="00F87888">
      <w:pPr>
        <w:pStyle w:val="Nadpis4"/>
        <w:rPr>
          <w:rFonts w:ascii="Calibri" w:hAnsi="Calibri"/>
        </w:rPr>
      </w:pPr>
      <w:bookmarkStart w:id="1082" w:name="_Toc416383975"/>
      <w:bookmarkStart w:id="1083" w:name="_Toc416447961"/>
      <w:bookmarkStart w:id="1084" w:name="_Toc416383976"/>
      <w:bookmarkStart w:id="1085" w:name="_Toc416447962"/>
      <w:bookmarkStart w:id="1086" w:name="_Toc416383977"/>
      <w:bookmarkStart w:id="1087" w:name="_Toc416447963"/>
      <w:bookmarkStart w:id="1088" w:name="_Toc416383978"/>
      <w:bookmarkStart w:id="1089" w:name="_Toc416447964"/>
      <w:bookmarkStart w:id="1090" w:name="_Toc416383979"/>
      <w:bookmarkStart w:id="1091" w:name="_Toc416447965"/>
      <w:bookmarkStart w:id="1092" w:name="_Toc416383980"/>
      <w:bookmarkStart w:id="1093" w:name="_Toc416447966"/>
      <w:bookmarkStart w:id="1094" w:name="_Toc416383981"/>
      <w:bookmarkStart w:id="1095" w:name="_Toc416447967"/>
      <w:bookmarkStart w:id="1096" w:name="_Toc414464605"/>
      <w:bookmarkStart w:id="1097" w:name="_Toc41680049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2C224A">
        <w:rPr>
          <w:rFonts w:ascii="Calibri" w:hAnsi="Calibri"/>
        </w:rPr>
        <w:lastRenderedPageBreak/>
        <w:t>Nejvhodnější možnosti implementace</w:t>
      </w:r>
    </w:p>
    <w:bookmarkEnd w:id="1096"/>
    <w:bookmarkEnd w:id="1097"/>
    <w:p w:rsidR="006D67F1" w:rsidRPr="002C224A" w:rsidRDefault="00636CC9" w:rsidP="00CE3165">
      <w:pPr>
        <w:pStyle w:val="CaptionIntroductionparagraph"/>
        <w:rPr>
          <w:rFonts w:ascii="Calibri" w:hAnsi="Calibri"/>
        </w:rPr>
      </w:pPr>
      <w:r w:rsidRPr="00636CC9">
        <w:rPr>
          <w:lang w:eastAsia="cs-CZ"/>
        </w:rPr>
        <w:t xml:space="preserve"> </w:t>
      </w:r>
      <w:r>
        <w:rPr>
          <w:noProof/>
          <w:lang w:eastAsia="cs-CZ"/>
        </w:rPr>
        <w:drawing>
          <wp:inline distT="0" distB="0" distL="0" distR="0" wp14:anchorId="11B62CE9" wp14:editId="14E5B3D3">
            <wp:extent cx="5400675" cy="3987916"/>
            <wp:effectExtent l="0" t="0" r="0" b="0"/>
            <wp:docPr id="18" name="Obrázek 18" descr="cid:image001.jpg@01D0A8F2.7B9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jpg@01D0A8F2.7B9860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07333" cy="3992832"/>
                    </a:xfrm>
                    <a:prstGeom prst="rect">
                      <a:avLst/>
                    </a:prstGeom>
                    <a:noFill/>
                    <a:ln>
                      <a:noFill/>
                    </a:ln>
                  </pic:spPr>
                </pic:pic>
              </a:graphicData>
            </a:graphic>
          </wp:inline>
        </w:drawing>
      </w:r>
    </w:p>
    <w:p w:rsidR="006D67F1" w:rsidRPr="002C224A" w:rsidRDefault="006D67F1" w:rsidP="00CE3165">
      <w:pPr>
        <w:pStyle w:val="CaptionIntroductionparagraph"/>
        <w:jc w:val="center"/>
        <w:rPr>
          <w:rFonts w:ascii="Calibri" w:hAnsi="Calibri"/>
        </w:rPr>
      </w:pPr>
    </w:p>
    <w:p w:rsidR="006D67F1" w:rsidRPr="002C224A" w:rsidRDefault="002741FC" w:rsidP="002741FC">
      <w:pPr>
        <w:pStyle w:val="Titulek"/>
      </w:pPr>
      <w:r w:rsidRPr="002C224A">
        <w:t xml:space="preserve">Obrázek </w:t>
      </w:r>
      <w:r w:rsidR="00646277">
        <w:t>40</w:t>
      </w:r>
      <w:r w:rsidRPr="002C224A">
        <w:t>: kapitálový nástroj – Národní inovační fond (SC 2.1)</w:t>
      </w:r>
    </w:p>
    <w:p w:rsidR="00E572F2" w:rsidRPr="002C224A" w:rsidRDefault="00E572F2" w:rsidP="00CE3165">
      <w:pPr>
        <w:pStyle w:val="CaptionIntroductionparagraph"/>
        <w:keepNext/>
        <w:rPr>
          <w:rFonts w:ascii="Calibri" w:hAnsi="Calibri"/>
        </w:rPr>
      </w:pPr>
    </w:p>
    <w:p w:rsidR="006D67F1" w:rsidRPr="002C224A" w:rsidRDefault="007A3F34" w:rsidP="008366D3">
      <w:pPr>
        <w:pStyle w:val="CaptionIntroductionparagraph"/>
        <w:keepNext/>
        <w:rPr>
          <w:rFonts w:ascii="Calibri" w:hAnsi="Calibri"/>
        </w:rPr>
      </w:pPr>
      <w:r>
        <w:rPr>
          <w:noProof/>
          <w:lang w:eastAsia="cs-CZ"/>
        </w:rPr>
        <w:drawing>
          <wp:inline distT="0" distB="0" distL="0" distR="0" wp14:anchorId="4B305C93" wp14:editId="195C52B7">
            <wp:extent cx="5248275" cy="3971925"/>
            <wp:effectExtent l="0" t="0" r="9525" b="9525"/>
            <wp:docPr id="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5248275" cy="3971925"/>
                    </a:xfrm>
                    <a:prstGeom prst="rect">
                      <a:avLst/>
                    </a:prstGeom>
                    <a:noFill/>
                    <a:ln>
                      <a:noFill/>
                    </a:ln>
                  </pic:spPr>
                </pic:pic>
              </a:graphicData>
            </a:graphic>
          </wp:inline>
        </w:drawing>
      </w:r>
    </w:p>
    <w:p w:rsidR="002741FC" w:rsidRPr="002C224A" w:rsidRDefault="002741FC" w:rsidP="002741FC">
      <w:pPr>
        <w:pStyle w:val="Titulek"/>
      </w:pPr>
      <w:r w:rsidRPr="002C224A">
        <w:t xml:space="preserve">Obrázek </w:t>
      </w:r>
      <w:r w:rsidR="00646277">
        <w:t>41</w:t>
      </w:r>
      <w:r w:rsidRPr="002C224A">
        <w:t>: Úvěrový nástroj (SC 2.1)</w:t>
      </w:r>
    </w:p>
    <w:p w:rsidR="002741FC" w:rsidRPr="00A50943" w:rsidRDefault="002741FC" w:rsidP="002741FC">
      <w:pPr>
        <w:rPr>
          <w:lang w:eastAsia="en-US"/>
        </w:rPr>
      </w:pPr>
    </w:p>
    <w:p w:rsidR="006D67F1" w:rsidRPr="00A50943" w:rsidRDefault="006D67F1" w:rsidP="00CE3165">
      <w:pPr>
        <w:jc w:val="center"/>
        <w:rPr>
          <w:b/>
          <w:noProof/>
          <w:color w:val="3C8A2E"/>
          <w:kern w:val="32"/>
          <w:sz w:val="24"/>
          <w:szCs w:val="26"/>
        </w:rPr>
      </w:pPr>
    </w:p>
    <w:p w:rsidR="004224C3" w:rsidRPr="002C224A" w:rsidRDefault="004224C3" w:rsidP="0074622E">
      <w:pPr>
        <w:pStyle w:val="Titulek"/>
      </w:pPr>
    </w:p>
    <w:p w:rsidR="002727B4" w:rsidRDefault="00CA7379" w:rsidP="002C224A">
      <w:pPr>
        <w:pStyle w:val="Titulek"/>
      </w:pPr>
      <w:r>
        <w:rPr>
          <w:noProof/>
          <w:lang w:eastAsia="cs-CZ"/>
        </w:rPr>
        <w:drawing>
          <wp:inline distT="0" distB="0" distL="0" distR="0" wp14:anchorId="05DDEBC2" wp14:editId="2DAA2A93">
            <wp:extent cx="5106147" cy="410527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720" t="14991" r="23012" b="13874"/>
                    <a:stretch/>
                  </pic:blipFill>
                  <pic:spPr bwMode="auto">
                    <a:xfrm>
                      <a:off x="0" y="0"/>
                      <a:ext cx="5114074" cy="4111648"/>
                    </a:xfrm>
                    <a:prstGeom prst="rect">
                      <a:avLst/>
                    </a:prstGeom>
                    <a:ln>
                      <a:noFill/>
                    </a:ln>
                    <a:extLst>
                      <a:ext uri="{53640926-AAD7-44D8-BBD7-CCE9431645EC}">
                        <a14:shadowObscured xmlns:a14="http://schemas.microsoft.com/office/drawing/2010/main"/>
                      </a:ext>
                    </a:extLst>
                  </pic:spPr>
                </pic:pic>
              </a:graphicData>
            </a:graphic>
          </wp:inline>
        </w:drawing>
      </w:r>
    </w:p>
    <w:p w:rsidR="004224C3" w:rsidRPr="002C224A" w:rsidRDefault="002741FC" w:rsidP="002C224A">
      <w:pPr>
        <w:pStyle w:val="Titulek"/>
      </w:pPr>
      <w:r w:rsidRPr="002C224A">
        <w:t xml:space="preserve">Obrázek </w:t>
      </w:r>
      <w:r w:rsidR="00162D8A">
        <w:t>42</w:t>
      </w:r>
      <w:r w:rsidRPr="002C224A">
        <w:t>: Záruční nástroj (SC 2.1)</w:t>
      </w:r>
    </w:p>
    <w:p w:rsidR="004224C3" w:rsidRPr="002C224A" w:rsidRDefault="004224C3" w:rsidP="002C224A">
      <w:pPr>
        <w:pStyle w:val="Titulek"/>
      </w:pPr>
      <w:bookmarkStart w:id="1098" w:name="_Toc414464606"/>
      <w:bookmarkStart w:id="1099" w:name="_Toc416800492"/>
    </w:p>
    <w:p w:rsidR="006D67F1" w:rsidRPr="002C224A" w:rsidRDefault="006D67F1" w:rsidP="00452FC6">
      <w:pPr>
        <w:pStyle w:val="Nadpis4"/>
        <w:rPr>
          <w:rFonts w:ascii="Calibri" w:hAnsi="Calibri"/>
        </w:rPr>
      </w:pPr>
      <w:r w:rsidRPr="002C224A">
        <w:rPr>
          <w:rFonts w:ascii="Calibri" w:hAnsi="Calibri"/>
        </w:rPr>
        <w:t>Modelové scénáře vývoje portfolií, počet investic a revolvingový efekt</w:t>
      </w:r>
    </w:p>
    <w:p w:rsidR="00B10E84" w:rsidRPr="00A50943" w:rsidRDefault="00B10E84" w:rsidP="0061019B"/>
    <w:p w:rsidR="0061019B" w:rsidRPr="002C224A" w:rsidRDefault="0061019B" w:rsidP="0061019B">
      <w:r w:rsidRPr="002C224A">
        <w:t xml:space="preserve">Níže jsou prezentovány výsledky modelování potenciálních efektů využití navrhované části alokace specifického cíle na finanční nástroj, vč. specifikace výchozích atributů, na kterých je model postaven. </w:t>
      </w:r>
      <w:r w:rsidR="00B10E84" w:rsidRPr="002C224A">
        <w:t>Jedná se o modelové příklady, které slouží jako vodítko a měly by být rámcově respektovány při implementaci FN, nicméně nemohou být považovány za závazné s ohledem na dále prezentované předpoklady.</w:t>
      </w:r>
    </w:p>
    <w:p w:rsidR="005058AF" w:rsidRPr="002C224A" w:rsidRDefault="005058AF" w:rsidP="00C72C85">
      <w:pPr>
        <w:pStyle w:val="Neslovannadpisy"/>
      </w:pPr>
    </w:p>
    <w:p w:rsidR="006D67F1" w:rsidRPr="002C224A" w:rsidRDefault="006D67F1" w:rsidP="00C72C85">
      <w:pPr>
        <w:pStyle w:val="Neslovannadpisy"/>
        <w:rPr>
          <w:b w:val="0"/>
        </w:rPr>
      </w:pPr>
      <w:r w:rsidRPr="002C224A">
        <w:t>Úvěrový nástroj</w:t>
      </w:r>
    </w:p>
    <w:p w:rsidR="00F46C8D" w:rsidRPr="002C224A" w:rsidRDefault="00F46C8D" w:rsidP="00F46C8D">
      <w:r w:rsidRPr="002C224A">
        <w:t xml:space="preserve">V úvěrovém modelovém příkladu bylo pro zjednodušení abstrahováno od započítání úrokového zisku a poplatků za správu spolufinancujícího subjektu s předpokladem jejich částečné vzájemné kompenzace. Model zobrazuje scénáře pro různé úrovně předpokládaných ztrát a scénář pro příspěvky na subvenci úhrady úroků a přípravu projektu. </w:t>
      </w:r>
      <w:r w:rsidRPr="008366D3">
        <w:rPr>
          <w:b/>
        </w:rPr>
        <w:t xml:space="preserve">V modelové </w:t>
      </w:r>
      <w:r w:rsidR="004C15B5">
        <w:rPr>
          <w:b/>
        </w:rPr>
        <w:t>kalkulaci</w:t>
      </w:r>
      <w:r w:rsidR="004C15B5" w:rsidRPr="008366D3">
        <w:rPr>
          <w:b/>
        </w:rPr>
        <w:t xml:space="preserve"> </w:t>
      </w:r>
      <w:r w:rsidRPr="008366D3">
        <w:rPr>
          <w:b/>
        </w:rPr>
        <w:t>není započítán odklad splátek</w:t>
      </w:r>
      <w:r w:rsidRPr="002C224A">
        <w:t>. V případě jeho využití je tedy třeba počítat s částečným omezením revolvingu a tedy i počtu poskytnutých úvěrů pro toto programovací období</w:t>
      </w:r>
      <w:r w:rsidR="00FF5723">
        <w:t xml:space="preserve"> - revolvingové efekty budou posunuty do dalšího období (při pětiletém odkladu by splácení prvních úvěrů začalo až po roce 2020).</w:t>
      </w:r>
    </w:p>
    <w:p w:rsidR="0006460C" w:rsidRPr="002C224A" w:rsidRDefault="0006460C" w:rsidP="0006460C">
      <w:pPr>
        <w:pStyle w:val="Titulek"/>
      </w:pPr>
    </w:p>
    <w:p w:rsidR="0006460C" w:rsidRPr="002C224A" w:rsidRDefault="007A3F34" w:rsidP="0006460C">
      <w:pPr>
        <w:pStyle w:val="Titulek"/>
      </w:pPr>
      <w:r w:rsidRPr="003428AF">
        <w:rPr>
          <w:noProof/>
          <w:lang w:eastAsia="cs-CZ"/>
        </w:rPr>
        <w:lastRenderedPageBreak/>
        <w:drawing>
          <wp:inline distT="0" distB="0" distL="0" distR="0" wp14:anchorId="74300C9C" wp14:editId="7260BA40">
            <wp:extent cx="4377055" cy="2940050"/>
            <wp:effectExtent l="0" t="0" r="4445" b="12700"/>
            <wp:docPr id="79"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6460C" w:rsidRPr="002C224A" w:rsidRDefault="00646277" w:rsidP="0006460C">
      <w:pPr>
        <w:pStyle w:val="Titulek"/>
        <w:rPr>
          <w:noProof/>
          <w:lang w:eastAsia="cs-CZ"/>
        </w:rPr>
      </w:pPr>
      <w:r>
        <w:t xml:space="preserve">Obrázek </w:t>
      </w:r>
      <w:r w:rsidR="00162D8A">
        <w:t>43</w:t>
      </w:r>
      <w:r w:rsidRPr="002C224A">
        <w:t xml:space="preserve"> </w:t>
      </w:r>
      <w:r w:rsidR="0006460C" w:rsidRPr="002C224A">
        <w:t>: Potenciální efekty využití FN (</w:t>
      </w:r>
      <w:r w:rsidR="00F46C8D" w:rsidRPr="002C224A">
        <w:t xml:space="preserve">Scénář 1, </w:t>
      </w:r>
      <w:r w:rsidR="0006460C" w:rsidRPr="002C224A">
        <w:t xml:space="preserve">ztráty 10 %, bez příspěvku) </w:t>
      </w:r>
    </w:p>
    <w:p w:rsidR="0006460C" w:rsidRPr="002C224A" w:rsidRDefault="0006460C" w:rsidP="00C80201">
      <w:pPr>
        <w:pStyle w:val="BodyText1"/>
        <w:jc w:val="both"/>
        <w:rPr>
          <w:rFonts w:ascii="Calibri" w:hAnsi="Calibri"/>
        </w:rPr>
      </w:pPr>
    </w:p>
    <w:p w:rsidR="006D67F1" w:rsidRPr="002C224A" w:rsidRDefault="006D67F1" w:rsidP="00C80201">
      <w:pPr>
        <w:pStyle w:val="CaptionIntroductionparagraph"/>
        <w:rPr>
          <w:rFonts w:ascii="Calibri" w:hAnsi="Calibri"/>
        </w:rPr>
      </w:pPr>
    </w:p>
    <w:p w:rsidR="006D67F1" w:rsidRPr="002C224A" w:rsidRDefault="007A3F34" w:rsidP="00C80201">
      <w:pPr>
        <w:rPr>
          <w:noProof/>
        </w:rPr>
      </w:pPr>
      <w:r w:rsidRPr="003428AF">
        <w:rPr>
          <w:noProof/>
        </w:rPr>
        <w:drawing>
          <wp:inline distT="0" distB="0" distL="0" distR="0" wp14:anchorId="03D61394" wp14:editId="46B9BEA7">
            <wp:extent cx="4377055" cy="2940050"/>
            <wp:effectExtent l="0" t="0" r="4445" b="12700"/>
            <wp:docPr id="8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67F1" w:rsidRPr="002C224A" w:rsidRDefault="006D67F1" w:rsidP="00C80201">
      <w:pPr>
        <w:keepNext/>
        <w:jc w:val="center"/>
      </w:pPr>
    </w:p>
    <w:p w:rsidR="006D67F1" w:rsidRPr="002C224A" w:rsidRDefault="00646277" w:rsidP="00165EB0">
      <w:pPr>
        <w:pStyle w:val="Titulek"/>
        <w:rPr>
          <w:noProof/>
          <w:lang w:eastAsia="cs-CZ"/>
        </w:rPr>
      </w:pPr>
      <w:r>
        <w:t xml:space="preserve">Obrázek </w:t>
      </w:r>
      <w:r w:rsidR="00162D8A">
        <w:t>44</w:t>
      </w:r>
      <w:r w:rsidR="006D67F1" w:rsidRPr="002C224A">
        <w:t>: Potenciální efekty využití FN (</w:t>
      </w:r>
      <w:r w:rsidR="00F46C8D" w:rsidRPr="002C224A">
        <w:t xml:space="preserve">Scénář 2, </w:t>
      </w:r>
      <w:r w:rsidR="00B36FA0" w:rsidRPr="002C224A">
        <w:t>ztráty 20 %, bez příspěvku</w:t>
      </w:r>
      <w:r w:rsidR="006D67F1" w:rsidRPr="002C224A">
        <w:t xml:space="preserve">) </w:t>
      </w:r>
    </w:p>
    <w:p w:rsidR="006D67F1" w:rsidRPr="00A50943" w:rsidRDefault="006D67F1" w:rsidP="00C80201">
      <w:pPr>
        <w:rPr>
          <w:noProof/>
        </w:rPr>
      </w:pPr>
    </w:p>
    <w:p w:rsidR="0006460C" w:rsidRPr="00A50943" w:rsidRDefault="007A3F34" w:rsidP="00C80201">
      <w:pPr>
        <w:rPr>
          <w:noProof/>
        </w:rPr>
      </w:pPr>
      <w:r w:rsidRPr="003428AF">
        <w:rPr>
          <w:noProof/>
        </w:rPr>
        <w:lastRenderedPageBreak/>
        <w:drawing>
          <wp:inline distT="0" distB="0" distL="0" distR="0" wp14:anchorId="5ED3D4BF" wp14:editId="7F95998C">
            <wp:extent cx="4377055" cy="2940050"/>
            <wp:effectExtent l="0" t="0" r="4445" b="12700"/>
            <wp:docPr id="8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6460C" w:rsidRPr="002C224A" w:rsidRDefault="00646277" w:rsidP="0006460C">
      <w:pPr>
        <w:pStyle w:val="Titulek"/>
        <w:rPr>
          <w:noProof/>
          <w:lang w:eastAsia="cs-CZ"/>
        </w:rPr>
      </w:pPr>
      <w:r>
        <w:t xml:space="preserve">Obrázek </w:t>
      </w:r>
      <w:r w:rsidR="00162D8A">
        <w:t>45</w:t>
      </w:r>
      <w:r w:rsidR="0006460C" w:rsidRPr="002C224A">
        <w:t>: Potenciální efekty využití FN (</w:t>
      </w:r>
      <w:r w:rsidR="00F46C8D" w:rsidRPr="002C224A">
        <w:t xml:space="preserve">Scénář 3, </w:t>
      </w:r>
      <w:r w:rsidR="0006460C" w:rsidRPr="002C224A">
        <w:t xml:space="preserve">ztráty 10 %, s příspěvkem) </w:t>
      </w:r>
    </w:p>
    <w:p w:rsidR="0006460C" w:rsidRPr="00A50943" w:rsidRDefault="0006460C" w:rsidP="00C80201">
      <w:pPr>
        <w:rPr>
          <w:noProof/>
        </w:rPr>
      </w:pPr>
    </w:p>
    <w:p w:rsidR="006D67F1" w:rsidRPr="002C224A" w:rsidRDefault="006D67F1" w:rsidP="00C80201">
      <w:r w:rsidRPr="002C224A">
        <w:t xml:space="preserve">Legenda: </w:t>
      </w:r>
    </w:p>
    <w:p w:rsidR="006D67F1" w:rsidRPr="002C224A" w:rsidRDefault="006D67F1" w:rsidP="00C80201">
      <w:pPr>
        <w:pStyle w:val="Odstavecseseznamem1"/>
        <w:numPr>
          <w:ilvl w:val="0"/>
          <w:numId w:val="43"/>
        </w:numPr>
        <w:overflowPunct/>
        <w:autoSpaceDE/>
        <w:autoSpaceDN/>
        <w:adjustRightInd/>
        <w:contextualSpacing w:val="0"/>
        <w:textAlignment w:val="auto"/>
      </w:pPr>
      <w:r w:rsidRPr="002C224A">
        <w:t xml:space="preserve">Modré sloupce representují </w:t>
      </w:r>
      <w:r w:rsidR="00B91C25" w:rsidRPr="002C224A">
        <w:t xml:space="preserve">zvýhodněné úvěry poskytnuté z </w:t>
      </w:r>
      <w:r w:rsidRPr="002C224A">
        <w:t>OP</w:t>
      </w:r>
      <w:r w:rsidR="002D09B7" w:rsidRPr="002C224A">
        <w:t xml:space="preserve"> </w:t>
      </w:r>
      <w:r w:rsidRPr="002C224A">
        <w:t>PIK v jednotlivých letech</w:t>
      </w:r>
    </w:p>
    <w:p w:rsidR="006D67F1" w:rsidRPr="002C224A" w:rsidRDefault="00497C02" w:rsidP="00C80201">
      <w:pPr>
        <w:pStyle w:val="Odstavecseseznamem1"/>
        <w:numPr>
          <w:ilvl w:val="0"/>
          <w:numId w:val="43"/>
        </w:numPr>
        <w:overflowPunct/>
        <w:autoSpaceDE/>
        <w:autoSpaceDN/>
        <w:adjustRightInd/>
        <w:contextualSpacing w:val="0"/>
        <w:textAlignment w:val="auto"/>
      </w:pPr>
      <w:r>
        <w:t>Zelená</w:t>
      </w:r>
      <w:r w:rsidRPr="002C224A">
        <w:t xml:space="preserve"> </w:t>
      </w:r>
      <w:r w:rsidR="006D67F1" w:rsidRPr="002C224A">
        <w:t xml:space="preserve">křivka je kumulovaným součtem těchto </w:t>
      </w:r>
      <w:r w:rsidR="00B91C25" w:rsidRPr="002C224A">
        <w:t>úvěrů</w:t>
      </w:r>
    </w:p>
    <w:p w:rsidR="006D67F1" w:rsidRPr="002C224A" w:rsidRDefault="002741FC" w:rsidP="002741FC">
      <w:pPr>
        <w:pStyle w:val="Titulek"/>
        <w:rPr>
          <w:noProof/>
        </w:rPr>
      </w:pPr>
      <w:r w:rsidRPr="002C224A">
        <w:rPr>
          <w:noProof/>
        </w:rPr>
        <w:t xml:space="preserve">Tabulka </w:t>
      </w:r>
      <w:r w:rsidR="004A4860">
        <w:rPr>
          <w:noProof/>
        </w:rPr>
        <w:t>105</w:t>
      </w:r>
      <w:r w:rsidR="00877209" w:rsidRPr="002C224A">
        <w:rPr>
          <w:noProof/>
        </w:rPr>
        <w:t xml:space="preserve">: </w:t>
      </w:r>
      <w:r w:rsidR="00F46C8D" w:rsidRPr="002C224A">
        <w:rPr>
          <w:noProof/>
        </w:rPr>
        <w:t>Parametry modelu</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B91C25" w:rsidRPr="002C224A" w:rsidTr="00165EB0">
        <w:trPr>
          <w:trHeight w:val="240"/>
          <w:jc w:val="center"/>
        </w:trPr>
        <w:tc>
          <w:tcPr>
            <w:tcW w:w="4252" w:type="dxa"/>
            <w:noWrap/>
            <w:vAlign w:val="center"/>
          </w:tcPr>
          <w:p w:rsidR="00B91C25" w:rsidRPr="00A50943" w:rsidRDefault="00B91C25" w:rsidP="00841304">
            <w:pPr>
              <w:jc w:val="left"/>
              <w:rPr>
                <w:color w:val="000000"/>
                <w:sz w:val="18"/>
                <w:szCs w:val="18"/>
              </w:rPr>
            </w:pPr>
            <w:r w:rsidRPr="00A50943">
              <w:rPr>
                <w:color w:val="000000"/>
                <w:sz w:val="18"/>
                <w:szCs w:val="18"/>
              </w:rPr>
              <w:t xml:space="preserve">Alokace OP PIK </w:t>
            </w:r>
          </w:p>
        </w:tc>
        <w:tc>
          <w:tcPr>
            <w:tcW w:w="1417" w:type="dxa"/>
            <w:noWrap/>
            <w:vAlign w:val="center"/>
          </w:tcPr>
          <w:p w:rsidR="00B91C25" w:rsidRPr="002C224A" w:rsidRDefault="00B91C25" w:rsidP="00841304">
            <w:pPr>
              <w:jc w:val="right"/>
              <w:rPr>
                <w:color w:val="000000"/>
                <w:sz w:val="18"/>
                <w:szCs w:val="18"/>
              </w:rPr>
            </w:pPr>
            <w:smartTag w:uri="urn:schemas-microsoft-com:office:smarttags" w:element="metricconverter">
              <w:smartTagPr>
                <w:attr w:name="ProductID" w:val="4 825 mil"/>
              </w:smartTagPr>
              <w:r w:rsidRPr="002C224A">
                <w:rPr>
                  <w:color w:val="000000"/>
                  <w:sz w:val="18"/>
                  <w:szCs w:val="18"/>
                </w:rPr>
                <w:t>4 825 mil</w:t>
              </w:r>
            </w:smartTag>
            <w:r w:rsidRPr="002C224A">
              <w:rPr>
                <w:color w:val="000000"/>
                <w:sz w:val="18"/>
                <w:szCs w:val="18"/>
              </w:rPr>
              <w:t>. Kč</w:t>
            </w:r>
          </w:p>
        </w:tc>
      </w:tr>
      <w:tr w:rsidR="00B91C25" w:rsidRPr="002C224A" w:rsidTr="00165EB0">
        <w:trPr>
          <w:trHeight w:val="240"/>
          <w:jc w:val="center"/>
        </w:trPr>
        <w:tc>
          <w:tcPr>
            <w:tcW w:w="4252" w:type="dxa"/>
            <w:noWrap/>
            <w:vAlign w:val="center"/>
          </w:tcPr>
          <w:p w:rsidR="00B91C25" w:rsidRPr="002C224A" w:rsidRDefault="00B91C25" w:rsidP="00841304">
            <w:pPr>
              <w:jc w:val="left"/>
              <w:rPr>
                <w:color w:val="000000"/>
                <w:sz w:val="18"/>
                <w:szCs w:val="18"/>
              </w:rPr>
            </w:pPr>
            <w:r w:rsidRPr="002C224A">
              <w:rPr>
                <w:color w:val="000000"/>
                <w:sz w:val="18"/>
                <w:szCs w:val="18"/>
              </w:rPr>
              <w:t>Úrok zdrojů poskytovaných z OP PIK</w:t>
            </w:r>
          </w:p>
        </w:tc>
        <w:tc>
          <w:tcPr>
            <w:tcW w:w="1417" w:type="dxa"/>
            <w:noWrap/>
            <w:vAlign w:val="center"/>
          </w:tcPr>
          <w:p w:rsidR="00B91C25" w:rsidRPr="002C224A" w:rsidRDefault="00B91C25" w:rsidP="00841304">
            <w:pPr>
              <w:jc w:val="right"/>
              <w:rPr>
                <w:color w:val="000000"/>
                <w:sz w:val="18"/>
                <w:szCs w:val="18"/>
              </w:rPr>
            </w:pPr>
            <w:r w:rsidRPr="002C224A">
              <w:rPr>
                <w:color w:val="000000"/>
                <w:sz w:val="18"/>
                <w:szCs w:val="18"/>
              </w:rPr>
              <w:t>0,50 %</w:t>
            </w:r>
          </w:p>
        </w:tc>
      </w:tr>
      <w:tr w:rsidR="00B91C25" w:rsidRPr="002C224A" w:rsidTr="00165EB0">
        <w:trPr>
          <w:trHeight w:val="240"/>
          <w:jc w:val="center"/>
        </w:trPr>
        <w:tc>
          <w:tcPr>
            <w:tcW w:w="4252" w:type="dxa"/>
            <w:noWrap/>
            <w:vAlign w:val="center"/>
          </w:tcPr>
          <w:p w:rsidR="00B91C25" w:rsidRPr="002C224A" w:rsidRDefault="00B91C25" w:rsidP="00841304">
            <w:pPr>
              <w:jc w:val="left"/>
              <w:rPr>
                <w:color w:val="000000"/>
                <w:sz w:val="18"/>
                <w:szCs w:val="18"/>
              </w:rPr>
            </w:pPr>
            <w:r w:rsidRPr="002C224A">
              <w:rPr>
                <w:color w:val="000000"/>
                <w:sz w:val="18"/>
                <w:szCs w:val="18"/>
              </w:rPr>
              <w:t>Požadovaný úrok spolufinancujícího subjektu</w:t>
            </w:r>
          </w:p>
        </w:tc>
        <w:tc>
          <w:tcPr>
            <w:tcW w:w="1417" w:type="dxa"/>
            <w:noWrap/>
            <w:vAlign w:val="center"/>
          </w:tcPr>
          <w:p w:rsidR="00B91C25" w:rsidRPr="002C224A" w:rsidRDefault="00B91C25" w:rsidP="00841304">
            <w:pPr>
              <w:jc w:val="right"/>
              <w:rPr>
                <w:color w:val="000000"/>
                <w:sz w:val="18"/>
                <w:szCs w:val="18"/>
              </w:rPr>
            </w:pPr>
            <w:r w:rsidRPr="002C224A">
              <w:rPr>
                <w:color w:val="000000"/>
                <w:sz w:val="18"/>
                <w:szCs w:val="18"/>
              </w:rPr>
              <w:t>3,50 %</w:t>
            </w:r>
          </w:p>
        </w:tc>
      </w:tr>
      <w:tr w:rsidR="00B91C25" w:rsidRPr="002C224A" w:rsidTr="00165EB0">
        <w:trPr>
          <w:trHeight w:val="240"/>
          <w:jc w:val="center"/>
        </w:trPr>
        <w:tc>
          <w:tcPr>
            <w:tcW w:w="4252" w:type="dxa"/>
            <w:noWrap/>
            <w:vAlign w:val="center"/>
          </w:tcPr>
          <w:p w:rsidR="00B91C25" w:rsidRPr="002C224A" w:rsidRDefault="00B91C25" w:rsidP="00841304">
            <w:pPr>
              <w:jc w:val="left"/>
              <w:rPr>
                <w:color w:val="000000"/>
                <w:sz w:val="18"/>
                <w:szCs w:val="18"/>
              </w:rPr>
            </w:pPr>
            <w:r w:rsidRPr="002C224A">
              <w:rPr>
                <w:color w:val="000000"/>
                <w:sz w:val="18"/>
                <w:szCs w:val="18"/>
              </w:rPr>
              <w:t>Limit výše výsledné úrokové míry úvěru příjemci</w:t>
            </w:r>
          </w:p>
        </w:tc>
        <w:tc>
          <w:tcPr>
            <w:tcW w:w="1417" w:type="dxa"/>
            <w:noWrap/>
            <w:vAlign w:val="center"/>
          </w:tcPr>
          <w:p w:rsidR="00B91C25" w:rsidRPr="002C224A" w:rsidRDefault="00B91C25" w:rsidP="00841304">
            <w:pPr>
              <w:jc w:val="right"/>
              <w:rPr>
                <w:color w:val="000000"/>
                <w:sz w:val="18"/>
                <w:szCs w:val="18"/>
              </w:rPr>
            </w:pPr>
            <w:r w:rsidRPr="002C224A">
              <w:rPr>
                <w:color w:val="000000"/>
                <w:sz w:val="18"/>
                <w:szCs w:val="18"/>
              </w:rPr>
              <w:t>2,00 %</w:t>
            </w:r>
          </w:p>
        </w:tc>
      </w:tr>
      <w:tr w:rsidR="00B91C25" w:rsidRPr="002C224A" w:rsidTr="00165EB0">
        <w:trPr>
          <w:trHeight w:val="240"/>
          <w:jc w:val="center"/>
        </w:trPr>
        <w:tc>
          <w:tcPr>
            <w:tcW w:w="4252" w:type="dxa"/>
            <w:noWrap/>
            <w:vAlign w:val="center"/>
          </w:tcPr>
          <w:p w:rsidR="00B91C25" w:rsidRPr="002C224A" w:rsidRDefault="00B91C25" w:rsidP="00841304">
            <w:pPr>
              <w:jc w:val="left"/>
              <w:rPr>
                <w:color w:val="000000"/>
                <w:sz w:val="18"/>
                <w:szCs w:val="18"/>
                <w:lang w:val="en-US"/>
              </w:rPr>
            </w:pPr>
            <w:r w:rsidRPr="002C224A">
              <w:rPr>
                <w:color w:val="000000"/>
                <w:sz w:val="18"/>
                <w:szCs w:val="18"/>
                <w:lang w:val="en-US"/>
              </w:rPr>
              <w:t>Vlastní zdroje žadatelů</w:t>
            </w:r>
          </w:p>
        </w:tc>
        <w:tc>
          <w:tcPr>
            <w:tcW w:w="1417" w:type="dxa"/>
            <w:noWrap/>
            <w:vAlign w:val="center"/>
          </w:tcPr>
          <w:p w:rsidR="00B91C25" w:rsidRPr="002C224A" w:rsidRDefault="00B91C25" w:rsidP="00841304">
            <w:pPr>
              <w:jc w:val="right"/>
              <w:rPr>
                <w:color w:val="000000"/>
                <w:sz w:val="18"/>
                <w:szCs w:val="18"/>
                <w:lang w:val="en-US"/>
              </w:rPr>
            </w:pPr>
            <w:r w:rsidRPr="002C224A">
              <w:rPr>
                <w:color w:val="000000"/>
                <w:sz w:val="18"/>
                <w:szCs w:val="18"/>
                <w:lang w:val="en-US"/>
              </w:rPr>
              <w:t>20,00 %</w:t>
            </w:r>
          </w:p>
        </w:tc>
      </w:tr>
      <w:tr w:rsidR="00B91C25" w:rsidRPr="002C224A" w:rsidTr="00165EB0">
        <w:trPr>
          <w:trHeight w:val="240"/>
          <w:jc w:val="center"/>
        </w:trPr>
        <w:tc>
          <w:tcPr>
            <w:tcW w:w="4252" w:type="dxa"/>
            <w:noWrap/>
            <w:vAlign w:val="center"/>
          </w:tcPr>
          <w:p w:rsidR="00B91C25" w:rsidRPr="002C224A" w:rsidRDefault="00B91C25" w:rsidP="00841304">
            <w:pPr>
              <w:jc w:val="left"/>
              <w:rPr>
                <w:color w:val="000000"/>
                <w:sz w:val="18"/>
                <w:szCs w:val="18"/>
              </w:rPr>
            </w:pPr>
            <w:r w:rsidRPr="002C224A">
              <w:rPr>
                <w:color w:val="000000"/>
                <w:sz w:val="18"/>
                <w:szCs w:val="18"/>
              </w:rPr>
              <w:t>Míra zapojení spolufinancujícího subjektu</w:t>
            </w:r>
          </w:p>
        </w:tc>
        <w:tc>
          <w:tcPr>
            <w:tcW w:w="1417" w:type="dxa"/>
            <w:noWrap/>
            <w:vAlign w:val="center"/>
          </w:tcPr>
          <w:p w:rsidR="00B91C25" w:rsidRPr="002C224A" w:rsidRDefault="00B91C25" w:rsidP="00841304">
            <w:pPr>
              <w:jc w:val="right"/>
              <w:rPr>
                <w:color w:val="000000"/>
                <w:sz w:val="18"/>
                <w:szCs w:val="18"/>
              </w:rPr>
            </w:pPr>
            <w:r w:rsidRPr="002C224A">
              <w:rPr>
                <w:color w:val="000000"/>
                <w:sz w:val="18"/>
                <w:szCs w:val="18"/>
              </w:rPr>
              <w:t>40,00 %</w:t>
            </w:r>
          </w:p>
        </w:tc>
      </w:tr>
      <w:tr w:rsidR="00B91C25" w:rsidRPr="002C224A" w:rsidTr="00165EB0">
        <w:trPr>
          <w:trHeight w:val="240"/>
          <w:jc w:val="center"/>
        </w:trPr>
        <w:tc>
          <w:tcPr>
            <w:tcW w:w="4252" w:type="dxa"/>
            <w:noWrap/>
            <w:vAlign w:val="center"/>
          </w:tcPr>
          <w:p w:rsidR="00B91C25" w:rsidRPr="002C224A" w:rsidRDefault="00B91C25" w:rsidP="00841304">
            <w:pPr>
              <w:jc w:val="left"/>
              <w:rPr>
                <w:color w:val="000000"/>
                <w:sz w:val="18"/>
                <w:szCs w:val="18"/>
              </w:rPr>
            </w:pPr>
            <w:r w:rsidRPr="002C224A">
              <w:rPr>
                <w:color w:val="000000"/>
                <w:sz w:val="18"/>
                <w:szCs w:val="18"/>
              </w:rPr>
              <w:t>Splatnost úvěru</w:t>
            </w:r>
          </w:p>
        </w:tc>
        <w:tc>
          <w:tcPr>
            <w:tcW w:w="1417" w:type="dxa"/>
            <w:noWrap/>
            <w:vAlign w:val="center"/>
          </w:tcPr>
          <w:p w:rsidR="00B91C25" w:rsidRPr="002C224A" w:rsidRDefault="00B91C25" w:rsidP="00841304">
            <w:pPr>
              <w:jc w:val="right"/>
              <w:rPr>
                <w:color w:val="000000"/>
                <w:sz w:val="18"/>
                <w:szCs w:val="18"/>
              </w:rPr>
            </w:pPr>
            <w:r w:rsidRPr="002C224A">
              <w:rPr>
                <w:color w:val="000000"/>
                <w:sz w:val="18"/>
                <w:szCs w:val="18"/>
              </w:rPr>
              <w:t>8</w:t>
            </w:r>
          </w:p>
        </w:tc>
      </w:tr>
    </w:tbl>
    <w:p w:rsidR="00D710BF" w:rsidRPr="002C224A" w:rsidRDefault="00D710BF" w:rsidP="00877209">
      <w:pPr>
        <w:pStyle w:val="Titulek"/>
      </w:pPr>
    </w:p>
    <w:p w:rsidR="006D67F1" w:rsidRPr="002C224A" w:rsidRDefault="00877209" w:rsidP="00877209">
      <w:pPr>
        <w:pStyle w:val="Titulek"/>
      </w:pPr>
      <w:r w:rsidRPr="002C224A">
        <w:t xml:space="preserve">Tabulka </w:t>
      </w:r>
      <w:r w:rsidR="004A4860">
        <w:t>106</w:t>
      </w:r>
      <w:r w:rsidRPr="002C224A">
        <w:t xml:space="preserve">: </w:t>
      </w:r>
      <w:r w:rsidR="00F46C8D" w:rsidRPr="002C224A">
        <w:t>Výsledky modelu</w:t>
      </w:r>
    </w:p>
    <w:tbl>
      <w:tblPr>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058"/>
        <w:gridCol w:w="1200"/>
        <w:gridCol w:w="1075"/>
      </w:tblGrid>
      <w:tr w:rsidR="0049550D" w:rsidRPr="002C224A" w:rsidTr="008366D3">
        <w:trPr>
          <w:trHeight w:val="240"/>
          <w:jc w:val="center"/>
        </w:trPr>
        <w:tc>
          <w:tcPr>
            <w:tcW w:w="4821" w:type="dxa"/>
            <w:noWrap/>
            <w:vAlign w:val="center"/>
          </w:tcPr>
          <w:p w:rsidR="0049550D" w:rsidRPr="00A50943" w:rsidRDefault="0049550D" w:rsidP="00841304">
            <w:pPr>
              <w:jc w:val="left"/>
              <w:rPr>
                <w:color w:val="000000"/>
                <w:sz w:val="18"/>
                <w:szCs w:val="18"/>
              </w:rPr>
            </w:pPr>
          </w:p>
        </w:tc>
        <w:tc>
          <w:tcPr>
            <w:tcW w:w="1134" w:type="dxa"/>
            <w:noWrap/>
            <w:vAlign w:val="center"/>
          </w:tcPr>
          <w:p w:rsidR="0049550D" w:rsidRPr="002C224A" w:rsidRDefault="0049550D" w:rsidP="00841304">
            <w:pPr>
              <w:jc w:val="right"/>
              <w:rPr>
                <w:color w:val="000000"/>
                <w:sz w:val="18"/>
                <w:szCs w:val="18"/>
              </w:rPr>
            </w:pPr>
            <w:r w:rsidRPr="002C224A">
              <w:rPr>
                <w:color w:val="000000"/>
                <w:sz w:val="18"/>
                <w:szCs w:val="18"/>
              </w:rPr>
              <w:t>Scénář 1</w:t>
            </w:r>
          </w:p>
        </w:tc>
        <w:tc>
          <w:tcPr>
            <w:tcW w:w="1058" w:type="dxa"/>
          </w:tcPr>
          <w:p w:rsidR="0049550D" w:rsidRPr="002C224A" w:rsidRDefault="0049550D" w:rsidP="00841304">
            <w:pPr>
              <w:jc w:val="right"/>
              <w:rPr>
                <w:color w:val="000000"/>
                <w:sz w:val="18"/>
                <w:szCs w:val="18"/>
              </w:rPr>
            </w:pPr>
            <w:r w:rsidRPr="002C224A">
              <w:rPr>
                <w:color w:val="000000"/>
                <w:sz w:val="18"/>
                <w:szCs w:val="18"/>
              </w:rPr>
              <w:t>Scénář 2</w:t>
            </w:r>
          </w:p>
        </w:tc>
        <w:tc>
          <w:tcPr>
            <w:tcW w:w="1200" w:type="dxa"/>
          </w:tcPr>
          <w:p w:rsidR="0049550D" w:rsidRPr="002C224A" w:rsidRDefault="0049550D" w:rsidP="00841304">
            <w:pPr>
              <w:jc w:val="right"/>
              <w:rPr>
                <w:color w:val="000000"/>
                <w:sz w:val="18"/>
                <w:szCs w:val="18"/>
              </w:rPr>
            </w:pPr>
            <w:r w:rsidRPr="002C224A">
              <w:rPr>
                <w:color w:val="000000"/>
                <w:sz w:val="18"/>
                <w:szCs w:val="18"/>
              </w:rPr>
              <w:t>Scénář 3</w:t>
            </w:r>
          </w:p>
        </w:tc>
        <w:tc>
          <w:tcPr>
            <w:tcW w:w="1075" w:type="dxa"/>
          </w:tcPr>
          <w:p w:rsidR="0049550D" w:rsidRPr="002C224A" w:rsidRDefault="0049550D" w:rsidP="00841304">
            <w:pPr>
              <w:jc w:val="right"/>
              <w:rPr>
                <w:color w:val="000000"/>
                <w:sz w:val="18"/>
                <w:szCs w:val="18"/>
              </w:rPr>
            </w:pPr>
            <w:r>
              <w:rPr>
                <w:color w:val="000000"/>
                <w:sz w:val="18"/>
                <w:szCs w:val="18"/>
              </w:rPr>
              <w:t>Scénář 4</w:t>
            </w:r>
            <w:r w:rsidR="00BC0099">
              <w:rPr>
                <w:rStyle w:val="Znakapoznpodarou"/>
                <w:color w:val="000000"/>
                <w:szCs w:val="18"/>
              </w:rPr>
              <w:footnoteReference w:id="60"/>
            </w:r>
          </w:p>
        </w:tc>
      </w:tr>
      <w:tr w:rsidR="0049550D" w:rsidRPr="002C224A" w:rsidTr="008366D3">
        <w:trPr>
          <w:trHeight w:val="240"/>
          <w:jc w:val="center"/>
        </w:trPr>
        <w:tc>
          <w:tcPr>
            <w:tcW w:w="4821" w:type="dxa"/>
            <w:noWrap/>
            <w:vAlign w:val="center"/>
          </w:tcPr>
          <w:p w:rsidR="0049550D" w:rsidRPr="002C224A" w:rsidRDefault="0049550D" w:rsidP="00841304">
            <w:pPr>
              <w:jc w:val="left"/>
              <w:rPr>
                <w:color w:val="000000"/>
                <w:sz w:val="18"/>
                <w:szCs w:val="18"/>
              </w:rPr>
            </w:pPr>
            <w:r w:rsidRPr="002C224A">
              <w:rPr>
                <w:color w:val="000000"/>
                <w:sz w:val="18"/>
                <w:szCs w:val="18"/>
              </w:rPr>
              <w:t>Celkem proinvestováno - milník rok 2018 (mil. Kč)</w:t>
            </w:r>
          </w:p>
        </w:tc>
        <w:tc>
          <w:tcPr>
            <w:tcW w:w="1134" w:type="dxa"/>
            <w:noWrap/>
            <w:vAlign w:val="center"/>
          </w:tcPr>
          <w:p w:rsidR="0049550D" w:rsidRPr="002C224A" w:rsidRDefault="0049550D" w:rsidP="008366D3">
            <w:pPr>
              <w:jc w:val="right"/>
              <w:rPr>
                <w:color w:val="000000"/>
                <w:sz w:val="18"/>
                <w:szCs w:val="18"/>
              </w:rPr>
            </w:pPr>
            <w:r w:rsidRPr="002C224A">
              <w:rPr>
                <w:sz w:val="18"/>
                <w:szCs w:val="18"/>
              </w:rPr>
              <w:t>9 047</w:t>
            </w:r>
          </w:p>
        </w:tc>
        <w:tc>
          <w:tcPr>
            <w:tcW w:w="1058" w:type="dxa"/>
            <w:vAlign w:val="center"/>
          </w:tcPr>
          <w:p w:rsidR="0049550D" w:rsidRPr="002C224A" w:rsidRDefault="0049550D" w:rsidP="008366D3">
            <w:pPr>
              <w:jc w:val="right"/>
              <w:rPr>
                <w:color w:val="000000"/>
                <w:sz w:val="18"/>
                <w:szCs w:val="18"/>
              </w:rPr>
            </w:pPr>
            <w:r w:rsidRPr="002C224A">
              <w:rPr>
                <w:sz w:val="18"/>
                <w:szCs w:val="18"/>
              </w:rPr>
              <w:t>9 047</w:t>
            </w:r>
          </w:p>
        </w:tc>
        <w:tc>
          <w:tcPr>
            <w:tcW w:w="1200" w:type="dxa"/>
            <w:vAlign w:val="center"/>
          </w:tcPr>
          <w:p w:rsidR="0049550D" w:rsidRPr="002C224A" w:rsidRDefault="0049550D" w:rsidP="008366D3">
            <w:pPr>
              <w:jc w:val="right"/>
              <w:rPr>
                <w:color w:val="000000"/>
                <w:sz w:val="18"/>
                <w:szCs w:val="18"/>
              </w:rPr>
            </w:pPr>
            <w:r w:rsidRPr="002C224A">
              <w:rPr>
                <w:color w:val="000000"/>
                <w:sz w:val="18"/>
                <w:szCs w:val="18"/>
              </w:rPr>
              <w:t>8 595</w:t>
            </w:r>
          </w:p>
        </w:tc>
        <w:tc>
          <w:tcPr>
            <w:tcW w:w="1075" w:type="dxa"/>
            <w:vAlign w:val="center"/>
          </w:tcPr>
          <w:p w:rsidR="0049550D" w:rsidRPr="002C224A" w:rsidRDefault="0049550D" w:rsidP="008366D3">
            <w:pPr>
              <w:jc w:val="right"/>
              <w:rPr>
                <w:color w:val="000000"/>
                <w:sz w:val="18"/>
                <w:szCs w:val="18"/>
              </w:rPr>
            </w:pPr>
            <w:r>
              <w:rPr>
                <w:color w:val="000000"/>
                <w:sz w:val="18"/>
                <w:szCs w:val="18"/>
              </w:rPr>
              <w:t>8 595</w:t>
            </w:r>
          </w:p>
        </w:tc>
      </w:tr>
      <w:tr w:rsidR="0049550D" w:rsidRPr="002C224A" w:rsidTr="008366D3">
        <w:trPr>
          <w:trHeight w:val="240"/>
          <w:jc w:val="center"/>
        </w:trPr>
        <w:tc>
          <w:tcPr>
            <w:tcW w:w="4821" w:type="dxa"/>
            <w:noWrap/>
            <w:vAlign w:val="center"/>
          </w:tcPr>
          <w:p w:rsidR="0049550D" w:rsidRPr="002C224A" w:rsidRDefault="0049550D" w:rsidP="00841304">
            <w:pPr>
              <w:jc w:val="left"/>
              <w:rPr>
                <w:b/>
                <w:color w:val="000000"/>
                <w:sz w:val="18"/>
                <w:szCs w:val="18"/>
              </w:rPr>
            </w:pPr>
            <w:r w:rsidRPr="002C224A">
              <w:rPr>
                <w:b/>
                <w:color w:val="000000"/>
                <w:sz w:val="18"/>
                <w:szCs w:val="18"/>
              </w:rPr>
              <w:t>Celkem proinvestováno - konec období rok 2023 (mil. Kč)</w:t>
            </w:r>
          </w:p>
        </w:tc>
        <w:tc>
          <w:tcPr>
            <w:tcW w:w="1134" w:type="dxa"/>
            <w:noWrap/>
            <w:vAlign w:val="center"/>
          </w:tcPr>
          <w:p w:rsidR="0049550D" w:rsidRPr="002C224A" w:rsidRDefault="0049550D" w:rsidP="008366D3">
            <w:pPr>
              <w:jc w:val="right"/>
              <w:rPr>
                <w:b/>
                <w:color w:val="000000"/>
                <w:sz w:val="18"/>
                <w:szCs w:val="18"/>
              </w:rPr>
            </w:pPr>
            <w:r w:rsidRPr="002C224A">
              <w:rPr>
                <w:b/>
                <w:sz w:val="18"/>
                <w:szCs w:val="18"/>
              </w:rPr>
              <w:t>20 914</w:t>
            </w:r>
          </w:p>
        </w:tc>
        <w:tc>
          <w:tcPr>
            <w:tcW w:w="1058" w:type="dxa"/>
            <w:vAlign w:val="center"/>
          </w:tcPr>
          <w:p w:rsidR="0049550D" w:rsidRPr="002C224A" w:rsidRDefault="0049550D" w:rsidP="008366D3">
            <w:pPr>
              <w:jc w:val="right"/>
              <w:rPr>
                <w:b/>
                <w:color w:val="000000"/>
                <w:sz w:val="18"/>
                <w:szCs w:val="18"/>
              </w:rPr>
            </w:pPr>
            <w:r w:rsidRPr="002C224A">
              <w:rPr>
                <w:b/>
                <w:sz w:val="18"/>
                <w:szCs w:val="18"/>
              </w:rPr>
              <w:t>19 788</w:t>
            </w:r>
          </w:p>
        </w:tc>
        <w:tc>
          <w:tcPr>
            <w:tcW w:w="1200" w:type="dxa"/>
            <w:vAlign w:val="center"/>
          </w:tcPr>
          <w:p w:rsidR="0049550D" w:rsidRPr="002C224A" w:rsidRDefault="0049550D" w:rsidP="008366D3">
            <w:pPr>
              <w:jc w:val="right"/>
              <w:rPr>
                <w:b/>
                <w:color w:val="000000"/>
                <w:sz w:val="18"/>
                <w:szCs w:val="18"/>
              </w:rPr>
            </w:pPr>
            <w:r w:rsidRPr="002C224A">
              <w:rPr>
                <w:b/>
                <w:color w:val="000000"/>
                <w:sz w:val="18"/>
                <w:szCs w:val="18"/>
              </w:rPr>
              <w:t>19 274</w:t>
            </w:r>
          </w:p>
        </w:tc>
        <w:tc>
          <w:tcPr>
            <w:tcW w:w="1075" w:type="dxa"/>
            <w:vAlign w:val="center"/>
          </w:tcPr>
          <w:p w:rsidR="0049550D" w:rsidRPr="002C224A" w:rsidRDefault="0049550D" w:rsidP="008366D3">
            <w:pPr>
              <w:jc w:val="right"/>
              <w:rPr>
                <w:b/>
                <w:color w:val="000000"/>
                <w:sz w:val="18"/>
                <w:szCs w:val="18"/>
              </w:rPr>
            </w:pPr>
            <w:r>
              <w:rPr>
                <w:b/>
                <w:color w:val="000000"/>
                <w:sz w:val="18"/>
                <w:szCs w:val="18"/>
              </w:rPr>
              <w:t>11 218</w:t>
            </w:r>
          </w:p>
        </w:tc>
      </w:tr>
      <w:tr w:rsidR="0049550D" w:rsidRPr="002C224A" w:rsidTr="008366D3">
        <w:trPr>
          <w:trHeight w:val="240"/>
          <w:jc w:val="center"/>
        </w:trPr>
        <w:tc>
          <w:tcPr>
            <w:tcW w:w="4821" w:type="dxa"/>
            <w:noWrap/>
            <w:vAlign w:val="center"/>
          </w:tcPr>
          <w:p w:rsidR="0049550D" w:rsidRPr="002C224A" w:rsidRDefault="0049550D" w:rsidP="008366D3">
            <w:pPr>
              <w:jc w:val="left"/>
              <w:rPr>
                <w:b/>
                <w:color w:val="000000"/>
                <w:sz w:val="18"/>
                <w:szCs w:val="18"/>
              </w:rPr>
            </w:pPr>
            <w:r w:rsidRPr="002C224A">
              <w:rPr>
                <w:b/>
                <w:color w:val="000000"/>
                <w:sz w:val="18"/>
                <w:szCs w:val="18"/>
              </w:rPr>
              <w:t>Přidaná hodnota</w:t>
            </w:r>
          </w:p>
        </w:tc>
        <w:tc>
          <w:tcPr>
            <w:tcW w:w="1134" w:type="dxa"/>
            <w:noWrap/>
            <w:vAlign w:val="center"/>
          </w:tcPr>
          <w:p w:rsidR="0049550D" w:rsidRPr="002C224A" w:rsidRDefault="0049550D" w:rsidP="008366D3">
            <w:pPr>
              <w:jc w:val="right"/>
              <w:rPr>
                <w:b/>
                <w:color w:val="000000"/>
                <w:sz w:val="18"/>
                <w:szCs w:val="18"/>
              </w:rPr>
            </w:pPr>
            <w:r w:rsidRPr="002C224A">
              <w:rPr>
                <w:b/>
                <w:sz w:val="18"/>
                <w:szCs w:val="18"/>
              </w:rPr>
              <w:t>4,33</w:t>
            </w:r>
          </w:p>
        </w:tc>
        <w:tc>
          <w:tcPr>
            <w:tcW w:w="1058" w:type="dxa"/>
            <w:vAlign w:val="center"/>
          </w:tcPr>
          <w:p w:rsidR="0049550D" w:rsidRPr="002C224A" w:rsidRDefault="0049550D" w:rsidP="008366D3">
            <w:pPr>
              <w:jc w:val="right"/>
              <w:rPr>
                <w:b/>
                <w:color w:val="000000"/>
                <w:sz w:val="18"/>
                <w:szCs w:val="18"/>
              </w:rPr>
            </w:pPr>
            <w:r w:rsidRPr="002C224A">
              <w:rPr>
                <w:b/>
                <w:sz w:val="18"/>
                <w:szCs w:val="18"/>
              </w:rPr>
              <w:t>4,10</w:t>
            </w:r>
          </w:p>
        </w:tc>
        <w:tc>
          <w:tcPr>
            <w:tcW w:w="1200" w:type="dxa"/>
            <w:vAlign w:val="center"/>
          </w:tcPr>
          <w:p w:rsidR="0049550D" w:rsidRPr="002C224A" w:rsidRDefault="0049550D" w:rsidP="008366D3">
            <w:pPr>
              <w:jc w:val="right"/>
              <w:rPr>
                <w:b/>
                <w:color w:val="000000"/>
                <w:sz w:val="18"/>
                <w:szCs w:val="18"/>
              </w:rPr>
            </w:pPr>
            <w:r w:rsidRPr="002C224A">
              <w:rPr>
                <w:b/>
                <w:color w:val="000000"/>
                <w:sz w:val="18"/>
                <w:szCs w:val="18"/>
              </w:rPr>
              <w:t>4,44</w:t>
            </w:r>
          </w:p>
        </w:tc>
        <w:tc>
          <w:tcPr>
            <w:tcW w:w="1075" w:type="dxa"/>
            <w:vAlign w:val="center"/>
          </w:tcPr>
          <w:p w:rsidR="0049550D" w:rsidRPr="002C224A" w:rsidRDefault="0049550D" w:rsidP="008366D3">
            <w:pPr>
              <w:jc w:val="right"/>
              <w:rPr>
                <w:b/>
                <w:color w:val="000000"/>
                <w:sz w:val="18"/>
                <w:szCs w:val="18"/>
              </w:rPr>
            </w:pPr>
            <w:r>
              <w:rPr>
                <w:b/>
                <w:color w:val="000000"/>
                <w:sz w:val="18"/>
                <w:szCs w:val="18"/>
              </w:rPr>
              <w:t>2,58</w:t>
            </w:r>
          </w:p>
        </w:tc>
      </w:tr>
      <w:tr w:rsidR="0049550D" w:rsidRPr="002C224A" w:rsidTr="008366D3">
        <w:trPr>
          <w:trHeight w:val="240"/>
          <w:jc w:val="center"/>
        </w:trPr>
        <w:tc>
          <w:tcPr>
            <w:tcW w:w="4821" w:type="dxa"/>
            <w:noWrap/>
            <w:vAlign w:val="center"/>
          </w:tcPr>
          <w:p w:rsidR="0049550D" w:rsidRPr="002C224A" w:rsidRDefault="0049550D" w:rsidP="00841304">
            <w:pPr>
              <w:jc w:val="left"/>
              <w:rPr>
                <w:b/>
                <w:color w:val="000000"/>
                <w:sz w:val="18"/>
                <w:szCs w:val="18"/>
              </w:rPr>
            </w:pPr>
            <w:r w:rsidRPr="002C224A">
              <w:rPr>
                <w:b/>
                <w:color w:val="000000"/>
                <w:sz w:val="18"/>
                <w:szCs w:val="18"/>
              </w:rPr>
              <w:t>Pákový efekt</w:t>
            </w:r>
          </w:p>
        </w:tc>
        <w:tc>
          <w:tcPr>
            <w:tcW w:w="1134" w:type="dxa"/>
            <w:noWrap/>
            <w:vAlign w:val="center"/>
          </w:tcPr>
          <w:p w:rsidR="0049550D" w:rsidRPr="002C224A" w:rsidRDefault="0049550D" w:rsidP="008366D3">
            <w:pPr>
              <w:jc w:val="right"/>
              <w:rPr>
                <w:b/>
                <w:color w:val="000000"/>
                <w:sz w:val="18"/>
                <w:szCs w:val="18"/>
              </w:rPr>
            </w:pPr>
            <w:r w:rsidRPr="002C224A">
              <w:rPr>
                <w:b/>
                <w:sz w:val="18"/>
                <w:szCs w:val="18"/>
              </w:rPr>
              <w:t>2,00</w:t>
            </w:r>
          </w:p>
        </w:tc>
        <w:tc>
          <w:tcPr>
            <w:tcW w:w="1058" w:type="dxa"/>
            <w:vAlign w:val="center"/>
          </w:tcPr>
          <w:p w:rsidR="0049550D" w:rsidRPr="002C224A" w:rsidRDefault="0049550D" w:rsidP="008366D3">
            <w:pPr>
              <w:jc w:val="right"/>
              <w:rPr>
                <w:b/>
                <w:color w:val="000000"/>
                <w:sz w:val="18"/>
                <w:szCs w:val="18"/>
              </w:rPr>
            </w:pPr>
            <w:r w:rsidRPr="002C224A">
              <w:rPr>
                <w:b/>
                <w:sz w:val="18"/>
                <w:szCs w:val="18"/>
              </w:rPr>
              <w:t>2,00</w:t>
            </w:r>
          </w:p>
        </w:tc>
        <w:tc>
          <w:tcPr>
            <w:tcW w:w="1200" w:type="dxa"/>
            <w:vAlign w:val="center"/>
          </w:tcPr>
          <w:p w:rsidR="0049550D" w:rsidRPr="002C224A" w:rsidRDefault="0049550D" w:rsidP="008366D3">
            <w:pPr>
              <w:jc w:val="right"/>
              <w:rPr>
                <w:b/>
                <w:color w:val="000000"/>
                <w:sz w:val="18"/>
                <w:szCs w:val="18"/>
              </w:rPr>
            </w:pPr>
            <w:r w:rsidRPr="002C224A">
              <w:rPr>
                <w:b/>
                <w:color w:val="000000"/>
                <w:sz w:val="18"/>
                <w:szCs w:val="18"/>
              </w:rPr>
              <w:t>2,00</w:t>
            </w:r>
          </w:p>
        </w:tc>
        <w:tc>
          <w:tcPr>
            <w:tcW w:w="1075" w:type="dxa"/>
            <w:vAlign w:val="center"/>
          </w:tcPr>
          <w:p w:rsidR="0049550D" w:rsidRPr="002C224A" w:rsidRDefault="0049550D" w:rsidP="008366D3">
            <w:pPr>
              <w:jc w:val="right"/>
              <w:rPr>
                <w:b/>
                <w:color w:val="000000"/>
                <w:sz w:val="18"/>
                <w:szCs w:val="18"/>
              </w:rPr>
            </w:pPr>
            <w:r>
              <w:rPr>
                <w:b/>
                <w:color w:val="000000"/>
                <w:sz w:val="18"/>
                <w:szCs w:val="18"/>
              </w:rPr>
              <w:t>2,00</w:t>
            </w:r>
          </w:p>
        </w:tc>
      </w:tr>
      <w:tr w:rsidR="0049550D" w:rsidRPr="002C224A" w:rsidTr="008366D3">
        <w:trPr>
          <w:trHeight w:val="240"/>
          <w:jc w:val="center"/>
        </w:trPr>
        <w:tc>
          <w:tcPr>
            <w:tcW w:w="4821" w:type="dxa"/>
            <w:noWrap/>
            <w:vAlign w:val="center"/>
          </w:tcPr>
          <w:p w:rsidR="0049550D" w:rsidRPr="002C224A" w:rsidRDefault="0049550D" w:rsidP="00841304">
            <w:pPr>
              <w:jc w:val="left"/>
              <w:rPr>
                <w:color w:val="000000"/>
                <w:sz w:val="18"/>
                <w:szCs w:val="18"/>
              </w:rPr>
            </w:pPr>
            <w:r w:rsidRPr="002C224A">
              <w:rPr>
                <w:color w:val="000000"/>
                <w:sz w:val="18"/>
                <w:szCs w:val="18"/>
              </w:rPr>
              <w:t>Celková výše vyplacených management fee (prostá – mil. Kč)</w:t>
            </w:r>
          </w:p>
        </w:tc>
        <w:tc>
          <w:tcPr>
            <w:tcW w:w="1134" w:type="dxa"/>
            <w:noWrap/>
            <w:vAlign w:val="center"/>
          </w:tcPr>
          <w:p w:rsidR="0049550D" w:rsidRPr="002C224A" w:rsidDel="0013658D" w:rsidRDefault="0049550D" w:rsidP="008366D3">
            <w:pPr>
              <w:jc w:val="right"/>
              <w:rPr>
                <w:color w:val="000000"/>
                <w:sz w:val="18"/>
                <w:szCs w:val="18"/>
              </w:rPr>
            </w:pPr>
            <w:r w:rsidRPr="002C224A">
              <w:rPr>
                <w:color w:val="000000"/>
                <w:sz w:val="18"/>
                <w:szCs w:val="18"/>
              </w:rPr>
              <w:t>277</w:t>
            </w:r>
          </w:p>
        </w:tc>
        <w:tc>
          <w:tcPr>
            <w:tcW w:w="1058" w:type="dxa"/>
            <w:vAlign w:val="center"/>
          </w:tcPr>
          <w:p w:rsidR="0049550D" w:rsidRPr="002C224A" w:rsidRDefault="0049550D" w:rsidP="008366D3">
            <w:pPr>
              <w:jc w:val="right"/>
              <w:rPr>
                <w:color w:val="000000"/>
                <w:sz w:val="18"/>
                <w:szCs w:val="18"/>
              </w:rPr>
            </w:pPr>
            <w:r w:rsidRPr="002C224A">
              <w:rPr>
                <w:color w:val="000000"/>
                <w:sz w:val="18"/>
                <w:szCs w:val="18"/>
              </w:rPr>
              <w:t>273</w:t>
            </w:r>
          </w:p>
        </w:tc>
        <w:tc>
          <w:tcPr>
            <w:tcW w:w="1200" w:type="dxa"/>
            <w:vAlign w:val="center"/>
          </w:tcPr>
          <w:p w:rsidR="0049550D" w:rsidRPr="002C224A" w:rsidRDefault="0049550D" w:rsidP="008366D3">
            <w:pPr>
              <w:jc w:val="right"/>
              <w:rPr>
                <w:color w:val="000000"/>
                <w:sz w:val="18"/>
                <w:szCs w:val="18"/>
              </w:rPr>
            </w:pPr>
            <w:r w:rsidRPr="002C224A">
              <w:rPr>
                <w:color w:val="000000"/>
                <w:sz w:val="18"/>
                <w:szCs w:val="18"/>
              </w:rPr>
              <w:t>271</w:t>
            </w:r>
          </w:p>
        </w:tc>
        <w:tc>
          <w:tcPr>
            <w:tcW w:w="1075" w:type="dxa"/>
            <w:vAlign w:val="center"/>
          </w:tcPr>
          <w:p w:rsidR="0049550D" w:rsidRPr="002C224A" w:rsidRDefault="0049550D" w:rsidP="008366D3">
            <w:pPr>
              <w:jc w:val="right"/>
              <w:rPr>
                <w:color w:val="000000"/>
                <w:sz w:val="18"/>
                <w:szCs w:val="18"/>
              </w:rPr>
            </w:pPr>
            <w:r>
              <w:rPr>
                <w:color w:val="000000"/>
                <w:sz w:val="18"/>
                <w:szCs w:val="18"/>
              </w:rPr>
              <w:t>238</w:t>
            </w:r>
          </w:p>
        </w:tc>
      </w:tr>
      <w:tr w:rsidR="0049550D" w:rsidRPr="002C224A" w:rsidTr="008366D3">
        <w:trPr>
          <w:trHeight w:val="240"/>
          <w:jc w:val="center"/>
        </w:trPr>
        <w:tc>
          <w:tcPr>
            <w:tcW w:w="4821" w:type="dxa"/>
            <w:noWrap/>
            <w:vAlign w:val="center"/>
          </w:tcPr>
          <w:p w:rsidR="0049550D" w:rsidRPr="002C224A" w:rsidRDefault="0049550D" w:rsidP="00841304">
            <w:pPr>
              <w:jc w:val="left"/>
              <w:rPr>
                <w:color w:val="000000"/>
                <w:sz w:val="18"/>
                <w:szCs w:val="18"/>
              </w:rPr>
            </w:pPr>
            <w:r w:rsidRPr="002C224A">
              <w:rPr>
                <w:color w:val="000000"/>
                <w:sz w:val="18"/>
                <w:szCs w:val="18"/>
              </w:rPr>
              <w:t>Podíl vyplacených správních poplatků na alokaci fondu</w:t>
            </w:r>
            <w:r>
              <w:rPr>
                <w:color w:val="000000"/>
                <w:sz w:val="18"/>
                <w:szCs w:val="18"/>
              </w:rPr>
              <w:t xml:space="preserve"> (%)</w:t>
            </w:r>
          </w:p>
        </w:tc>
        <w:tc>
          <w:tcPr>
            <w:tcW w:w="1134" w:type="dxa"/>
            <w:noWrap/>
            <w:vAlign w:val="center"/>
          </w:tcPr>
          <w:p w:rsidR="0049550D" w:rsidRPr="002C224A" w:rsidDel="0013658D" w:rsidRDefault="0049550D" w:rsidP="008366D3">
            <w:pPr>
              <w:jc w:val="right"/>
              <w:rPr>
                <w:color w:val="000000"/>
                <w:sz w:val="18"/>
                <w:szCs w:val="18"/>
              </w:rPr>
            </w:pPr>
            <w:r w:rsidRPr="002C224A">
              <w:rPr>
                <w:color w:val="000000"/>
                <w:sz w:val="18"/>
                <w:szCs w:val="18"/>
              </w:rPr>
              <w:t>5,6</w:t>
            </w:r>
          </w:p>
        </w:tc>
        <w:tc>
          <w:tcPr>
            <w:tcW w:w="1058" w:type="dxa"/>
            <w:vAlign w:val="center"/>
          </w:tcPr>
          <w:p w:rsidR="0049550D" w:rsidRPr="002C224A" w:rsidRDefault="0049550D" w:rsidP="008366D3">
            <w:pPr>
              <w:jc w:val="right"/>
              <w:rPr>
                <w:color w:val="000000"/>
                <w:sz w:val="18"/>
                <w:szCs w:val="18"/>
              </w:rPr>
            </w:pPr>
            <w:r w:rsidRPr="002C224A">
              <w:rPr>
                <w:color w:val="000000"/>
                <w:sz w:val="18"/>
                <w:szCs w:val="18"/>
              </w:rPr>
              <w:t>5,6</w:t>
            </w:r>
          </w:p>
        </w:tc>
        <w:tc>
          <w:tcPr>
            <w:tcW w:w="1200" w:type="dxa"/>
            <w:vAlign w:val="center"/>
          </w:tcPr>
          <w:p w:rsidR="0049550D" w:rsidRPr="002C224A" w:rsidRDefault="0049550D" w:rsidP="008366D3">
            <w:pPr>
              <w:jc w:val="right"/>
              <w:rPr>
                <w:color w:val="000000"/>
                <w:sz w:val="18"/>
                <w:szCs w:val="18"/>
              </w:rPr>
            </w:pPr>
            <w:r w:rsidRPr="002C224A">
              <w:rPr>
                <w:color w:val="000000"/>
                <w:sz w:val="18"/>
                <w:szCs w:val="18"/>
              </w:rPr>
              <w:t>5,6</w:t>
            </w:r>
          </w:p>
        </w:tc>
        <w:tc>
          <w:tcPr>
            <w:tcW w:w="1075" w:type="dxa"/>
            <w:vAlign w:val="center"/>
          </w:tcPr>
          <w:p w:rsidR="0049550D" w:rsidRPr="002C224A" w:rsidRDefault="0049550D" w:rsidP="008366D3">
            <w:pPr>
              <w:jc w:val="right"/>
              <w:rPr>
                <w:color w:val="000000"/>
                <w:sz w:val="18"/>
                <w:szCs w:val="18"/>
              </w:rPr>
            </w:pPr>
            <w:r>
              <w:rPr>
                <w:color w:val="000000"/>
                <w:sz w:val="18"/>
                <w:szCs w:val="18"/>
              </w:rPr>
              <w:t>4,9</w:t>
            </w:r>
          </w:p>
        </w:tc>
      </w:tr>
      <w:tr w:rsidR="0049550D" w:rsidRPr="002C224A" w:rsidTr="008366D3">
        <w:trPr>
          <w:trHeight w:val="240"/>
          <w:jc w:val="center"/>
        </w:trPr>
        <w:tc>
          <w:tcPr>
            <w:tcW w:w="4821" w:type="dxa"/>
            <w:noWrap/>
            <w:vAlign w:val="center"/>
          </w:tcPr>
          <w:p w:rsidR="0049550D" w:rsidRPr="002C224A" w:rsidRDefault="0049550D" w:rsidP="00165EB0">
            <w:pPr>
              <w:jc w:val="left"/>
              <w:rPr>
                <w:color w:val="000000"/>
                <w:sz w:val="18"/>
                <w:szCs w:val="18"/>
              </w:rPr>
            </w:pPr>
            <w:r w:rsidRPr="002C224A">
              <w:rPr>
                <w:color w:val="000000"/>
                <w:sz w:val="18"/>
                <w:szCs w:val="18"/>
              </w:rPr>
              <w:t>Revolvingový efekt – zvýšení disponibilních prostředků OP PIK (mil. Kč)</w:t>
            </w:r>
          </w:p>
        </w:tc>
        <w:tc>
          <w:tcPr>
            <w:tcW w:w="1134" w:type="dxa"/>
            <w:noWrap/>
            <w:vAlign w:val="center"/>
          </w:tcPr>
          <w:p w:rsidR="0049550D" w:rsidRPr="002C224A" w:rsidRDefault="0049550D" w:rsidP="008366D3">
            <w:pPr>
              <w:jc w:val="right"/>
              <w:rPr>
                <w:color w:val="000000"/>
                <w:sz w:val="18"/>
                <w:szCs w:val="18"/>
              </w:rPr>
            </w:pPr>
            <w:r w:rsidRPr="002C224A">
              <w:rPr>
                <w:sz w:val="18"/>
                <w:szCs w:val="18"/>
              </w:rPr>
              <w:t>3 541</w:t>
            </w:r>
          </w:p>
        </w:tc>
        <w:tc>
          <w:tcPr>
            <w:tcW w:w="1058" w:type="dxa"/>
            <w:vAlign w:val="center"/>
          </w:tcPr>
          <w:p w:rsidR="0049550D" w:rsidRPr="002C224A" w:rsidRDefault="0049550D" w:rsidP="008366D3">
            <w:pPr>
              <w:jc w:val="right"/>
              <w:rPr>
                <w:color w:val="000000"/>
                <w:sz w:val="18"/>
                <w:szCs w:val="18"/>
              </w:rPr>
            </w:pPr>
            <w:r w:rsidRPr="002C224A">
              <w:rPr>
                <w:sz w:val="18"/>
                <w:szCs w:val="18"/>
              </w:rPr>
              <w:t>3 090</w:t>
            </w:r>
          </w:p>
        </w:tc>
        <w:tc>
          <w:tcPr>
            <w:tcW w:w="1200" w:type="dxa"/>
            <w:vAlign w:val="center"/>
          </w:tcPr>
          <w:p w:rsidR="0049550D" w:rsidRPr="002C224A" w:rsidRDefault="0049550D" w:rsidP="008366D3">
            <w:pPr>
              <w:jc w:val="right"/>
              <w:rPr>
                <w:color w:val="000000"/>
                <w:sz w:val="18"/>
                <w:szCs w:val="18"/>
              </w:rPr>
            </w:pPr>
            <w:r w:rsidRPr="002C224A">
              <w:rPr>
                <w:sz w:val="18"/>
                <w:szCs w:val="18"/>
              </w:rPr>
              <w:t>3 161</w:t>
            </w:r>
          </w:p>
        </w:tc>
        <w:tc>
          <w:tcPr>
            <w:tcW w:w="1075" w:type="dxa"/>
            <w:vAlign w:val="center"/>
          </w:tcPr>
          <w:p w:rsidR="0049550D" w:rsidRPr="002C224A" w:rsidRDefault="0049550D" w:rsidP="008366D3">
            <w:pPr>
              <w:jc w:val="right"/>
              <w:rPr>
                <w:sz w:val="18"/>
                <w:szCs w:val="18"/>
              </w:rPr>
            </w:pPr>
            <w:r>
              <w:rPr>
                <w:sz w:val="18"/>
                <w:szCs w:val="18"/>
              </w:rPr>
              <w:t>-</w:t>
            </w:r>
          </w:p>
        </w:tc>
      </w:tr>
      <w:tr w:rsidR="0049550D" w:rsidRPr="002C224A" w:rsidTr="008366D3">
        <w:trPr>
          <w:trHeight w:val="240"/>
          <w:jc w:val="center"/>
        </w:trPr>
        <w:tc>
          <w:tcPr>
            <w:tcW w:w="4821" w:type="dxa"/>
            <w:noWrap/>
            <w:vAlign w:val="center"/>
          </w:tcPr>
          <w:p w:rsidR="0049550D" w:rsidRPr="00A50943" w:rsidRDefault="0049550D" w:rsidP="00841304">
            <w:pPr>
              <w:jc w:val="left"/>
              <w:rPr>
                <w:color w:val="000000"/>
                <w:sz w:val="18"/>
                <w:szCs w:val="18"/>
                <w:lang w:val="en-US"/>
              </w:rPr>
            </w:pPr>
            <w:r w:rsidRPr="002C224A">
              <w:rPr>
                <w:color w:val="000000"/>
                <w:sz w:val="18"/>
                <w:szCs w:val="18"/>
                <w:lang w:val="en-US"/>
              </w:rPr>
              <w:t>Podpořené projekty</w:t>
            </w:r>
            <w:r w:rsidRPr="002C224A">
              <w:rPr>
                <w:rStyle w:val="Znakapoznpodarou"/>
                <w:rFonts w:ascii="Calibri" w:hAnsi="Calibri"/>
                <w:color w:val="000000"/>
                <w:sz w:val="22"/>
                <w:szCs w:val="22"/>
                <w:lang w:val="en-US"/>
              </w:rPr>
              <w:footnoteReference w:id="61"/>
            </w:r>
          </w:p>
        </w:tc>
        <w:tc>
          <w:tcPr>
            <w:tcW w:w="1134" w:type="dxa"/>
            <w:noWrap/>
            <w:vAlign w:val="center"/>
          </w:tcPr>
          <w:p w:rsidR="0049550D" w:rsidRPr="002C224A" w:rsidRDefault="0049550D" w:rsidP="008366D3">
            <w:pPr>
              <w:jc w:val="right"/>
              <w:rPr>
                <w:b/>
                <w:color w:val="000000"/>
                <w:sz w:val="18"/>
                <w:szCs w:val="18"/>
                <w:lang w:val="en-US"/>
              </w:rPr>
            </w:pPr>
            <w:r w:rsidRPr="002C224A">
              <w:rPr>
                <w:b/>
                <w:color w:val="000000"/>
                <w:sz w:val="18"/>
                <w:szCs w:val="18"/>
                <w:lang w:val="en-US"/>
              </w:rPr>
              <w:t>2614</w:t>
            </w:r>
          </w:p>
        </w:tc>
        <w:tc>
          <w:tcPr>
            <w:tcW w:w="1058" w:type="dxa"/>
            <w:vAlign w:val="center"/>
          </w:tcPr>
          <w:p w:rsidR="0049550D" w:rsidRPr="002C224A" w:rsidRDefault="0049550D" w:rsidP="008366D3">
            <w:pPr>
              <w:jc w:val="right"/>
              <w:rPr>
                <w:b/>
                <w:color w:val="000000"/>
                <w:sz w:val="18"/>
                <w:szCs w:val="18"/>
                <w:lang w:val="en-US"/>
              </w:rPr>
            </w:pPr>
            <w:r w:rsidRPr="002C224A">
              <w:rPr>
                <w:b/>
                <w:color w:val="000000"/>
                <w:sz w:val="18"/>
                <w:szCs w:val="18"/>
                <w:lang w:val="en-US"/>
              </w:rPr>
              <w:t>2473</w:t>
            </w:r>
          </w:p>
        </w:tc>
        <w:tc>
          <w:tcPr>
            <w:tcW w:w="1200" w:type="dxa"/>
            <w:vAlign w:val="center"/>
          </w:tcPr>
          <w:p w:rsidR="0049550D" w:rsidRPr="002C224A" w:rsidRDefault="0049550D" w:rsidP="008366D3">
            <w:pPr>
              <w:jc w:val="right"/>
              <w:rPr>
                <w:b/>
                <w:color w:val="000000"/>
                <w:sz w:val="18"/>
                <w:szCs w:val="18"/>
                <w:lang w:val="en-US"/>
              </w:rPr>
            </w:pPr>
            <w:r w:rsidRPr="002C224A">
              <w:rPr>
                <w:b/>
                <w:color w:val="000000"/>
                <w:sz w:val="18"/>
                <w:szCs w:val="18"/>
                <w:lang w:val="en-US"/>
              </w:rPr>
              <w:t>2409</w:t>
            </w:r>
          </w:p>
        </w:tc>
        <w:tc>
          <w:tcPr>
            <w:tcW w:w="1075" w:type="dxa"/>
            <w:vAlign w:val="center"/>
          </w:tcPr>
          <w:p w:rsidR="0049550D" w:rsidRPr="002C224A" w:rsidRDefault="0049550D" w:rsidP="008366D3">
            <w:pPr>
              <w:jc w:val="right"/>
              <w:rPr>
                <w:b/>
                <w:color w:val="000000"/>
                <w:sz w:val="18"/>
                <w:szCs w:val="18"/>
                <w:lang w:val="en-US"/>
              </w:rPr>
            </w:pPr>
            <w:r>
              <w:rPr>
                <w:b/>
                <w:color w:val="000000"/>
                <w:sz w:val="18"/>
                <w:szCs w:val="18"/>
                <w:lang w:val="en-US"/>
              </w:rPr>
              <w:t>1402</w:t>
            </w:r>
          </w:p>
        </w:tc>
      </w:tr>
      <w:tr w:rsidR="0049550D" w:rsidRPr="002C224A" w:rsidTr="008366D3">
        <w:trPr>
          <w:trHeight w:val="240"/>
          <w:jc w:val="center"/>
        </w:trPr>
        <w:tc>
          <w:tcPr>
            <w:tcW w:w="4821" w:type="dxa"/>
            <w:noWrap/>
            <w:vAlign w:val="center"/>
          </w:tcPr>
          <w:p w:rsidR="0049550D" w:rsidRPr="00A50943" w:rsidRDefault="0049550D" w:rsidP="00841304">
            <w:pPr>
              <w:jc w:val="left"/>
              <w:rPr>
                <w:color w:val="000000"/>
                <w:sz w:val="18"/>
                <w:szCs w:val="18"/>
                <w:lang w:val="en-US"/>
              </w:rPr>
            </w:pPr>
            <w:r w:rsidRPr="002C224A">
              <w:rPr>
                <w:color w:val="000000"/>
                <w:sz w:val="18"/>
                <w:szCs w:val="18"/>
                <w:lang w:val="en-US"/>
              </w:rPr>
              <w:t>Vytvořená pracovní místa</w:t>
            </w:r>
            <w:r w:rsidRPr="002C224A">
              <w:rPr>
                <w:rStyle w:val="Znakapoznpodarou"/>
                <w:rFonts w:ascii="Calibri" w:hAnsi="Calibri"/>
                <w:color w:val="000000"/>
                <w:sz w:val="22"/>
                <w:szCs w:val="22"/>
                <w:lang w:val="en-US"/>
              </w:rPr>
              <w:footnoteReference w:id="62"/>
            </w:r>
          </w:p>
        </w:tc>
        <w:tc>
          <w:tcPr>
            <w:tcW w:w="1134" w:type="dxa"/>
            <w:noWrap/>
            <w:vAlign w:val="center"/>
          </w:tcPr>
          <w:p w:rsidR="0049550D" w:rsidRPr="002C224A" w:rsidRDefault="0049550D" w:rsidP="008366D3">
            <w:pPr>
              <w:jc w:val="right"/>
              <w:rPr>
                <w:color w:val="000000"/>
                <w:sz w:val="18"/>
                <w:szCs w:val="18"/>
                <w:lang w:val="en-US"/>
              </w:rPr>
            </w:pPr>
            <w:r w:rsidRPr="002C224A">
              <w:rPr>
                <w:color w:val="000000"/>
                <w:sz w:val="18"/>
                <w:szCs w:val="18"/>
                <w:lang w:val="en-US"/>
              </w:rPr>
              <w:t>5228</w:t>
            </w:r>
          </w:p>
        </w:tc>
        <w:tc>
          <w:tcPr>
            <w:tcW w:w="1058" w:type="dxa"/>
            <w:vAlign w:val="center"/>
          </w:tcPr>
          <w:p w:rsidR="0049550D" w:rsidRPr="002C224A" w:rsidRDefault="0049550D" w:rsidP="008366D3">
            <w:pPr>
              <w:jc w:val="right"/>
              <w:rPr>
                <w:color w:val="000000"/>
                <w:sz w:val="18"/>
                <w:szCs w:val="18"/>
                <w:lang w:val="en-US"/>
              </w:rPr>
            </w:pPr>
            <w:r w:rsidRPr="002C224A">
              <w:rPr>
                <w:color w:val="000000"/>
                <w:sz w:val="18"/>
                <w:szCs w:val="18"/>
                <w:lang w:val="en-US"/>
              </w:rPr>
              <w:t>4947</w:t>
            </w:r>
          </w:p>
        </w:tc>
        <w:tc>
          <w:tcPr>
            <w:tcW w:w="1200" w:type="dxa"/>
            <w:vAlign w:val="center"/>
          </w:tcPr>
          <w:p w:rsidR="0049550D" w:rsidRPr="002C224A" w:rsidRDefault="0049550D" w:rsidP="008366D3">
            <w:pPr>
              <w:jc w:val="right"/>
              <w:rPr>
                <w:color w:val="000000"/>
                <w:sz w:val="18"/>
                <w:szCs w:val="18"/>
                <w:lang w:val="en-US"/>
              </w:rPr>
            </w:pPr>
            <w:r w:rsidRPr="002C224A">
              <w:rPr>
                <w:color w:val="000000"/>
                <w:sz w:val="18"/>
                <w:szCs w:val="18"/>
                <w:lang w:val="en-US"/>
              </w:rPr>
              <w:t>4818</w:t>
            </w:r>
          </w:p>
        </w:tc>
        <w:tc>
          <w:tcPr>
            <w:tcW w:w="1075" w:type="dxa"/>
            <w:vAlign w:val="center"/>
          </w:tcPr>
          <w:p w:rsidR="0049550D" w:rsidRPr="002C224A" w:rsidRDefault="00FD4D63" w:rsidP="008366D3">
            <w:pPr>
              <w:jc w:val="right"/>
              <w:rPr>
                <w:color w:val="000000"/>
                <w:sz w:val="18"/>
                <w:szCs w:val="18"/>
                <w:lang w:val="en-US"/>
              </w:rPr>
            </w:pPr>
            <w:r>
              <w:rPr>
                <w:color w:val="000000"/>
                <w:sz w:val="18"/>
                <w:szCs w:val="18"/>
                <w:lang w:val="en-US"/>
              </w:rPr>
              <w:t>2804</w:t>
            </w:r>
          </w:p>
        </w:tc>
      </w:tr>
    </w:tbl>
    <w:p w:rsidR="006D67F1" w:rsidRPr="002C224A" w:rsidRDefault="006D67F1" w:rsidP="00C80201">
      <w:pPr>
        <w:rPr>
          <w:noProof/>
        </w:rPr>
      </w:pPr>
    </w:p>
    <w:p w:rsidR="007F05F8" w:rsidRPr="002C224A" w:rsidRDefault="00BC0099" w:rsidP="00C80201">
      <w:r>
        <w:t>V případě nevyužití revolvovaných prostředků</w:t>
      </w:r>
      <w:r w:rsidR="000B378D">
        <w:t xml:space="preserve"> v tomto období (Scénář 4) bude v primárním investičním cyklu navrhovanou alokací vyvoláno 11 mld. investic s přidanou hodnotou 2,58.</w:t>
      </w:r>
      <w:r>
        <w:t xml:space="preserve"> </w:t>
      </w:r>
    </w:p>
    <w:p w:rsidR="006D67F1" w:rsidRPr="002C224A" w:rsidRDefault="006D67F1" w:rsidP="00CF3767"/>
    <w:p w:rsidR="006D67F1" w:rsidRPr="002C224A" w:rsidRDefault="006D67F1" w:rsidP="00C72C85">
      <w:pPr>
        <w:pStyle w:val="Neslovannadpisy"/>
        <w:rPr>
          <w:b w:val="0"/>
        </w:rPr>
      </w:pPr>
      <w:r w:rsidRPr="002C224A">
        <w:t>Záruční nástroj</w:t>
      </w:r>
    </w:p>
    <w:p w:rsidR="0061019B" w:rsidRPr="002C224A" w:rsidRDefault="006D67F1" w:rsidP="00CF3767">
      <w:r w:rsidRPr="002C224A">
        <w:lastRenderedPageBreak/>
        <w:t>Multiplikační a revolvingový efekt záručního instrumentu je přímo závislý na strategii řízení rizika</w:t>
      </w:r>
      <w:r w:rsidR="0061019B" w:rsidRPr="002C224A">
        <w:t xml:space="preserve"> a ztrát</w:t>
      </w:r>
      <w:r w:rsidRPr="002C224A">
        <w:t xml:space="preserve">. </w:t>
      </w:r>
      <w:r w:rsidR="0061019B" w:rsidRPr="002C224A">
        <w:t>Model vychází z</w:t>
      </w:r>
      <w:r w:rsidR="00313B03" w:rsidRPr="002C224A">
        <w:t> navržené alokace</w:t>
      </w:r>
      <w:r w:rsidR="006806F3" w:rsidRPr="002C224A">
        <w:t>,</w:t>
      </w:r>
      <w:r w:rsidR="00313B03" w:rsidRPr="002C224A">
        <w:t xml:space="preserve"> </w:t>
      </w:r>
      <w:r w:rsidR="0061019B" w:rsidRPr="002C224A">
        <w:t>parametrů definovaných v podkapitole Odhad dodatečných zdrojů</w:t>
      </w:r>
      <w:r w:rsidR="00313B03" w:rsidRPr="002C224A">
        <w:t xml:space="preserve"> a </w:t>
      </w:r>
      <w:r w:rsidR="00634FE9" w:rsidRPr="002C224A">
        <w:t>modelových parametrů</w:t>
      </w:r>
      <w:r w:rsidR="00313B03" w:rsidRPr="002C224A">
        <w:t xml:space="preserve"> </w:t>
      </w:r>
      <w:r w:rsidR="006806F3" w:rsidRPr="002C224A">
        <w:t xml:space="preserve">dle dosavadních zkušeností </w:t>
      </w:r>
      <w:r w:rsidR="00634FE9" w:rsidRPr="002C224A">
        <w:t>z OP PI</w:t>
      </w:r>
      <w:r w:rsidR="006806F3" w:rsidRPr="002C224A">
        <w:t>.</w:t>
      </w:r>
    </w:p>
    <w:p w:rsidR="005B3243" w:rsidRDefault="005B3243" w:rsidP="006044B2">
      <w:pPr>
        <w:pStyle w:val="Titulek"/>
      </w:pPr>
    </w:p>
    <w:p w:rsidR="006044B2" w:rsidRPr="002C224A" w:rsidRDefault="006044B2" w:rsidP="006044B2">
      <w:pPr>
        <w:pStyle w:val="Titulek"/>
      </w:pPr>
      <w:r w:rsidRPr="002C224A">
        <w:t xml:space="preserve">Tabulka </w:t>
      </w:r>
      <w:r w:rsidR="004A4860">
        <w:t>107</w:t>
      </w:r>
      <w:r w:rsidRPr="002C224A">
        <w:t>: Záruky SC 2.1, parametry modelu</w:t>
      </w:r>
    </w:p>
    <w:tbl>
      <w:tblPr>
        <w:tblW w:w="5560" w:type="dxa"/>
        <w:tblInd w:w="80" w:type="dxa"/>
        <w:tblCellMar>
          <w:left w:w="70" w:type="dxa"/>
          <w:right w:w="70" w:type="dxa"/>
        </w:tblCellMar>
        <w:tblLook w:val="04A0" w:firstRow="1" w:lastRow="0" w:firstColumn="1" w:lastColumn="0" w:noHBand="0" w:noVBand="1"/>
      </w:tblPr>
      <w:tblGrid>
        <w:gridCol w:w="3940"/>
        <w:gridCol w:w="1620"/>
      </w:tblGrid>
      <w:tr w:rsidR="002E2AFD" w:rsidRPr="002C224A" w:rsidTr="002E2AFD">
        <w:trPr>
          <w:trHeight w:val="315"/>
        </w:trPr>
        <w:tc>
          <w:tcPr>
            <w:tcW w:w="3940" w:type="dxa"/>
            <w:tcBorders>
              <w:top w:val="single" w:sz="8" w:space="0" w:color="auto"/>
              <w:left w:val="single" w:sz="8" w:space="0" w:color="auto"/>
              <w:bottom w:val="nil"/>
              <w:right w:val="nil"/>
            </w:tcBorders>
            <w:shd w:val="clear" w:color="auto" w:fill="auto"/>
            <w:noWrap/>
            <w:vAlign w:val="bottom"/>
          </w:tcPr>
          <w:p w:rsidR="002E2AFD" w:rsidRPr="00A50943" w:rsidRDefault="002E2AFD" w:rsidP="002E2AFD">
            <w:pPr>
              <w:overflowPunct/>
              <w:autoSpaceDE/>
              <w:autoSpaceDN/>
              <w:adjustRightInd/>
              <w:jc w:val="left"/>
              <w:textAlignment w:val="auto"/>
              <w:rPr>
                <w:color w:val="000000"/>
                <w:szCs w:val="22"/>
              </w:rPr>
            </w:pPr>
            <w:r w:rsidRPr="00A50943">
              <w:rPr>
                <w:color w:val="000000"/>
                <w:szCs w:val="22"/>
              </w:rPr>
              <w:t>Alokace (mil. Kč)</w:t>
            </w:r>
          </w:p>
        </w:tc>
        <w:tc>
          <w:tcPr>
            <w:tcW w:w="1620" w:type="dxa"/>
            <w:tcBorders>
              <w:top w:val="single" w:sz="8" w:space="0" w:color="auto"/>
              <w:left w:val="single" w:sz="8" w:space="0" w:color="auto"/>
              <w:bottom w:val="nil"/>
              <w:right w:val="single" w:sz="8" w:space="0" w:color="auto"/>
            </w:tcBorders>
            <w:shd w:val="clear" w:color="auto" w:fill="auto"/>
            <w:noWrap/>
            <w:vAlign w:val="bottom"/>
          </w:tcPr>
          <w:p w:rsidR="002E2AFD" w:rsidRPr="002C224A" w:rsidRDefault="002E2AFD" w:rsidP="002E2AFD">
            <w:pPr>
              <w:overflowPunct/>
              <w:autoSpaceDE/>
              <w:autoSpaceDN/>
              <w:adjustRightInd/>
              <w:jc w:val="right"/>
              <w:textAlignment w:val="auto"/>
              <w:rPr>
                <w:color w:val="000000"/>
                <w:szCs w:val="22"/>
              </w:rPr>
            </w:pPr>
            <w:r w:rsidRPr="002C224A">
              <w:rPr>
                <w:color w:val="000000"/>
                <w:szCs w:val="22"/>
              </w:rPr>
              <w:t>4</w:t>
            </w:r>
            <w:r w:rsidR="00515806">
              <w:rPr>
                <w:color w:val="000000"/>
                <w:szCs w:val="22"/>
              </w:rPr>
              <w:t xml:space="preserve"> </w:t>
            </w:r>
            <w:r w:rsidRPr="002C224A">
              <w:rPr>
                <w:color w:val="000000"/>
                <w:szCs w:val="22"/>
              </w:rPr>
              <w:t>825</w:t>
            </w:r>
          </w:p>
        </w:tc>
      </w:tr>
      <w:tr w:rsidR="002E2AFD" w:rsidRPr="002C224A" w:rsidTr="002E2AFD">
        <w:trPr>
          <w:trHeight w:val="345"/>
        </w:trPr>
        <w:tc>
          <w:tcPr>
            <w:tcW w:w="3940" w:type="dxa"/>
            <w:tcBorders>
              <w:top w:val="nil"/>
              <w:left w:val="single" w:sz="8" w:space="0" w:color="auto"/>
              <w:bottom w:val="nil"/>
              <w:right w:val="nil"/>
            </w:tcBorders>
            <w:shd w:val="clear" w:color="auto" w:fill="auto"/>
            <w:noWrap/>
            <w:vAlign w:val="bottom"/>
          </w:tcPr>
          <w:p w:rsidR="002E2AFD" w:rsidRPr="002C224A" w:rsidRDefault="00962E90" w:rsidP="002E2AFD">
            <w:pPr>
              <w:overflowPunct/>
              <w:autoSpaceDE/>
              <w:autoSpaceDN/>
              <w:adjustRightInd/>
              <w:jc w:val="left"/>
              <w:textAlignment w:val="auto"/>
              <w:rPr>
                <w:color w:val="000000"/>
                <w:szCs w:val="22"/>
              </w:rPr>
            </w:pPr>
            <w:r w:rsidRPr="00A50943">
              <w:rPr>
                <w:color w:val="000000"/>
                <w:szCs w:val="22"/>
              </w:rPr>
              <w:t>H</w:t>
            </w:r>
            <w:r w:rsidR="002E2AFD" w:rsidRPr="002C224A">
              <w:rPr>
                <w:color w:val="000000"/>
                <w:szCs w:val="22"/>
              </w:rPr>
              <w:t>razení ztrát</w:t>
            </w:r>
          </w:p>
        </w:tc>
        <w:tc>
          <w:tcPr>
            <w:tcW w:w="1620" w:type="dxa"/>
            <w:tcBorders>
              <w:top w:val="nil"/>
              <w:left w:val="single" w:sz="8" w:space="0" w:color="auto"/>
              <w:bottom w:val="nil"/>
              <w:right w:val="single" w:sz="8" w:space="0" w:color="auto"/>
            </w:tcBorders>
            <w:shd w:val="clear" w:color="auto" w:fill="auto"/>
            <w:noWrap/>
            <w:vAlign w:val="bottom"/>
          </w:tcPr>
          <w:p w:rsidR="002E2AFD" w:rsidRPr="002C224A" w:rsidRDefault="002E2AFD" w:rsidP="002E2AFD">
            <w:pPr>
              <w:overflowPunct/>
              <w:autoSpaceDE/>
              <w:autoSpaceDN/>
              <w:adjustRightInd/>
              <w:jc w:val="right"/>
              <w:textAlignment w:val="auto"/>
              <w:rPr>
                <w:color w:val="000000"/>
                <w:szCs w:val="22"/>
              </w:rPr>
            </w:pPr>
            <w:r w:rsidRPr="002C224A">
              <w:rPr>
                <w:color w:val="000000"/>
                <w:szCs w:val="22"/>
              </w:rPr>
              <w:t>15%</w:t>
            </w:r>
          </w:p>
        </w:tc>
      </w:tr>
      <w:tr w:rsidR="002E2AFD" w:rsidRPr="002C224A" w:rsidTr="00313B03">
        <w:trPr>
          <w:trHeight w:val="315"/>
        </w:trPr>
        <w:tc>
          <w:tcPr>
            <w:tcW w:w="3940" w:type="dxa"/>
            <w:tcBorders>
              <w:top w:val="nil"/>
              <w:left w:val="single" w:sz="8" w:space="0" w:color="auto"/>
              <w:bottom w:val="nil"/>
              <w:right w:val="nil"/>
            </w:tcBorders>
            <w:shd w:val="clear" w:color="auto" w:fill="auto"/>
            <w:noWrap/>
            <w:vAlign w:val="bottom"/>
          </w:tcPr>
          <w:p w:rsidR="002E2AFD" w:rsidRPr="00A50943" w:rsidRDefault="002E2AFD" w:rsidP="002E2AFD">
            <w:pPr>
              <w:overflowPunct/>
              <w:autoSpaceDE/>
              <w:autoSpaceDN/>
              <w:adjustRightInd/>
              <w:jc w:val="left"/>
              <w:textAlignment w:val="auto"/>
              <w:rPr>
                <w:color w:val="000000"/>
                <w:szCs w:val="22"/>
              </w:rPr>
            </w:pPr>
            <w:r w:rsidRPr="00A50943">
              <w:rPr>
                <w:color w:val="000000"/>
                <w:szCs w:val="22"/>
              </w:rPr>
              <w:t>Podíl vyplacených m. fees na alokaci</w:t>
            </w:r>
          </w:p>
        </w:tc>
        <w:tc>
          <w:tcPr>
            <w:tcW w:w="1620" w:type="dxa"/>
            <w:tcBorders>
              <w:top w:val="nil"/>
              <w:left w:val="single" w:sz="8" w:space="0" w:color="auto"/>
              <w:bottom w:val="nil"/>
              <w:right w:val="single" w:sz="8" w:space="0" w:color="auto"/>
            </w:tcBorders>
            <w:shd w:val="clear" w:color="auto" w:fill="auto"/>
            <w:noWrap/>
            <w:vAlign w:val="bottom"/>
          </w:tcPr>
          <w:p w:rsidR="002E2AFD" w:rsidRPr="002C224A" w:rsidRDefault="002E2AFD" w:rsidP="002E2AFD">
            <w:pPr>
              <w:overflowPunct/>
              <w:autoSpaceDE/>
              <w:autoSpaceDN/>
              <w:adjustRightInd/>
              <w:jc w:val="right"/>
              <w:textAlignment w:val="auto"/>
              <w:rPr>
                <w:color w:val="000000"/>
                <w:szCs w:val="22"/>
              </w:rPr>
            </w:pPr>
            <w:r w:rsidRPr="002C224A">
              <w:rPr>
                <w:color w:val="000000"/>
                <w:szCs w:val="22"/>
              </w:rPr>
              <w:t>8%</w:t>
            </w:r>
          </w:p>
        </w:tc>
      </w:tr>
      <w:tr w:rsidR="00313B03" w:rsidRPr="002C224A" w:rsidTr="00313B03">
        <w:trPr>
          <w:trHeight w:val="315"/>
        </w:trPr>
        <w:tc>
          <w:tcPr>
            <w:tcW w:w="3940" w:type="dxa"/>
            <w:tcBorders>
              <w:top w:val="nil"/>
              <w:left w:val="single" w:sz="8" w:space="0" w:color="auto"/>
              <w:bottom w:val="nil"/>
              <w:right w:val="nil"/>
            </w:tcBorders>
            <w:shd w:val="clear" w:color="auto" w:fill="auto"/>
            <w:noWrap/>
            <w:vAlign w:val="bottom"/>
          </w:tcPr>
          <w:p w:rsidR="00313B03" w:rsidRPr="00A50943" w:rsidRDefault="00313B03" w:rsidP="002E2AFD">
            <w:pPr>
              <w:overflowPunct/>
              <w:autoSpaceDE/>
              <w:autoSpaceDN/>
              <w:adjustRightInd/>
              <w:jc w:val="left"/>
              <w:textAlignment w:val="auto"/>
              <w:rPr>
                <w:color w:val="000000"/>
                <w:szCs w:val="22"/>
              </w:rPr>
            </w:pPr>
            <w:r w:rsidRPr="00A50943">
              <w:rPr>
                <w:color w:val="000000"/>
                <w:szCs w:val="22"/>
              </w:rPr>
              <w:t>Podíl vlastních zdrojů k.p.</w:t>
            </w:r>
          </w:p>
        </w:tc>
        <w:tc>
          <w:tcPr>
            <w:tcW w:w="1620" w:type="dxa"/>
            <w:tcBorders>
              <w:top w:val="nil"/>
              <w:left w:val="single" w:sz="8" w:space="0" w:color="auto"/>
              <w:bottom w:val="nil"/>
              <w:right w:val="single" w:sz="8" w:space="0" w:color="auto"/>
            </w:tcBorders>
            <w:shd w:val="clear" w:color="auto" w:fill="auto"/>
            <w:noWrap/>
            <w:vAlign w:val="bottom"/>
          </w:tcPr>
          <w:p w:rsidR="00313B03" w:rsidRPr="002C224A" w:rsidRDefault="00D3612C" w:rsidP="00A50943">
            <w:pPr>
              <w:overflowPunct/>
              <w:autoSpaceDE/>
              <w:autoSpaceDN/>
              <w:adjustRightInd/>
              <w:jc w:val="right"/>
              <w:textAlignment w:val="auto"/>
              <w:rPr>
                <w:color w:val="000000"/>
                <w:szCs w:val="22"/>
              </w:rPr>
            </w:pPr>
            <w:r w:rsidRPr="002C224A">
              <w:rPr>
                <w:color w:val="000000"/>
                <w:szCs w:val="22"/>
              </w:rPr>
              <w:t>20</w:t>
            </w:r>
            <w:r w:rsidR="00313B03" w:rsidRPr="002C224A">
              <w:rPr>
                <w:color w:val="000000"/>
                <w:szCs w:val="22"/>
              </w:rPr>
              <w:t>%</w:t>
            </w:r>
          </w:p>
        </w:tc>
      </w:tr>
      <w:tr w:rsidR="00313B03" w:rsidRPr="002C224A" w:rsidTr="002E2AFD">
        <w:trPr>
          <w:trHeight w:val="315"/>
        </w:trPr>
        <w:tc>
          <w:tcPr>
            <w:tcW w:w="3940" w:type="dxa"/>
            <w:tcBorders>
              <w:top w:val="nil"/>
              <w:left w:val="single" w:sz="8" w:space="0" w:color="auto"/>
              <w:bottom w:val="single" w:sz="8" w:space="0" w:color="auto"/>
              <w:right w:val="nil"/>
            </w:tcBorders>
            <w:shd w:val="clear" w:color="auto" w:fill="auto"/>
            <w:noWrap/>
            <w:vAlign w:val="bottom"/>
          </w:tcPr>
          <w:p w:rsidR="00313B03" w:rsidRPr="002C224A" w:rsidRDefault="00313B03" w:rsidP="002E2AFD">
            <w:pPr>
              <w:overflowPunct/>
              <w:autoSpaceDE/>
              <w:autoSpaceDN/>
              <w:adjustRightInd/>
              <w:jc w:val="left"/>
              <w:textAlignment w:val="auto"/>
              <w:rPr>
                <w:color w:val="000000"/>
                <w:szCs w:val="22"/>
              </w:rPr>
            </w:pPr>
            <w:r w:rsidRPr="00A50943">
              <w:rPr>
                <w:color w:val="000000"/>
                <w:szCs w:val="22"/>
              </w:rPr>
              <w:t xml:space="preserve">Průměrná velikost úvěru (mil. </w:t>
            </w:r>
            <w:r w:rsidRPr="002C224A">
              <w:rPr>
                <w:color w:val="000000"/>
                <w:szCs w:val="22"/>
              </w:rPr>
              <w:t>Kč)</w:t>
            </w:r>
          </w:p>
        </w:tc>
        <w:tc>
          <w:tcPr>
            <w:tcW w:w="1620" w:type="dxa"/>
            <w:tcBorders>
              <w:top w:val="nil"/>
              <w:left w:val="single" w:sz="8" w:space="0" w:color="auto"/>
              <w:bottom w:val="single" w:sz="8" w:space="0" w:color="auto"/>
              <w:right w:val="single" w:sz="8" w:space="0" w:color="auto"/>
            </w:tcBorders>
            <w:shd w:val="clear" w:color="auto" w:fill="auto"/>
            <w:noWrap/>
            <w:vAlign w:val="bottom"/>
          </w:tcPr>
          <w:p w:rsidR="00313B03" w:rsidRPr="002C224A" w:rsidRDefault="00313B03" w:rsidP="002E2AFD">
            <w:pPr>
              <w:overflowPunct/>
              <w:autoSpaceDE/>
              <w:autoSpaceDN/>
              <w:adjustRightInd/>
              <w:jc w:val="right"/>
              <w:textAlignment w:val="auto"/>
              <w:rPr>
                <w:color w:val="000000"/>
                <w:szCs w:val="22"/>
              </w:rPr>
            </w:pPr>
            <w:r w:rsidRPr="002C224A">
              <w:rPr>
                <w:color w:val="000000"/>
                <w:szCs w:val="22"/>
              </w:rPr>
              <w:t>7</w:t>
            </w:r>
          </w:p>
        </w:tc>
      </w:tr>
    </w:tbl>
    <w:p w:rsidR="002E2AFD" w:rsidRPr="002C224A" w:rsidRDefault="002E2AFD" w:rsidP="00CF3767">
      <w:pPr>
        <w:pStyle w:val="BodyText1"/>
        <w:jc w:val="both"/>
        <w:rPr>
          <w:rFonts w:ascii="Calibri" w:hAnsi="Calibri"/>
        </w:rPr>
      </w:pPr>
    </w:p>
    <w:p w:rsidR="007C3BB7" w:rsidRPr="00A50943" w:rsidRDefault="007C3BB7" w:rsidP="007C3BB7">
      <w:pPr>
        <w:rPr>
          <w:vanish/>
        </w:rPr>
      </w:pPr>
    </w:p>
    <w:p w:rsidR="006D67F1" w:rsidRPr="002C224A" w:rsidRDefault="00877209" w:rsidP="00877209">
      <w:pPr>
        <w:pStyle w:val="Titulek"/>
      </w:pPr>
      <w:r w:rsidRPr="002C224A">
        <w:t xml:space="preserve">Tabulka </w:t>
      </w:r>
      <w:r w:rsidR="004A4860">
        <w:t>108</w:t>
      </w:r>
      <w:r w:rsidRPr="002C224A">
        <w:t>:</w:t>
      </w:r>
      <w:r w:rsidR="00B947B2" w:rsidRPr="002C224A">
        <w:t xml:space="preserve"> Záruky SC 2.1, výsledky modelu</w:t>
      </w:r>
    </w:p>
    <w:tbl>
      <w:tblPr>
        <w:tblW w:w="8800" w:type="dxa"/>
        <w:tblInd w:w="70" w:type="dxa"/>
        <w:tblCellMar>
          <w:left w:w="70" w:type="dxa"/>
          <w:right w:w="70" w:type="dxa"/>
        </w:tblCellMar>
        <w:tblLook w:val="04A0" w:firstRow="1" w:lastRow="0" w:firstColumn="1" w:lastColumn="0" w:noHBand="0" w:noVBand="1"/>
      </w:tblPr>
      <w:tblGrid>
        <w:gridCol w:w="1776"/>
        <w:gridCol w:w="6243"/>
        <w:gridCol w:w="781"/>
      </w:tblGrid>
      <w:tr w:rsidR="00EC7853" w:rsidRPr="002C224A" w:rsidTr="00EC7853">
        <w:trPr>
          <w:trHeight w:val="300"/>
        </w:trPr>
        <w:tc>
          <w:tcPr>
            <w:tcW w:w="8800" w:type="dxa"/>
            <w:gridSpan w:val="3"/>
            <w:tcBorders>
              <w:top w:val="single" w:sz="4" w:space="0" w:color="4F81BD"/>
              <w:left w:val="nil"/>
              <w:bottom w:val="single" w:sz="4" w:space="0" w:color="4F81BD"/>
              <w:right w:val="nil"/>
            </w:tcBorders>
            <w:shd w:val="clear" w:color="auto" w:fill="auto"/>
            <w:noWrap/>
            <w:vAlign w:val="bottom"/>
          </w:tcPr>
          <w:p w:rsidR="00EC7853" w:rsidRPr="00A50943" w:rsidRDefault="00EC7853" w:rsidP="00EC7853">
            <w:pPr>
              <w:overflowPunct/>
              <w:autoSpaceDE/>
              <w:autoSpaceDN/>
              <w:adjustRightInd/>
              <w:jc w:val="center"/>
              <w:textAlignment w:val="auto"/>
              <w:rPr>
                <w:b/>
                <w:bCs/>
                <w:color w:val="366092"/>
                <w:szCs w:val="22"/>
              </w:rPr>
            </w:pPr>
            <w:r w:rsidRPr="00A50943">
              <w:rPr>
                <w:b/>
                <w:bCs/>
                <w:color w:val="366092"/>
                <w:szCs w:val="22"/>
              </w:rPr>
              <w:t>Záruka SC 2.1</w:t>
            </w:r>
          </w:p>
        </w:tc>
      </w:tr>
      <w:tr w:rsidR="00EC7853" w:rsidRPr="002C224A" w:rsidTr="00EC7853">
        <w:trPr>
          <w:trHeight w:val="300"/>
        </w:trPr>
        <w:tc>
          <w:tcPr>
            <w:tcW w:w="8019" w:type="dxa"/>
            <w:gridSpan w:val="2"/>
            <w:tcBorders>
              <w:top w:val="single" w:sz="4" w:space="0" w:color="4F81BD"/>
              <w:left w:val="nil"/>
              <w:bottom w:val="nil"/>
              <w:right w:val="nil"/>
            </w:tcBorders>
            <w:shd w:val="clear" w:color="DCE6F1" w:fill="DCE6F1"/>
            <w:noWrap/>
            <w:vAlign w:val="bottom"/>
          </w:tcPr>
          <w:p w:rsidR="00EC7853" w:rsidRPr="00A50943" w:rsidRDefault="00EC7853" w:rsidP="00EC7853">
            <w:pPr>
              <w:overflowPunct/>
              <w:autoSpaceDE/>
              <w:autoSpaceDN/>
              <w:adjustRightInd/>
              <w:jc w:val="left"/>
              <w:textAlignment w:val="auto"/>
              <w:rPr>
                <w:color w:val="366092"/>
                <w:szCs w:val="22"/>
              </w:rPr>
            </w:pPr>
            <w:r w:rsidRPr="00A50943">
              <w:rPr>
                <w:color w:val="366092"/>
                <w:szCs w:val="22"/>
              </w:rPr>
              <w:t>Alokace FN (mil. CZK)</w:t>
            </w:r>
          </w:p>
        </w:tc>
        <w:tc>
          <w:tcPr>
            <w:tcW w:w="781"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4 825</w:t>
            </w:r>
          </w:p>
        </w:tc>
      </w:tr>
      <w:tr w:rsidR="00EC7853" w:rsidRPr="002C224A" w:rsidTr="00EC7853">
        <w:trPr>
          <w:trHeight w:val="300"/>
        </w:trPr>
        <w:tc>
          <w:tcPr>
            <w:tcW w:w="1776" w:type="dxa"/>
            <w:vMerge w:val="restart"/>
            <w:tcBorders>
              <w:top w:val="nil"/>
              <w:left w:val="nil"/>
              <w:bottom w:val="single" w:sz="4" w:space="0" w:color="4F81BD"/>
              <w:right w:val="nil"/>
            </w:tcBorders>
            <w:shd w:val="clear" w:color="auto" w:fill="auto"/>
            <w:noWrap/>
            <w:vAlign w:val="center"/>
          </w:tcPr>
          <w:p w:rsidR="00EC7853" w:rsidRPr="00A50943" w:rsidRDefault="00EC7853" w:rsidP="00EC7853">
            <w:pPr>
              <w:overflowPunct/>
              <w:autoSpaceDE/>
              <w:autoSpaceDN/>
              <w:adjustRightInd/>
              <w:jc w:val="center"/>
              <w:textAlignment w:val="auto"/>
              <w:rPr>
                <w:color w:val="366092"/>
                <w:szCs w:val="22"/>
              </w:rPr>
            </w:pPr>
            <w:r w:rsidRPr="00A50943">
              <w:rPr>
                <w:color w:val="366092"/>
                <w:szCs w:val="22"/>
              </w:rPr>
              <w:t>Čerpání alokace</w:t>
            </w:r>
          </w:p>
        </w:tc>
        <w:tc>
          <w:tcPr>
            <w:tcW w:w="6243"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Veřejné zdroje FN po odečtení MCF</w:t>
            </w:r>
            <w:r w:rsidR="00034B6D" w:rsidRPr="002C224A">
              <w:rPr>
                <w:color w:val="366092"/>
                <w:szCs w:val="22"/>
              </w:rPr>
              <w:t xml:space="preserve"> (mil. CZK)</w:t>
            </w:r>
          </w:p>
        </w:tc>
        <w:tc>
          <w:tcPr>
            <w:tcW w:w="781"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4 439</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Pákový efekt na projektech konečných příjemců</w:t>
            </w:r>
          </w:p>
        </w:tc>
        <w:tc>
          <w:tcPr>
            <w:tcW w:w="781"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6,7</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Celkové návratné zdroje na projekty konečných příjemců</w:t>
            </w:r>
            <w:r w:rsidR="00034B6D" w:rsidRPr="002C224A">
              <w:rPr>
                <w:color w:val="366092"/>
                <w:szCs w:val="22"/>
              </w:rPr>
              <w:t xml:space="preserve"> (mil. CZK)</w:t>
            </w:r>
          </w:p>
        </w:tc>
        <w:tc>
          <w:tcPr>
            <w:tcW w:w="781"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29 741</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Nenávratná část podpory</w:t>
            </w:r>
          </w:p>
        </w:tc>
        <w:tc>
          <w:tcPr>
            <w:tcW w:w="781"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Průměrná výše úvěru/investice konečného příjemce</w:t>
            </w:r>
            <w:r w:rsidR="00034B6D" w:rsidRPr="002C224A">
              <w:rPr>
                <w:color w:val="366092"/>
                <w:szCs w:val="22"/>
              </w:rPr>
              <w:t xml:space="preserve"> (mil. CZK)</w:t>
            </w:r>
          </w:p>
        </w:tc>
        <w:tc>
          <w:tcPr>
            <w:tcW w:w="781"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7</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Počet projektů konečných příjemců</w:t>
            </w:r>
          </w:p>
        </w:tc>
        <w:tc>
          <w:tcPr>
            <w:tcW w:w="781"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4 249</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Celkové podpořené investice konečných příjemců</w:t>
            </w:r>
            <w:r w:rsidR="00034B6D" w:rsidRPr="002C224A">
              <w:rPr>
                <w:color w:val="366092"/>
                <w:szCs w:val="22"/>
              </w:rPr>
              <w:t xml:space="preserve"> (mil. CZK)</w:t>
            </w:r>
          </w:p>
        </w:tc>
        <w:tc>
          <w:tcPr>
            <w:tcW w:w="781" w:type="dxa"/>
            <w:tcBorders>
              <w:top w:val="nil"/>
              <w:left w:val="nil"/>
              <w:bottom w:val="nil"/>
              <w:right w:val="nil"/>
            </w:tcBorders>
            <w:shd w:val="clear" w:color="auto" w:fill="auto"/>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35 690</w:t>
            </w:r>
          </w:p>
        </w:tc>
      </w:tr>
      <w:tr w:rsidR="00EC7853" w:rsidRPr="002C224A" w:rsidTr="002C224A">
        <w:trPr>
          <w:trHeight w:val="242"/>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Počet vytvořených prac. míst</w:t>
            </w:r>
          </w:p>
        </w:tc>
        <w:tc>
          <w:tcPr>
            <w:tcW w:w="781" w:type="dxa"/>
            <w:tcBorders>
              <w:top w:val="nil"/>
              <w:left w:val="nil"/>
              <w:bottom w:val="nil"/>
              <w:right w:val="nil"/>
            </w:tcBorders>
            <w:shd w:val="clear" w:color="DCE6F1" w:fill="DCE6F1"/>
            <w:noWrap/>
            <w:vAlign w:val="bottom"/>
          </w:tcPr>
          <w:p w:rsidR="00EC7853" w:rsidRPr="00A50943" w:rsidRDefault="00034B6D" w:rsidP="00A50943">
            <w:pPr>
              <w:overflowPunct/>
              <w:autoSpaceDE/>
              <w:autoSpaceDN/>
              <w:adjustRightInd/>
              <w:jc w:val="right"/>
              <w:textAlignment w:val="auto"/>
              <w:rPr>
                <w:color w:val="366092"/>
                <w:szCs w:val="22"/>
              </w:rPr>
            </w:pPr>
            <w:r w:rsidRPr="002C224A">
              <w:rPr>
                <w:color w:val="000000"/>
                <w:szCs w:val="22"/>
              </w:rPr>
              <w:t>7 454</w:t>
            </w:r>
          </w:p>
        </w:tc>
      </w:tr>
      <w:tr w:rsidR="00EC7853" w:rsidRPr="002C224A" w:rsidTr="00EC7853">
        <w:trPr>
          <w:trHeight w:val="300"/>
        </w:trPr>
        <w:tc>
          <w:tcPr>
            <w:tcW w:w="1776" w:type="dxa"/>
            <w:vMerge/>
            <w:tcBorders>
              <w:top w:val="nil"/>
              <w:left w:val="nil"/>
              <w:bottom w:val="single" w:sz="4" w:space="0" w:color="4F81BD"/>
              <w:right w:val="nil"/>
            </w:tcBorders>
            <w:vAlign w:val="center"/>
          </w:tcPr>
          <w:p w:rsidR="00EC7853" w:rsidRPr="002C224A" w:rsidRDefault="00EC7853" w:rsidP="00EC7853">
            <w:pPr>
              <w:overflowPunct/>
              <w:autoSpaceDE/>
              <w:autoSpaceDN/>
              <w:adjustRightInd/>
              <w:jc w:val="left"/>
              <w:textAlignment w:val="auto"/>
              <w:rPr>
                <w:color w:val="366092"/>
                <w:szCs w:val="22"/>
              </w:rPr>
            </w:pPr>
          </w:p>
        </w:tc>
        <w:tc>
          <w:tcPr>
            <w:tcW w:w="6243" w:type="dxa"/>
            <w:tcBorders>
              <w:top w:val="nil"/>
              <w:left w:val="nil"/>
              <w:bottom w:val="single" w:sz="4" w:space="0" w:color="4F81BD"/>
              <w:right w:val="nil"/>
            </w:tcBorders>
            <w:shd w:val="clear" w:color="auto" w:fill="auto"/>
            <w:noWrap/>
            <w:vAlign w:val="bottom"/>
          </w:tcPr>
          <w:p w:rsidR="00EC7853" w:rsidRPr="002C224A" w:rsidRDefault="00EC7853" w:rsidP="00EC7853">
            <w:pPr>
              <w:overflowPunct/>
              <w:autoSpaceDE/>
              <w:autoSpaceDN/>
              <w:adjustRightInd/>
              <w:jc w:val="left"/>
              <w:textAlignment w:val="auto"/>
              <w:rPr>
                <w:color w:val="366092"/>
                <w:szCs w:val="22"/>
              </w:rPr>
            </w:pPr>
            <w:r w:rsidRPr="002C224A">
              <w:rPr>
                <w:color w:val="366092"/>
                <w:szCs w:val="22"/>
              </w:rPr>
              <w:t>Přidaná hodnota</w:t>
            </w:r>
          </w:p>
        </w:tc>
        <w:tc>
          <w:tcPr>
            <w:tcW w:w="781" w:type="dxa"/>
            <w:tcBorders>
              <w:top w:val="nil"/>
              <w:left w:val="nil"/>
              <w:bottom w:val="single" w:sz="4" w:space="0" w:color="4F81BD"/>
              <w:right w:val="nil"/>
            </w:tcBorders>
            <w:shd w:val="clear" w:color="auto" w:fill="auto"/>
            <w:noWrap/>
            <w:vAlign w:val="bottom"/>
          </w:tcPr>
          <w:p w:rsidR="00EC7853" w:rsidRPr="002C224A" w:rsidRDefault="00EC7853" w:rsidP="00EC7853">
            <w:pPr>
              <w:overflowPunct/>
              <w:autoSpaceDE/>
              <w:autoSpaceDN/>
              <w:adjustRightInd/>
              <w:jc w:val="right"/>
              <w:textAlignment w:val="auto"/>
              <w:rPr>
                <w:color w:val="366092"/>
                <w:szCs w:val="22"/>
              </w:rPr>
            </w:pPr>
            <w:r w:rsidRPr="002C224A">
              <w:rPr>
                <w:color w:val="366092"/>
                <w:szCs w:val="22"/>
              </w:rPr>
              <w:t>7,4</w:t>
            </w:r>
          </w:p>
        </w:tc>
      </w:tr>
    </w:tbl>
    <w:p w:rsidR="006D67F1" w:rsidRPr="00A50943" w:rsidRDefault="006D67F1" w:rsidP="00CF3767">
      <w:pPr>
        <w:rPr>
          <w:noProof/>
        </w:rPr>
      </w:pPr>
    </w:p>
    <w:p w:rsidR="00D3612C" w:rsidRPr="002C224A" w:rsidRDefault="00D3612C" w:rsidP="00CF3767">
      <w:pPr>
        <w:rPr>
          <w:noProof/>
        </w:rPr>
      </w:pPr>
      <w:r w:rsidRPr="002C224A">
        <w:rPr>
          <w:noProof/>
        </w:rPr>
        <w:t>Případný revolvingový efekt z vymožených pohledávek a nevyčerpaných záruk se projeví až v následujících programových obdobích. Vzhledem k povaze fungování nástroje</w:t>
      </w:r>
      <w:r w:rsidR="00FD0C85" w:rsidRPr="002C224A">
        <w:rPr>
          <w:noProof/>
        </w:rPr>
        <w:t xml:space="preserve"> (při efektivním nastavení rizika bude valná většina fondu</w:t>
      </w:r>
      <w:r w:rsidR="005F570A" w:rsidRPr="002C224A">
        <w:rPr>
          <w:noProof/>
        </w:rPr>
        <w:t xml:space="preserve"> účelově</w:t>
      </w:r>
      <w:r w:rsidR="00FD0C85" w:rsidRPr="002C224A">
        <w:rPr>
          <w:noProof/>
        </w:rPr>
        <w:t xml:space="preserve"> vyčerpána na záruční plnění)</w:t>
      </w:r>
      <w:r w:rsidRPr="002C224A">
        <w:rPr>
          <w:noProof/>
        </w:rPr>
        <w:t xml:space="preserve"> lze očekávat revolving maximálně v řádech desítek milionů Kč.</w:t>
      </w:r>
    </w:p>
    <w:p w:rsidR="00D3612C" w:rsidRPr="002C224A" w:rsidRDefault="00D3612C" w:rsidP="00A6398E">
      <w:pPr>
        <w:pStyle w:val="Neslovannadpisy"/>
      </w:pPr>
    </w:p>
    <w:p w:rsidR="006D67F1" w:rsidRPr="002C224A" w:rsidRDefault="006D67F1" w:rsidP="00A6398E">
      <w:pPr>
        <w:pStyle w:val="Neslovannadpisy"/>
      </w:pPr>
      <w:r w:rsidRPr="002C224A">
        <w:t>Rizikový kapitál</w:t>
      </w:r>
    </w:p>
    <w:p w:rsidR="00F72C1E" w:rsidRDefault="00F72C1E" w:rsidP="00CF3767">
      <w:r w:rsidRPr="002C224A">
        <w:t>Dle</w:t>
      </w:r>
      <w:r w:rsidR="00893515">
        <w:t xml:space="preserve"> rámcových odhadů</w:t>
      </w:r>
      <w:r w:rsidRPr="002C224A">
        <w:t xml:space="preserve"> může</w:t>
      </w:r>
      <w:r w:rsidR="00893515">
        <w:t xml:space="preserve"> NIF</w:t>
      </w:r>
      <w:r w:rsidRPr="002C224A">
        <w:t xml:space="preserve"> při alokaci </w:t>
      </w:r>
      <w:smartTag w:uri="urn:schemas-microsoft-com:office:smarttags" w:element="metricconverter">
        <w:smartTagPr>
          <w:attr w:name="ProductID" w:val="825 mil"/>
        </w:smartTagPr>
        <w:r w:rsidRPr="002C224A">
          <w:t>825 mil</w:t>
        </w:r>
      </w:smartTag>
      <w:r w:rsidRPr="002C224A">
        <w:t>. Kč podpořit</w:t>
      </w:r>
      <w:r w:rsidR="00893515">
        <w:t xml:space="preserve"> až 59 </w:t>
      </w:r>
      <w:r w:rsidRPr="002C224A">
        <w:t>projektů během prvního investičního cyklu</w:t>
      </w:r>
      <w:r w:rsidR="00A6398E" w:rsidRPr="002C224A">
        <w:t xml:space="preserve">. Při modelovém průměrném pákovém efektu 1,8 lze takto vyvolat </w:t>
      </w:r>
      <w:smartTag w:uri="urn:schemas-microsoft-com:office:smarttags" w:element="metricconverter">
        <w:smartTagPr>
          <w:attr w:name="ProductID" w:val="1485 mil"/>
        </w:smartTagPr>
        <w:r w:rsidR="00A6398E" w:rsidRPr="002C224A">
          <w:t>1485 mil</w:t>
        </w:r>
      </w:smartTag>
      <w:r w:rsidR="00A6398E" w:rsidRPr="002C224A">
        <w:t>. investic do kapitálu konečných příjemců</w:t>
      </w:r>
      <w:r w:rsidR="00F55892">
        <w:t xml:space="preserve">, při modelové míře finanční spoluúčasti konečného příjemce lze očekávat až </w:t>
      </w:r>
      <w:smartTag w:uri="urn:schemas-microsoft-com:office:smarttags" w:element="metricconverter">
        <w:smartTagPr>
          <w:attr w:name="ProductID" w:val="1 634 mil"/>
        </w:smartTagPr>
        <w:r w:rsidR="00F55892">
          <w:t>1</w:t>
        </w:r>
      </w:smartTag>
      <w:r w:rsidR="00DF7299">
        <w:t xml:space="preserve"> </w:t>
      </w:r>
      <w:r w:rsidR="00F55892">
        <w:t>634 mil. Kč prostředků pro investice nového podniku</w:t>
      </w:r>
      <w:r w:rsidR="00A6398E" w:rsidRPr="002C224A">
        <w:t>.</w:t>
      </w:r>
    </w:p>
    <w:p w:rsidR="00986DAE" w:rsidRDefault="00986DAE" w:rsidP="00CF3767"/>
    <w:p w:rsidR="00893515" w:rsidRDefault="00893515" w:rsidP="00331BB7">
      <w:pPr>
        <w:pStyle w:val="Titulek"/>
        <w:keepNext/>
      </w:pPr>
      <w:r>
        <w:t>Tabulka</w:t>
      </w:r>
      <w:r w:rsidR="004A4860">
        <w:t xml:space="preserve"> 109</w:t>
      </w:r>
      <w:r>
        <w:t>: Modelové výsledky NIF</w:t>
      </w:r>
    </w:p>
    <w:tbl>
      <w:tblPr>
        <w:tblW w:w="6387" w:type="dxa"/>
        <w:tblInd w:w="70" w:type="dxa"/>
        <w:tblCellMar>
          <w:left w:w="70" w:type="dxa"/>
          <w:right w:w="70" w:type="dxa"/>
        </w:tblCellMar>
        <w:tblLook w:val="04A0" w:firstRow="1" w:lastRow="0" w:firstColumn="1" w:lastColumn="0" w:noHBand="0" w:noVBand="1"/>
      </w:tblPr>
      <w:tblGrid>
        <w:gridCol w:w="5800"/>
        <w:gridCol w:w="587"/>
      </w:tblGrid>
      <w:tr w:rsidR="00986DAE" w:rsidRPr="00986DAE" w:rsidTr="00331BB7">
        <w:trPr>
          <w:trHeight w:val="300"/>
        </w:trPr>
        <w:tc>
          <w:tcPr>
            <w:tcW w:w="6387" w:type="dxa"/>
            <w:gridSpan w:val="2"/>
            <w:tcBorders>
              <w:top w:val="single" w:sz="4" w:space="0" w:color="auto"/>
              <w:left w:val="single" w:sz="4" w:space="0" w:color="auto"/>
              <w:bottom w:val="single" w:sz="4" w:space="0" w:color="5B9BD5"/>
              <w:right w:val="single" w:sz="4" w:space="0" w:color="auto"/>
            </w:tcBorders>
            <w:shd w:val="clear" w:color="5B9BD5" w:fill="5B9BD5"/>
            <w:noWrap/>
            <w:vAlign w:val="bottom"/>
          </w:tcPr>
          <w:p w:rsidR="00986DAE" w:rsidRPr="00986DAE" w:rsidRDefault="00986DAE" w:rsidP="00986DAE">
            <w:pPr>
              <w:overflowPunct/>
              <w:autoSpaceDE/>
              <w:autoSpaceDN/>
              <w:adjustRightInd/>
              <w:jc w:val="center"/>
              <w:textAlignment w:val="auto"/>
              <w:rPr>
                <w:b/>
                <w:bCs/>
                <w:color w:val="FFFFFF"/>
                <w:szCs w:val="22"/>
              </w:rPr>
            </w:pPr>
            <w:r w:rsidRPr="00986DAE">
              <w:rPr>
                <w:b/>
                <w:bCs/>
                <w:color w:val="FFFFFF"/>
                <w:szCs w:val="22"/>
              </w:rPr>
              <w:t>Modelové výsledky SC 2.1 NIF</w:t>
            </w:r>
          </w:p>
        </w:tc>
      </w:tr>
      <w:tr w:rsidR="00986DAE" w:rsidRPr="00986DAE" w:rsidTr="00331BB7">
        <w:trPr>
          <w:trHeight w:val="300"/>
        </w:trPr>
        <w:tc>
          <w:tcPr>
            <w:tcW w:w="5800" w:type="dxa"/>
            <w:tcBorders>
              <w:top w:val="nil"/>
              <w:left w:val="single" w:sz="4" w:space="0" w:color="auto"/>
              <w:bottom w:val="nil"/>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Alokace</w:t>
            </w:r>
          </w:p>
        </w:tc>
        <w:tc>
          <w:tcPr>
            <w:tcW w:w="587" w:type="dxa"/>
            <w:tcBorders>
              <w:top w:val="nil"/>
              <w:left w:val="nil"/>
              <w:bottom w:val="nil"/>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825</w:t>
            </w:r>
          </w:p>
        </w:tc>
      </w:tr>
      <w:tr w:rsidR="00986DAE" w:rsidRPr="00986DAE" w:rsidTr="00331BB7">
        <w:trPr>
          <w:trHeight w:val="300"/>
        </w:trPr>
        <w:tc>
          <w:tcPr>
            <w:tcW w:w="5800" w:type="dxa"/>
            <w:tcBorders>
              <w:top w:val="single" w:sz="4" w:space="0" w:color="5B9BD5"/>
              <w:left w:val="single" w:sz="4" w:space="0" w:color="auto"/>
              <w:bottom w:val="nil"/>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Průměrná velikost venture investice</w:t>
            </w:r>
          </w:p>
        </w:tc>
        <w:tc>
          <w:tcPr>
            <w:tcW w:w="587" w:type="dxa"/>
            <w:tcBorders>
              <w:top w:val="single" w:sz="4" w:space="0" w:color="5B9BD5"/>
              <w:left w:val="nil"/>
              <w:bottom w:val="nil"/>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25</w:t>
            </w:r>
          </w:p>
        </w:tc>
      </w:tr>
      <w:tr w:rsidR="00986DAE" w:rsidRPr="00986DAE" w:rsidTr="00331BB7">
        <w:trPr>
          <w:trHeight w:val="300"/>
        </w:trPr>
        <w:tc>
          <w:tcPr>
            <w:tcW w:w="5800" w:type="dxa"/>
            <w:tcBorders>
              <w:top w:val="single" w:sz="4" w:space="0" w:color="5B9BD5"/>
              <w:left w:val="single" w:sz="4" w:space="0" w:color="auto"/>
              <w:bottom w:val="nil"/>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Pákový efekt</w:t>
            </w:r>
          </w:p>
        </w:tc>
        <w:tc>
          <w:tcPr>
            <w:tcW w:w="587" w:type="dxa"/>
            <w:tcBorders>
              <w:top w:val="single" w:sz="4" w:space="0" w:color="5B9BD5"/>
              <w:left w:val="nil"/>
              <w:bottom w:val="nil"/>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1,8</w:t>
            </w:r>
          </w:p>
        </w:tc>
      </w:tr>
      <w:tr w:rsidR="00986DAE" w:rsidRPr="00986DAE" w:rsidTr="00331BB7">
        <w:trPr>
          <w:trHeight w:val="300"/>
        </w:trPr>
        <w:tc>
          <w:tcPr>
            <w:tcW w:w="5800" w:type="dxa"/>
            <w:tcBorders>
              <w:top w:val="single" w:sz="4" w:space="0" w:color="5B9BD5"/>
              <w:left w:val="single" w:sz="4" w:space="0" w:color="auto"/>
              <w:bottom w:val="nil"/>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Spolufinancování k. p.</w:t>
            </w:r>
          </w:p>
        </w:tc>
        <w:tc>
          <w:tcPr>
            <w:tcW w:w="587" w:type="dxa"/>
            <w:tcBorders>
              <w:top w:val="single" w:sz="4" w:space="0" w:color="5B9BD5"/>
              <w:left w:val="nil"/>
              <w:bottom w:val="nil"/>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10%</w:t>
            </w:r>
          </w:p>
        </w:tc>
      </w:tr>
      <w:tr w:rsidR="00986DAE" w:rsidRPr="00986DAE" w:rsidTr="00331BB7">
        <w:trPr>
          <w:trHeight w:val="300"/>
        </w:trPr>
        <w:tc>
          <w:tcPr>
            <w:tcW w:w="5800" w:type="dxa"/>
            <w:tcBorders>
              <w:top w:val="single" w:sz="4" w:space="0" w:color="5B9BD5"/>
              <w:left w:val="single" w:sz="4" w:space="0" w:color="auto"/>
              <w:bottom w:val="nil"/>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Celkové vyvolané investice konečných příjemců</w:t>
            </w:r>
          </w:p>
        </w:tc>
        <w:tc>
          <w:tcPr>
            <w:tcW w:w="587" w:type="dxa"/>
            <w:tcBorders>
              <w:top w:val="single" w:sz="4" w:space="0" w:color="5B9BD5"/>
              <w:left w:val="nil"/>
              <w:bottom w:val="nil"/>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1634</w:t>
            </w:r>
          </w:p>
        </w:tc>
      </w:tr>
      <w:tr w:rsidR="00986DAE" w:rsidRPr="00986DAE" w:rsidTr="00331BB7">
        <w:trPr>
          <w:trHeight w:val="300"/>
        </w:trPr>
        <w:tc>
          <w:tcPr>
            <w:tcW w:w="5800" w:type="dxa"/>
            <w:tcBorders>
              <w:top w:val="single" w:sz="4" w:space="0" w:color="5B9BD5"/>
              <w:left w:val="single" w:sz="4" w:space="0" w:color="auto"/>
              <w:bottom w:val="single" w:sz="4" w:space="0" w:color="5B9BD5"/>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Počet podpořených projektů</w:t>
            </w:r>
          </w:p>
        </w:tc>
        <w:tc>
          <w:tcPr>
            <w:tcW w:w="587" w:type="dxa"/>
            <w:tcBorders>
              <w:top w:val="single" w:sz="4" w:space="0" w:color="5B9BD5"/>
              <w:left w:val="nil"/>
              <w:bottom w:val="single" w:sz="4" w:space="0" w:color="5B9BD5"/>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59</w:t>
            </w:r>
          </w:p>
        </w:tc>
      </w:tr>
      <w:tr w:rsidR="00986DAE" w:rsidRPr="00986DAE" w:rsidTr="00331BB7">
        <w:trPr>
          <w:trHeight w:val="300"/>
        </w:trPr>
        <w:tc>
          <w:tcPr>
            <w:tcW w:w="5800" w:type="dxa"/>
            <w:tcBorders>
              <w:top w:val="nil"/>
              <w:left w:val="single" w:sz="4" w:space="0" w:color="auto"/>
              <w:bottom w:val="single" w:sz="4" w:space="0" w:color="auto"/>
              <w:right w:val="nil"/>
            </w:tcBorders>
            <w:shd w:val="clear" w:color="auto" w:fill="auto"/>
            <w:noWrap/>
            <w:vAlign w:val="bottom"/>
          </w:tcPr>
          <w:p w:rsidR="00986DAE" w:rsidRPr="00986DAE" w:rsidRDefault="00986DAE" w:rsidP="00986DAE">
            <w:pPr>
              <w:overflowPunct/>
              <w:autoSpaceDE/>
              <w:autoSpaceDN/>
              <w:adjustRightInd/>
              <w:jc w:val="left"/>
              <w:textAlignment w:val="auto"/>
              <w:rPr>
                <w:color w:val="000000"/>
                <w:szCs w:val="22"/>
              </w:rPr>
            </w:pPr>
            <w:r w:rsidRPr="00986DAE">
              <w:rPr>
                <w:color w:val="000000"/>
                <w:szCs w:val="22"/>
              </w:rPr>
              <w:t>Přidaná hodnota</w:t>
            </w:r>
          </w:p>
        </w:tc>
        <w:tc>
          <w:tcPr>
            <w:tcW w:w="587" w:type="dxa"/>
            <w:tcBorders>
              <w:top w:val="nil"/>
              <w:left w:val="nil"/>
              <w:bottom w:val="single" w:sz="4" w:space="0" w:color="auto"/>
              <w:right w:val="single" w:sz="4" w:space="0" w:color="auto"/>
            </w:tcBorders>
            <w:shd w:val="clear" w:color="auto" w:fill="auto"/>
            <w:noWrap/>
            <w:vAlign w:val="bottom"/>
          </w:tcPr>
          <w:p w:rsidR="00986DAE" w:rsidRPr="00986DAE" w:rsidRDefault="00986DAE" w:rsidP="00986DAE">
            <w:pPr>
              <w:overflowPunct/>
              <w:autoSpaceDE/>
              <w:autoSpaceDN/>
              <w:adjustRightInd/>
              <w:jc w:val="right"/>
              <w:textAlignment w:val="auto"/>
              <w:rPr>
                <w:color w:val="000000"/>
                <w:szCs w:val="22"/>
              </w:rPr>
            </w:pPr>
            <w:r w:rsidRPr="00986DAE">
              <w:rPr>
                <w:color w:val="000000"/>
                <w:szCs w:val="22"/>
              </w:rPr>
              <w:t>2,0</w:t>
            </w:r>
          </w:p>
        </w:tc>
      </w:tr>
    </w:tbl>
    <w:p w:rsidR="00F72C1E" w:rsidRPr="002C224A" w:rsidRDefault="00F72C1E" w:rsidP="00CF3767"/>
    <w:p w:rsidR="00986DAE" w:rsidRPr="002C224A" w:rsidRDefault="00F72C1E" w:rsidP="00CF3767">
      <w:r w:rsidRPr="002C224A">
        <w:t xml:space="preserve">Vzhledem k očekávané délce investice kolem 5 let a nutnému času 1-2 roky na přípravu fondu a výběr prvních vhodných projektů nelze očekávat v tomto programovacím období významnou míru </w:t>
      </w:r>
      <w:r w:rsidRPr="002C224A">
        <w:lastRenderedPageBreak/>
        <w:t>revolvingu. Obrátka by se však měla</w:t>
      </w:r>
      <w:r w:rsidR="00A6398E" w:rsidRPr="002C224A">
        <w:t xml:space="preserve"> ve velké míře</w:t>
      </w:r>
      <w:r w:rsidRPr="002C224A">
        <w:t xml:space="preserve"> uskutečnit </w:t>
      </w:r>
      <w:r w:rsidR="00A6398E" w:rsidRPr="002C224A">
        <w:t>v období následujícím.</w:t>
      </w:r>
      <w:r w:rsidRPr="002C224A">
        <w:t xml:space="preserve"> Její míra je jen obtížně predikovatelná a bude záviset na zvolené investiční strategii i jejím úspěchu.</w:t>
      </w:r>
    </w:p>
    <w:p w:rsidR="00F72C1E" w:rsidRPr="002C224A" w:rsidRDefault="00F72C1E" w:rsidP="00CF3767"/>
    <w:p w:rsidR="006D67F1" w:rsidRPr="002C224A" w:rsidRDefault="006D67F1" w:rsidP="00F87888">
      <w:pPr>
        <w:pStyle w:val="Nadpis4"/>
        <w:rPr>
          <w:rFonts w:ascii="Calibri" w:hAnsi="Calibri"/>
        </w:rPr>
      </w:pPr>
      <w:r w:rsidRPr="002C224A">
        <w:rPr>
          <w:rFonts w:ascii="Calibri" w:hAnsi="Calibri"/>
        </w:rPr>
        <w:t xml:space="preserve">Očekávané výsledky </w:t>
      </w:r>
    </w:p>
    <w:p w:rsidR="00165CE4" w:rsidRPr="00A50943" w:rsidRDefault="00165CE4" w:rsidP="00FC0490"/>
    <w:p w:rsidR="00A06533" w:rsidRPr="00360BA1" w:rsidRDefault="00A06533" w:rsidP="00A06533">
      <w:pPr>
        <w:pStyle w:val="Odstavecseseznamem2"/>
        <w:overflowPunct w:val="0"/>
        <w:autoSpaceDE w:val="0"/>
        <w:autoSpaceDN w:val="0"/>
        <w:adjustRightInd w:val="0"/>
        <w:spacing w:after="160"/>
        <w:ind w:left="0"/>
        <w:jc w:val="both"/>
        <w:textAlignment w:val="baseline"/>
      </w:pPr>
      <w:r>
        <w:t xml:space="preserve">Následující tabulka udává hlavní indikátory cílů SC </w:t>
      </w:r>
      <w:r w:rsidR="003C7D84">
        <w:t>2</w:t>
      </w:r>
      <w:r>
        <w:t>.1 definované v operačním programu.</w:t>
      </w:r>
    </w:p>
    <w:p w:rsidR="00A06533" w:rsidRDefault="00A06533" w:rsidP="00A06533">
      <w:pPr>
        <w:pStyle w:val="Titulek"/>
        <w:keepNext/>
      </w:pPr>
      <w:r>
        <w:t>Tabulka</w:t>
      </w:r>
      <w:r w:rsidR="004A4860">
        <w:rPr>
          <w:noProof/>
        </w:rPr>
        <w:t xml:space="preserve"> 110</w:t>
      </w:r>
      <w:r>
        <w:t xml:space="preserve">: Ukazatele výsledků SC </w:t>
      </w:r>
      <w:r w:rsidR="00DA531C">
        <w:t>2</w:t>
      </w:r>
      <w:r>
        <w:t>.1</w:t>
      </w:r>
    </w:p>
    <w:tbl>
      <w:tblPr>
        <w:tblW w:w="9186" w:type="dxa"/>
        <w:tblCellMar>
          <w:left w:w="57" w:type="dxa"/>
          <w:right w:w="57" w:type="dxa"/>
        </w:tblCellMar>
        <w:tblLook w:val="01E0" w:firstRow="1" w:lastRow="1" w:firstColumn="1" w:lastColumn="1" w:noHBand="0" w:noVBand="0"/>
      </w:tblPr>
      <w:tblGrid>
        <w:gridCol w:w="2170"/>
        <w:gridCol w:w="1033"/>
        <w:gridCol w:w="1200"/>
        <w:gridCol w:w="1104"/>
        <w:gridCol w:w="819"/>
        <w:gridCol w:w="890"/>
        <w:gridCol w:w="1008"/>
        <w:gridCol w:w="962"/>
      </w:tblGrid>
      <w:tr w:rsidR="00A06533" w:rsidRPr="00360BA1" w:rsidTr="00B86390">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Ukazatel</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Měrná jednotka</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Kategorie regionu</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Cílová hodnota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Default="00A06533" w:rsidP="00B86390">
            <w:pPr>
              <w:pStyle w:val="Tabulka"/>
              <w:keepNext/>
              <w:keepLines/>
              <w:rPr>
                <w:rFonts w:ascii="Calibri" w:hAnsi="Calibri" w:cs="Calibri"/>
                <w:b/>
              </w:rPr>
            </w:pPr>
            <w:r>
              <w:rPr>
                <w:rFonts w:ascii="Calibri" w:hAnsi="Calibri" w:cs="Calibri"/>
                <w:b/>
              </w:rPr>
              <w:t>Četnost podávání zpráv</w:t>
            </w:r>
          </w:p>
        </w:tc>
      </w:tr>
      <w:tr w:rsidR="00A06533" w:rsidRPr="00360BA1" w:rsidTr="00B86390">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CC0C7A" w:rsidRPr="00CC0C7A" w:rsidRDefault="00CC0C7A" w:rsidP="00CC0C7A">
            <w:pPr>
              <w:pStyle w:val="Tabulka"/>
              <w:rPr>
                <w:rFonts w:ascii="Calibri" w:hAnsi="Calibri" w:cs="Calibri"/>
              </w:rPr>
            </w:pPr>
            <w:r w:rsidRPr="00CC0C7A">
              <w:rPr>
                <w:rFonts w:ascii="Calibri" w:hAnsi="Calibri" w:cs="Calibri"/>
              </w:rPr>
              <w:t>Přidaná</w:t>
            </w:r>
            <w:r>
              <w:rPr>
                <w:rFonts w:ascii="Calibri" w:hAnsi="Calibri" w:cs="Calibri"/>
              </w:rPr>
              <w:t xml:space="preserve"> </w:t>
            </w:r>
            <w:r w:rsidRPr="00CC0C7A">
              <w:rPr>
                <w:rFonts w:ascii="Calibri" w:hAnsi="Calibri" w:cs="Calibri"/>
              </w:rPr>
              <w:t>hodnota MSP</w:t>
            </w:r>
          </w:p>
          <w:p w:rsidR="00A06533" w:rsidRPr="00360BA1" w:rsidRDefault="00CC0C7A" w:rsidP="00A50943">
            <w:pPr>
              <w:pStyle w:val="Tabulka"/>
              <w:rPr>
                <w:rFonts w:ascii="Calibri" w:hAnsi="Calibri" w:cs="Calibri"/>
              </w:rPr>
            </w:pPr>
            <w:r w:rsidRPr="00CC0C7A">
              <w:rPr>
                <w:rFonts w:ascii="Calibri" w:hAnsi="Calibri" w:cs="Calibri"/>
              </w:rPr>
              <w:t>jako %</w:t>
            </w:r>
            <w:r>
              <w:rPr>
                <w:rFonts w:ascii="Calibri" w:hAnsi="Calibri" w:cs="Calibri"/>
              </w:rPr>
              <w:t xml:space="preserve"> </w:t>
            </w:r>
            <w:r w:rsidRPr="00CC0C7A">
              <w:rPr>
                <w:rFonts w:ascii="Calibri" w:hAnsi="Calibri" w:cs="Calibri"/>
              </w:rPr>
              <w:t>přidané</w:t>
            </w:r>
            <w:r>
              <w:rPr>
                <w:rFonts w:ascii="Calibri" w:hAnsi="Calibri" w:cs="Calibri"/>
              </w:rPr>
              <w:t xml:space="preserve"> </w:t>
            </w:r>
            <w:r w:rsidRPr="00CC0C7A">
              <w:rPr>
                <w:rFonts w:ascii="Calibri" w:hAnsi="Calibri" w:cs="Calibri"/>
              </w:rPr>
              <w:t>hodnoty ČR</w:t>
            </w:r>
          </w:p>
        </w:tc>
        <w:tc>
          <w:tcPr>
            <w:tcW w:w="1033"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A52D1B">
              <w:rPr>
                <w:rFonts w:ascii="Calibri" w:hAnsi="Calibri" w:cs="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C0C7A" w:rsidP="00B86390">
            <w:pPr>
              <w:pStyle w:val="Tabulka"/>
              <w:rPr>
                <w:rFonts w:ascii="Calibri" w:hAnsi="Calibri" w:cs="Calibri"/>
              </w:rPr>
            </w:pPr>
            <w:r>
              <w:rPr>
                <w:rFonts w:ascii="Calibri" w:hAnsi="Calibri" w:cs="Calibri"/>
              </w:rPr>
              <w:t>53,81</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C0C7A" w:rsidP="00B86390">
            <w:pPr>
              <w:pStyle w:val="Tabulka"/>
              <w:rPr>
                <w:rFonts w:ascii="Calibri" w:hAnsi="Calibri" w:cs="Calibri"/>
              </w:rPr>
            </w:pPr>
            <w:r>
              <w:rPr>
                <w:rFonts w:ascii="Calibri" w:hAnsi="Calibri" w:cs="Calibri"/>
              </w:rPr>
              <w:t>55-57</w:t>
            </w:r>
          </w:p>
        </w:tc>
        <w:tc>
          <w:tcPr>
            <w:tcW w:w="1008"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A50943">
            <w:pPr>
              <w:pStyle w:val="Tabulka"/>
              <w:rPr>
                <w:rFonts w:ascii="Calibri" w:hAnsi="Calibri" w:cs="Calibri"/>
              </w:rPr>
            </w:pPr>
            <w:r w:rsidRPr="00A52D1B">
              <w:rPr>
                <w:rFonts w:ascii="Calibri" w:hAnsi="Calibri" w:cs="Calibri"/>
              </w:rPr>
              <w:t>ŘO</w:t>
            </w:r>
            <w:r w:rsidR="00CC0C7A">
              <w:rPr>
                <w:rFonts w:ascii="Calibri" w:hAnsi="Calibri" w:cs="Calibri"/>
              </w:rPr>
              <w:t>, ČSÚ</w:t>
            </w:r>
            <w:r w:rsidRPr="00A52D1B">
              <w:rPr>
                <w:rFonts w:ascii="Calibri" w:hAnsi="Calibri" w:cs="Calibri"/>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A06533" w:rsidP="00B86390">
            <w:pPr>
              <w:pStyle w:val="Tabulka"/>
              <w:rPr>
                <w:rFonts w:ascii="Calibri" w:hAnsi="Calibri" w:cs="Calibri"/>
              </w:rPr>
            </w:pPr>
            <w:r>
              <w:rPr>
                <w:rFonts w:ascii="Calibri" w:hAnsi="Calibri" w:cs="Calibri"/>
              </w:rPr>
              <w:t>ročně</w:t>
            </w:r>
          </w:p>
        </w:tc>
      </w:tr>
      <w:tr w:rsidR="00A06533" w:rsidRPr="00360BA1" w:rsidTr="00B86390">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CC0C7A" w:rsidRPr="00CC0C7A" w:rsidRDefault="00CC0C7A" w:rsidP="00CC0C7A">
            <w:pPr>
              <w:pStyle w:val="Tabulka"/>
              <w:rPr>
                <w:rFonts w:ascii="Calibri" w:hAnsi="Calibri" w:cs="Calibri"/>
              </w:rPr>
            </w:pPr>
            <w:r w:rsidRPr="00CC0C7A">
              <w:rPr>
                <w:rFonts w:ascii="Calibri" w:hAnsi="Calibri" w:cs="Calibri"/>
              </w:rPr>
              <w:t>Míra přežití</w:t>
            </w:r>
            <w:r>
              <w:rPr>
                <w:rFonts w:ascii="Calibri" w:hAnsi="Calibri" w:cs="Calibri"/>
              </w:rPr>
              <w:t xml:space="preserve"> </w:t>
            </w:r>
            <w:r w:rsidRPr="00CC0C7A">
              <w:rPr>
                <w:rFonts w:ascii="Calibri" w:hAnsi="Calibri" w:cs="Calibri"/>
              </w:rPr>
              <w:t>vzniklých</w:t>
            </w:r>
          </w:p>
          <w:p w:rsidR="00A06533" w:rsidRPr="00360BA1" w:rsidRDefault="00CC0C7A" w:rsidP="00CC0C7A">
            <w:pPr>
              <w:pStyle w:val="Tabulka"/>
              <w:rPr>
                <w:rFonts w:ascii="Calibri" w:hAnsi="Calibri" w:cs="Calibri"/>
              </w:rPr>
            </w:pPr>
            <w:r w:rsidRPr="00CC0C7A">
              <w:rPr>
                <w:rFonts w:ascii="Calibri" w:hAnsi="Calibri" w:cs="Calibri"/>
              </w:rPr>
              <w:t>podniků</w:t>
            </w:r>
          </w:p>
        </w:tc>
        <w:tc>
          <w:tcPr>
            <w:tcW w:w="1033"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A52D1B">
              <w:rPr>
                <w:rFonts w:ascii="Calibri" w:hAnsi="Calibri" w:cs="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C0C7A" w:rsidP="00B86390">
            <w:pPr>
              <w:pStyle w:val="Tabulka"/>
              <w:rPr>
                <w:rFonts w:ascii="Calibri" w:hAnsi="Calibri" w:cs="Calibri"/>
              </w:rPr>
            </w:pPr>
            <w:r>
              <w:rPr>
                <w:rFonts w:ascii="Calibri" w:hAnsi="Calibri" w:cs="Calibri"/>
              </w:rPr>
              <w:t>67,8</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C0C7A" w:rsidP="00B86390">
            <w:pPr>
              <w:pStyle w:val="Tabulka"/>
              <w:rPr>
                <w:rFonts w:ascii="Calibri" w:hAnsi="Calibri" w:cs="Calibri"/>
              </w:rPr>
            </w:pPr>
            <w:r>
              <w:rPr>
                <w:rFonts w:ascii="Calibri" w:hAnsi="Calibri" w:cs="Calibri"/>
              </w:rPr>
              <w:t>68-69</w:t>
            </w:r>
          </w:p>
        </w:tc>
        <w:tc>
          <w:tcPr>
            <w:tcW w:w="1008"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C0C7A" w:rsidP="00B86390">
            <w:pPr>
              <w:pStyle w:val="Tabulka"/>
              <w:rPr>
                <w:rFonts w:ascii="Calibri" w:hAnsi="Calibri" w:cs="Calibri"/>
              </w:rPr>
            </w:pPr>
            <w:r>
              <w:rPr>
                <w:rFonts w:ascii="Calibri" w:hAnsi="Calibri" w:cs="Calibri"/>
              </w:rPr>
              <w:t>Eurostat</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CC0C7A" w:rsidP="00B86390">
            <w:pPr>
              <w:pStyle w:val="Tabulka"/>
              <w:rPr>
                <w:rFonts w:ascii="Calibri" w:hAnsi="Calibri" w:cs="Calibri"/>
              </w:rPr>
            </w:pPr>
            <w:r>
              <w:rPr>
                <w:rFonts w:ascii="Calibri" w:hAnsi="Calibri" w:cs="Calibri"/>
              </w:rPr>
              <w:t>ročně</w:t>
            </w:r>
          </w:p>
        </w:tc>
      </w:tr>
    </w:tbl>
    <w:p w:rsidR="00A06533" w:rsidRDefault="00A06533" w:rsidP="00A06533">
      <w:pPr>
        <w:pStyle w:val="Odstavecseseznamem2"/>
        <w:overflowPunct w:val="0"/>
        <w:autoSpaceDE w:val="0"/>
        <w:autoSpaceDN w:val="0"/>
        <w:adjustRightInd w:val="0"/>
        <w:spacing w:after="160"/>
        <w:ind w:left="0"/>
        <w:jc w:val="both"/>
        <w:textAlignment w:val="baseline"/>
      </w:pPr>
    </w:p>
    <w:p w:rsidR="00A06533" w:rsidRDefault="00A06533" w:rsidP="00A06533">
      <w:pPr>
        <w:pStyle w:val="Odstavecseseznamem2"/>
        <w:overflowPunct w:val="0"/>
        <w:autoSpaceDE w:val="0"/>
        <w:autoSpaceDN w:val="0"/>
        <w:adjustRightInd w:val="0"/>
        <w:spacing w:after="160"/>
        <w:ind w:left="0"/>
        <w:jc w:val="both"/>
        <w:textAlignment w:val="baseline"/>
      </w:pPr>
      <w:r>
        <w:t>Finanční nástroje by se měly na naplnění těchto cílových hodnot podílet skrze dosažení cílových hodnot následujících ukazatelů, jejichž rámcová kvantifikace byla provedena na základě výše uvedených modelových scénářů.</w:t>
      </w:r>
    </w:p>
    <w:p w:rsidR="00165CE4" w:rsidRPr="002C224A" w:rsidRDefault="00165CE4" w:rsidP="00FC0490"/>
    <w:p w:rsidR="006D67F1" w:rsidRPr="002C224A" w:rsidRDefault="00877209" w:rsidP="002C224A">
      <w:pPr>
        <w:pStyle w:val="Titulek"/>
      </w:pPr>
      <w:r w:rsidRPr="002C224A">
        <w:t xml:space="preserve">Tabulka </w:t>
      </w:r>
      <w:r w:rsidR="004A4860">
        <w:t>111</w:t>
      </w:r>
      <w:r w:rsidRPr="002C224A">
        <w:t xml:space="preserve">: </w:t>
      </w:r>
      <w:r w:rsidR="00E70FB3">
        <w:t>Cílové hodnoty FN</w:t>
      </w:r>
    </w:p>
    <w:tbl>
      <w:tblPr>
        <w:tblW w:w="0" w:type="auto"/>
        <w:tblCellMar>
          <w:left w:w="57" w:type="dxa"/>
          <w:right w:w="57" w:type="dxa"/>
        </w:tblCellMar>
        <w:tblLook w:val="01E0" w:firstRow="1" w:lastRow="1" w:firstColumn="1" w:lastColumn="1" w:noHBand="0" w:noVBand="0"/>
      </w:tblPr>
      <w:tblGrid>
        <w:gridCol w:w="4523"/>
        <w:gridCol w:w="1320"/>
        <w:gridCol w:w="1748"/>
        <w:gridCol w:w="1471"/>
      </w:tblGrid>
      <w:tr w:rsidR="00034B6D" w:rsidRPr="002C224A" w:rsidTr="006D5135">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34B6D" w:rsidRPr="002C224A" w:rsidRDefault="00034B6D" w:rsidP="006D5135">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34B6D" w:rsidRPr="002C224A" w:rsidRDefault="00034B6D" w:rsidP="006D5135">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034B6D" w:rsidRPr="002C224A" w:rsidRDefault="00034B6D" w:rsidP="006D5135">
            <w:pPr>
              <w:pStyle w:val="Tabulka"/>
              <w:keepNext/>
              <w:keepLines/>
              <w:rPr>
                <w:rFonts w:ascii="Calibri" w:hAnsi="Calibri" w:cs="Calibri"/>
                <w:b/>
              </w:rPr>
            </w:pPr>
            <w:r w:rsidRPr="002C224A">
              <w:rPr>
                <w:rFonts w:ascii="Calibri" w:hAnsi="Calibri"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034B6D" w:rsidRPr="002C224A" w:rsidRDefault="00034B6D" w:rsidP="006D5135">
            <w:pPr>
              <w:pStyle w:val="Tabulka"/>
              <w:keepNext/>
              <w:keepLines/>
              <w:rPr>
                <w:rFonts w:ascii="Calibri" w:hAnsi="Calibri" w:cs="Calibri"/>
                <w:b/>
              </w:rPr>
            </w:pPr>
            <w:r w:rsidRPr="002C224A">
              <w:rPr>
                <w:rFonts w:ascii="Calibri" w:hAnsi="Calibri" w:cs="Calibri"/>
                <w:b/>
              </w:rPr>
              <w:t>Cílová hodnota (2023)</w:t>
            </w:r>
          </w:p>
        </w:tc>
      </w:tr>
      <w:tr w:rsidR="00034B6D"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jc w:val="left"/>
              <w:rPr>
                <w:rFonts w:ascii="Calibri" w:hAnsi="Calibri" w:cs="Calibri"/>
              </w:rPr>
            </w:pPr>
            <w:r w:rsidRPr="002C224A">
              <w:rPr>
                <w:rFonts w:ascii="Calibri" w:hAnsi="Calibri"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34B6D" w:rsidRPr="002C224A" w:rsidRDefault="00515806" w:rsidP="006D5135">
            <w:pPr>
              <w:pStyle w:val="Tabulka"/>
              <w:rPr>
                <w:rFonts w:ascii="Calibri" w:hAnsi="Calibri" w:cs="Calibri"/>
              </w:rPr>
            </w:pPr>
            <w:r>
              <w:rPr>
                <w:rFonts w:ascii="Calibri" w:hAnsi="Calibri" w:cs="Calibri"/>
              </w:rPr>
              <w:t>4 000 – 6 000</w:t>
            </w:r>
          </w:p>
        </w:tc>
      </w:tr>
      <w:tr w:rsidR="00034B6D" w:rsidRPr="002C224A" w:rsidTr="006D5135">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jc w:val="left"/>
              <w:rPr>
                <w:rFonts w:ascii="Calibri" w:hAnsi="Calibri" w:cs="Calibri"/>
              </w:rPr>
            </w:pPr>
            <w:r w:rsidRPr="002C224A">
              <w:rPr>
                <w:rFonts w:ascii="Calibri" w:hAnsi="Calibri" w:cs="Calibri"/>
              </w:rPr>
              <w:t>Počet nových podniků, které dostávají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34B6D" w:rsidRPr="002C224A" w:rsidRDefault="00515806" w:rsidP="000F1064">
            <w:pPr>
              <w:pStyle w:val="Tabulka"/>
              <w:rPr>
                <w:rFonts w:ascii="Calibri" w:hAnsi="Calibri" w:cs="Calibri"/>
              </w:rPr>
            </w:pPr>
            <w:r>
              <w:rPr>
                <w:rFonts w:ascii="Calibri" w:hAnsi="Calibri" w:cs="Calibri"/>
              </w:rPr>
              <w:t>400-</w:t>
            </w:r>
            <w:r w:rsidR="00393AEE">
              <w:rPr>
                <w:rFonts w:ascii="Calibri" w:hAnsi="Calibri" w:cs="Calibri"/>
              </w:rPr>
              <w:t>6</w:t>
            </w:r>
            <w:r>
              <w:rPr>
                <w:rFonts w:ascii="Calibri" w:hAnsi="Calibri" w:cs="Calibri"/>
              </w:rPr>
              <w:t>00</w:t>
            </w:r>
          </w:p>
        </w:tc>
      </w:tr>
      <w:tr w:rsidR="00034B6D"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jc w:val="left"/>
              <w:rPr>
                <w:rFonts w:ascii="Calibri" w:hAnsi="Calibri" w:cs="Calibri"/>
              </w:rPr>
            </w:pPr>
            <w:r w:rsidRPr="002C224A">
              <w:rPr>
                <w:rFonts w:ascii="Calibri" w:hAnsi="Calibri"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3A2288" w:rsidP="006D5135">
            <w:pPr>
              <w:pStyle w:val="Tabulka"/>
              <w:rPr>
                <w:rFonts w:ascii="Calibri" w:hAnsi="Calibri" w:cs="Calibri"/>
              </w:rPr>
            </w:pPr>
            <w:r w:rsidRPr="002C224A">
              <w:rPr>
                <w:rFonts w:ascii="Calibri" w:hAnsi="Calibri" w:cs="Calibri"/>
              </w:rPr>
              <w:t>Mil. CZK</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34B6D" w:rsidRPr="002C224A" w:rsidRDefault="003A2288" w:rsidP="000F1064">
            <w:pPr>
              <w:pStyle w:val="Tabulka"/>
              <w:rPr>
                <w:rFonts w:ascii="Calibri" w:hAnsi="Calibri" w:cs="Calibri"/>
              </w:rPr>
            </w:pPr>
            <w:r w:rsidRPr="002C224A">
              <w:rPr>
                <w:rFonts w:ascii="Calibri" w:hAnsi="Calibri" w:cs="Calibri"/>
              </w:rPr>
              <w:t>3</w:t>
            </w:r>
            <w:r w:rsidR="00041E85">
              <w:rPr>
                <w:rFonts w:ascii="Calibri" w:hAnsi="Calibri" w:cs="Calibri"/>
              </w:rPr>
              <w:t>8</w:t>
            </w:r>
            <w:r w:rsidRPr="002C224A">
              <w:rPr>
                <w:rFonts w:ascii="Calibri" w:hAnsi="Calibri" w:cs="Calibri"/>
              </w:rPr>
              <w:t> 000-4</w:t>
            </w:r>
            <w:r w:rsidR="00041E85">
              <w:rPr>
                <w:rFonts w:ascii="Calibri" w:hAnsi="Calibri" w:cs="Calibri"/>
              </w:rPr>
              <w:t>8</w:t>
            </w:r>
            <w:r w:rsidRPr="002C224A">
              <w:rPr>
                <w:rFonts w:ascii="Calibri" w:hAnsi="Calibri" w:cs="Calibri"/>
              </w:rPr>
              <w:t xml:space="preserve"> 000</w:t>
            </w:r>
          </w:p>
        </w:tc>
      </w:tr>
      <w:tr w:rsidR="00034B6D"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jc w:val="left"/>
              <w:rPr>
                <w:rFonts w:ascii="Calibri" w:hAnsi="Calibri" w:cs="Calibri"/>
              </w:rPr>
            </w:pPr>
            <w:r w:rsidRPr="002C224A">
              <w:rPr>
                <w:rFonts w:ascii="Calibri" w:hAnsi="Calibri"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rsidR="00034B6D" w:rsidRPr="002C224A" w:rsidRDefault="00034B6D" w:rsidP="006D5135">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034B6D" w:rsidRPr="002C224A" w:rsidRDefault="00515806" w:rsidP="00A50943">
            <w:pPr>
              <w:pStyle w:val="Tabulka"/>
              <w:rPr>
                <w:rFonts w:ascii="Calibri" w:hAnsi="Calibri" w:cs="Calibri"/>
              </w:rPr>
            </w:pPr>
            <w:r>
              <w:rPr>
                <w:rFonts w:ascii="Calibri" w:hAnsi="Calibri" w:cs="Calibri"/>
              </w:rPr>
              <w:t>8</w:t>
            </w:r>
            <w:r w:rsidR="00667756" w:rsidRPr="002C224A">
              <w:rPr>
                <w:rFonts w:ascii="Calibri" w:hAnsi="Calibri" w:cs="Calibri"/>
              </w:rPr>
              <w:t xml:space="preserve"> 000-1</w:t>
            </w:r>
            <w:r>
              <w:rPr>
                <w:rFonts w:ascii="Calibri" w:hAnsi="Calibri" w:cs="Calibri"/>
              </w:rPr>
              <w:t>2</w:t>
            </w:r>
            <w:r w:rsidR="00667756" w:rsidRPr="002C224A">
              <w:rPr>
                <w:rFonts w:ascii="Calibri" w:hAnsi="Calibri" w:cs="Calibri"/>
              </w:rPr>
              <w:t xml:space="preserve"> 000</w:t>
            </w:r>
          </w:p>
        </w:tc>
      </w:tr>
    </w:tbl>
    <w:p w:rsidR="006D67F1" w:rsidRPr="00A50943" w:rsidRDefault="006D67F1" w:rsidP="00F87888"/>
    <w:p w:rsidR="00E46303" w:rsidRPr="00E46303" w:rsidRDefault="00E46303" w:rsidP="00E46303">
      <w:pPr>
        <w:pStyle w:val="Odstavecseseznamem2"/>
        <w:overflowPunct w:val="0"/>
        <w:autoSpaceDE w:val="0"/>
        <w:autoSpaceDN w:val="0"/>
        <w:adjustRightInd w:val="0"/>
        <w:spacing w:after="160"/>
        <w:ind w:left="0"/>
        <w:jc w:val="both"/>
        <w:textAlignment w:val="baseline"/>
      </w:pPr>
      <w:r w:rsidRPr="00E46303">
        <w:t>Následující indikátory budou sledovány za účelem monitorování příspěvku finančního nástroje k cílům OP (s hvězdičkou jsou uvedeny indikátory, které budou sledovány rovněž na úrovni projektů konečných příjemců) na základě Národního číselníku indikátorů MMR:</w:t>
      </w:r>
    </w:p>
    <w:p w:rsidR="00F005CE" w:rsidRPr="002C224A" w:rsidRDefault="00F005CE" w:rsidP="00F005CE">
      <w:pPr>
        <w:pStyle w:val="Odstavecseseznamem2"/>
        <w:overflowPunct w:val="0"/>
        <w:autoSpaceDE w:val="0"/>
        <w:autoSpaceDN w:val="0"/>
        <w:adjustRightInd w:val="0"/>
        <w:spacing w:after="160"/>
        <w:ind w:left="0"/>
        <w:jc w:val="both"/>
        <w:textAlignment w:val="baseline"/>
      </w:pPr>
    </w:p>
    <w:p w:rsidR="00F005CE" w:rsidRPr="002C224A" w:rsidRDefault="00831219" w:rsidP="00F005CE">
      <w:pPr>
        <w:pStyle w:val="Odstavecseseznamem2"/>
        <w:numPr>
          <w:ilvl w:val="0"/>
          <w:numId w:val="74"/>
        </w:numPr>
        <w:overflowPunct w:val="0"/>
        <w:autoSpaceDE w:val="0"/>
        <w:autoSpaceDN w:val="0"/>
        <w:adjustRightInd w:val="0"/>
        <w:spacing w:after="160"/>
        <w:jc w:val="both"/>
        <w:textAlignment w:val="baseline"/>
      </w:pPr>
      <w:r>
        <w:t xml:space="preserve">10700 </w:t>
      </w:r>
      <w:r w:rsidR="00F005CE" w:rsidRPr="00A50943">
        <w:t>Přidaná hodnota MSP</w:t>
      </w:r>
      <w:r>
        <w:t>*</w:t>
      </w:r>
    </w:p>
    <w:p w:rsidR="00F005CE" w:rsidRPr="00A50943" w:rsidRDefault="00831219" w:rsidP="00F005CE">
      <w:pPr>
        <w:pStyle w:val="Odstavecseseznamem2"/>
        <w:numPr>
          <w:ilvl w:val="0"/>
          <w:numId w:val="74"/>
        </w:numPr>
        <w:overflowPunct w:val="0"/>
        <w:autoSpaceDE w:val="0"/>
        <w:autoSpaceDN w:val="0"/>
        <w:adjustRightInd w:val="0"/>
        <w:spacing w:after="160"/>
        <w:jc w:val="both"/>
        <w:textAlignment w:val="baseline"/>
      </w:pPr>
      <w:r>
        <w:t>10103</w:t>
      </w:r>
      <w:r w:rsidR="00F005CE" w:rsidRPr="00A50943">
        <w:t>Počet podniků pobírajících jinou finanční podporu než granty</w:t>
      </w:r>
      <w:r>
        <w:t>*</w:t>
      </w:r>
    </w:p>
    <w:p w:rsidR="00F005CE" w:rsidRPr="00A50943" w:rsidRDefault="00831219" w:rsidP="00F005CE">
      <w:pPr>
        <w:pStyle w:val="Odstavecseseznamem2"/>
        <w:numPr>
          <w:ilvl w:val="0"/>
          <w:numId w:val="74"/>
        </w:numPr>
        <w:overflowPunct w:val="0"/>
        <w:autoSpaceDE w:val="0"/>
        <w:autoSpaceDN w:val="0"/>
        <w:adjustRightInd w:val="0"/>
        <w:spacing w:after="160"/>
        <w:jc w:val="both"/>
        <w:textAlignment w:val="baseline"/>
      </w:pPr>
      <w:r>
        <w:t xml:space="preserve">10105 </w:t>
      </w:r>
      <w:r w:rsidR="00F005CE" w:rsidRPr="00A50943">
        <w:t xml:space="preserve">Počet </w:t>
      </w:r>
      <w:r w:rsidR="00F005CE" w:rsidRPr="002C224A">
        <w:t>nových podniků, které dostávají podporu</w:t>
      </w:r>
      <w:r>
        <w:t>*</w:t>
      </w:r>
    </w:p>
    <w:p w:rsidR="00F005CE" w:rsidRPr="002C224A" w:rsidRDefault="00831219" w:rsidP="00F005CE">
      <w:pPr>
        <w:pStyle w:val="Odstavecseseznamem2"/>
        <w:numPr>
          <w:ilvl w:val="0"/>
          <w:numId w:val="74"/>
        </w:numPr>
        <w:overflowPunct w:val="0"/>
        <w:autoSpaceDE w:val="0"/>
        <w:autoSpaceDN w:val="0"/>
        <w:adjustRightInd w:val="0"/>
        <w:spacing w:after="160"/>
        <w:jc w:val="both"/>
        <w:textAlignment w:val="baseline"/>
      </w:pPr>
      <w:r>
        <w:t xml:space="preserve">10301 </w:t>
      </w:r>
      <w:r w:rsidR="00F005CE" w:rsidRPr="00A50943">
        <w:t>Soukromé investice odpovídající veřejné podpoře podniků (jiné než granty)</w:t>
      </w:r>
      <w:r w:rsidR="00DA2862" w:rsidRPr="002C224A">
        <w:t>*</w:t>
      </w:r>
    </w:p>
    <w:p w:rsidR="00F005CE" w:rsidRPr="002C224A" w:rsidRDefault="00831219" w:rsidP="00F005CE">
      <w:pPr>
        <w:pStyle w:val="Odstavecseseznamem2"/>
        <w:numPr>
          <w:ilvl w:val="0"/>
          <w:numId w:val="74"/>
        </w:numPr>
        <w:overflowPunct w:val="0"/>
        <w:autoSpaceDE w:val="0"/>
        <w:autoSpaceDN w:val="0"/>
        <w:adjustRightInd w:val="0"/>
        <w:spacing w:after="160"/>
        <w:jc w:val="both"/>
        <w:textAlignment w:val="baseline"/>
      </w:pPr>
      <w:r>
        <w:lastRenderedPageBreak/>
        <w:t xml:space="preserve">10400 </w:t>
      </w:r>
      <w:r w:rsidR="00F005CE" w:rsidRPr="00A50943">
        <w:t>Zvýšení zaměstnanosti v podporovaných podnicíc</w:t>
      </w:r>
      <w:r w:rsidR="002942AC" w:rsidRPr="002C224A">
        <w:t>h</w:t>
      </w:r>
      <w:r>
        <w:t>*</w:t>
      </w:r>
    </w:p>
    <w:p w:rsidR="00DA531C" w:rsidRDefault="00831219" w:rsidP="002C224A">
      <w:pPr>
        <w:pStyle w:val="Odstavecseseznamem2"/>
        <w:numPr>
          <w:ilvl w:val="0"/>
          <w:numId w:val="74"/>
        </w:numPr>
        <w:overflowPunct w:val="0"/>
        <w:autoSpaceDE w:val="0"/>
        <w:autoSpaceDN w:val="0"/>
        <w:adjustRightInd w:val="0"/>
        <w:jc w:val="both"/>
        <w:textAlignment w:val="baseline"/>
      </w:pPr>
      <w:r>
        <w:t xml:space="preserve">10402 </w:t>
      </w:r>
      <w:r w:rsidR="00F005CE" w:rsidRPr="00A50943">
        <w:t>Počet nově vytvořených pracovních míst – ženy</w:t>
      </w:r>
      <w:r>
        <w:t>*</w:t>
      </w:r>
    </w:p>
    <w:p w:rsidR="00831219" w:rsidRPr="002C224A" w:rsidRDefault="00831219" w:rsidP="002C224A">
      <w:pPr>
        <w:pStyle w:val="Odstavecseseznamem2"/>
        <w:numPr>
          <w:ilvl w:val="0"/>
          <w:numId w:val="74"/>
        </w:numPr>
        <w:overflowPunct w:val="0"/>
        <w:autoSpaceDE w:val="0"/>
        <w:autoSpaceDN w:val="0"/>
        <w:adjustRightInd w:val="0"/>
        <w:jc w:val="both"/>
        <w:textAlignment w:val="baseline"/>
      </w:pPr>
      <w:r w:rsidRPr="002C224A">
        <w:t>10000 Počet podniků pobírajících podporu</w:t>
      </w:r>
    </w:p>
    <w:p w:rsidR="00831219" w:rsidRPr="00831219" w:rsidRDefault="00831219" w:rsidP="00831219">
      <w:pPr>
        <w:pStyle w:val="Default"/>
        <w:numPr>
          <w:ilvl w:val="0"/>
          <w:numId w:val="74"/>
        </w:numPr>
        <w:spacing w:after="120"/>
        <w:jc w:val="both"/>
        <w:rPr>
          <w:rFonts w:ascii="Calibri" w:hAnsi="Calibri" w:cs="Calibri"/>
          <w:color w:val="auto"/>
          <w:sz w:val="22"/>
          <w:szCs w:val="22"/>
        </w:rPr>
      </w:pPr>
      <w:r w:rsidRPr="00831219">
        <w:rPr>
          <w:rFonts w:ascii="Calibri" w:hAnsi="Calibri" w:cs="Calibri"/>
          <w:color w:val="auto"/>
          <w:sz w:val="22"/>
          <w:szCs w:val="22"/>
        </w:rPr>
        <w:t>21101 Index konkurenceschopnosti</w:t>
      </w:r>
    </w:p>
    <w:p w:rsidR="00831219" w:rsidRPr="00831219" w:rsidRDefault="00831219" w:rsidP="00831219">
      <w:pPr>
        <w:pStyle w:val="Odstavecseseznamem1"/>
        <w:numPr>
          <w:ilvl w:val="0"/>
          <w:numId w:val="74"/>
        </w:numPr>
        <w:overflowPunct/>
        <w:autoSpaceDE/>
        <w:autoSpaceDN/>
        <w:adjustRightInd/>
        <w:spacing w:after="120" w:line="276" w:lineRule="auto"/>
        <w:jc w:val="left"/>
        <w:textAlignment w:val="auto"/>
        <w:rPr>
          <w:rFonts w:eastAsia="Calibri" w:cs="Calibri"/>
        </w:rPr>
      </w:pPr>
      <w:r w:rsidRPr="00831219">
        <w:rPr>
          <w:rFonts w:eastAsia="Calibri" w:cs="Calibri"/>
        </w:rPr>
        <w:t>10701 Přidaná hodnota MSP jako % přidané hodnoty ČR</w:t>
      </w:r>
    </w:p>
    <w:p w:rsidR="00831219" w:rsidRPr="00831219" w:rsidRDefault="00831219" w:rsidP="00831219">
      <w:pPr>
        <w:pStyle w:val="Odstavecseseznamem1"/>
        <w:numPr>
          <w:ilvl w:val="0"/>
          <w:numId w:val="74"/>
        </w:numPr>
        <w:overflowPunct/>
        <w:autoSpaceDE/>
        <w:autoSpaceDN/>
        <w:adjustRightInd/>
        <w:spacing w:after="120" w:line="276" w:lineRule="auto"/>
        <w:jc w:val="left"/>
        <w:textAlignment w:val="auto"/>
        <w:rPr>
          <w:rFonts w:eastAsia="Calibri" w:cs="Calibri"/>
        </w:rPr>
      </w:pPr>
      <w:r w:rsidRPr="00831219">
        <w:rPr>
          <w:rFonts w:eastAsia="Calibri" w:cs="Calibri"/>
        </w:rPr>
        <w:t>10710 Míra přežití vzniklých podniků</w:t>
      </w:r>
    </w:p>
    <w:p w:rsidR="00F005CE" w:rsidRPr="002C224A" w:rsidRDefault="00F005CE" w:rsidP="00F87888"/>
    <w:p w:rsidR="006D67F1" w:rsidRPr="002C224A" w:rsidRDefault="006D67F1" w:rsidP="00F87888">
      <w:pPr>
        <w:pStyle w:val="Nadpis4"/>
        <w:rPr>
          <w:rFonts w:ascii="Calibri" w:hAnsi="Calibri"/>
        </w:rPr>
      </w:pPr>
      <w:r w:rsidRPr="002C224A">
        <w:rPr>
          <w:rFonts w:ascii="Calibri" w:hAnsi="Calibri"/>
        </w:rPr>
        <w:t>Dílčí shrnutí</w:t>
      </w:r>
    </w:p>
    <w:bookmarkEnd w:id="1098"/>
    <w:bookmarkEnd w:id="1099"/>
    <w:p w:rsidR="006D67F1" w:rsidRPr="002C224A" w:rsidRDefault="006D67F1" w:rsidP="00CE3165">
      <w:pPr>
        <w:pStyle w:val="CaptionIntroductionparagraph"/>
        <w:rPr>
          <w:rFonts w:ascii="Calibri" w:hAnsi="Calibri"/>
        </w:rPr>
      </w:pPr>
    </w:p>
    <w:p w:rsidR="006D67F1" w:rsidRPr="002C224A" w:rsidRDefault="006D67F1" w:rsidP="00CE3165">
      <w:pPr>
        <w:pStyle w:val="CaptionIntroductionparagraph"/>
        <w:rPr>
          <w:rFonts w:ascii="Calibri" w:hAnsi="Calibri"/>
        </w:rPr>
      </w:pPr>
      <w:r w:rsidRPr="002C224A">
        <w:rPr>
          <w:rFonts w:ascii="Calibri" w:hAnsi="Calibri"/>
        </w:rPr>
        <w:t>Kapitálový nástroj (SC 2.1)</w:t>
      </w:r>
    </w:p>
    <w:p w:rsidR="006D67F1" w:rsidRPr="00A50943" w:rsidRDefault="006D67F1"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47740">
        <w:tc>
          <w:tcPr>
            <w:tcW w:w="2282" w:type="dxa"/>
            <w:shd w:val="clear" w:color="auto" w:fill="ECFFC3"/>
          </w:tcPr>
          <w:p w:rsidR="006D67F1" w:rsidRPr="002C224A" w:rsidRDefault="006D67F1" w:rsidP="00A47740">
            <w:pPr>
              <w:rPr>
                <w:b/>
              </w:rPr>
            </w:pPr>
          </w:p>
        </w:tc>
        <w:tc>
          <w:tcPr>
            <w:tcW w:w="6788" w:type="dxa"/>
            <w:shd w:val="clear" w:color="auto" w:fill="ECFFC3"/>
          </w:tcPr>
          <w:p w:rsidR="006D67F1" w:rsidRPr="002C224A" w:rsidRDefault="006D67F1" w:rsidP="00A47740">
            <w:pPr>
              <w:ind w:left="38"/>
              <w:rPr>
                <w:b/>
              </w:rPr>
            </w:pP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Cíle finančního nástroje</w:t>
            </w:r>
          </w:p>
        </w:tc>
        <w:tc>
          <w:tcPr>
            <w:tcW w:w="6788" w:type="dxa"/>
            <w:shd w:val="clear" w:color="auto" w:fill="FFFFFF"/>
            <w:noWrap/>
          </w:tcPr>
          <w:p w:rsidR="006D67F1" w:rsidRPr="002C224A" w:rsidRDefault="006D67F1">
            <w:r w:rsidRPr="002C224A">
              <w:t>Finanční nástroj si klade za cíl zpřístupnit inovativně zaměřeným MSP s vysokým růstovým potenciálem kapitálové rizikové financování. Součinnost se soukromým investičním sektorem by měla vést k rozvoji celého trhu a počtu subjektů zaměřený na investice do cílových MSP.</w:t>
            </w:r>
          </w:p>
          <w:p w:rsidR="006D67F1" w:rsidRPr="002C224A" w:rsidRDefault="006D67F1"/>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Definice a kritéria způsobilých projektů</w:t>
            </w:r>
          </w:p>
        </w:tc>
        <w:tc>
          <w:tcPr>
            <w:tcW w:w="6788" w:type="dxa"/>
            <w:shd w:val="clear" w:color="auto" w:fill="FFFFFF"/>
            <w:noWrap/>
          </w:tcPr>
          <w:p w:rsidR="006D67F1" w:rsidRPr="002C224A" w:rsidRDefault="006D67F1">
            <w:r w:rsidRPr="002C224A">
              <w:t>Konečným příjemcem mohou být inovativně zaměřené malé a střední podniky vykazující potenciál zhodnocení kapitálové investice. Nesmí jít o financování podniků v obtížích.</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Forma podpory</w:t>
            </w:r>
          </w:p>
        </w:tc>
        <w:tc>
          <w:tcPr>
            <w:tcW w:w="6788" w:type="dxa"/>
            <w:shd w:val="clear" w:color="auto" w:fill="FFFFFF"/>
            <w:noWrap/>
          </w:tcPr>
          <w:p w:rsidR="006D67F1" w:rsidRDefault="006D67F1">
            <w:pPr>
              <w:rPr>
                <w:rFonts w:cs="Calibri"/>
                <w:szCs w:val="22"/>
              </w:rPr>
            </w:pPr>
            <w:r w:rsidRPr="002C224A">
              <w:rPr>
                <w:rFonts w:cs="Calibri"/>
                <w:szCs w:val="22"/>
              </w:rPr>
              <w:t>Kapitálová investice</w:t>
            </w:r>
          </w:p>
          <w:p w:rsidR="00FE71C3" w:rsidRPr="002C224A" w:rsidRDefault="00FE71C3">
            <w:r>
              <w:rPr>
                <w:rFonts w:cs="Calibri"/>
                <w:szCs w:val="22"/>
              </w:rPr>
              <w:t>Příspěvek na přípravu investice (scouting</w:t>
            </w:r>
            <w:r w:rsidR="005207C6">
              <w:rPr>
                <w:rFonts w:cs="Calibri"/>
                <w:szCs w:val="22"/>
              </w:rPr>
              <w:t xml:space="preserve"> costs</w:t>
            </w:r>
            <w:r>
              <w:rPr>
                <w:rFonts w:cs="Calibri"/>
                <w:szCs w:val="22"/>
              </w:rPr>
              <w:t>) a exitu</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Výše podpory</w:t>
            </w:r>
          </w:p>
        </w:tc>
        <w:tc>
          <w:tcPr>
            <w:tcW w:w="6788" w:type="dxa"/>
            <w:shd w:val="clear" w:color="auto" w:fill="FFFFFF"/>
            <w:noWrap/>
          </w:tcPr>
          <w:p w:rsidR="00EC66E0" w:rsidRPr="002C224A" w:rsidRDefault="006D67F1">
            <w:r w:rsidRPr="002C224A">
              <w:t>Při aplikaci GBER čl. 19 – Rizikový kapitál</w:t>
            </w:r>
            <w:r w:rsidRPr="002C224A">
              <w:rPr>
                <w:b/>
              </w:rPr>
              <w:t xml:space="preserve"> je možné s ohledem na vývojovou fázi příjemce poskytnout celkem až </w:t>
            </w:r>
            <w:smartTag w:uri="urn:schemas-microsoft-com:office:smarttags" w:element="metricconverter">
              <w:smartTagPr>
                <w:attr w:name="ProductID" w:val="15 mil"/>
              </w:smartTagPr>
              <w:r w:rsidRPr="002C224A">
                <w:rPr>
                  <w:b/>
                </w:rPr>
                <w:t>15 mil</w:t>
              </w:r>
            </w:smartTag>
            <w:r w:rsidRPr="002C224A">
              <w:rPr>
                <w:b/>
              </w:rPr>
              <w:t>. EUR equity a kvaziekvitního financování na projekt</w:t>
            </w:r>
            <w:r w:rsidR="00EC66E0" w:rsidRPr="002C224A">
              <w:rPr>
                <w:b/>
              </w:rPr>
              <w:t>,</w:t>
            </w:r>
            <w:r w:rsidRPr="002C224A">
              <w:t xml:space="preserve"> včetně následných kol financování, kde je podíl nového kapitálu minimálně 50 %.</w:t>
            </w:r>
          </w:p>
          <w:p w:rsidR="00EC66E0" w:rsidRPr="002C224A" w:rsidRDefault="00EC66E0"/>
          <w:p w:rsidR="006D67F1" w:rsidRPr="002C224A" w:rsidRDefault="00EC66E0" w:rsidP="006044B2">
            <w:r w:rsidRPr="002C224A">
              <w:t>Je očekávána průměrná výše investice v rozmezí 25-</w:t>
            </w:r>
            <w:smartTag w:uri="urn:schemas-microsoft-com:office:smarttags" w:element="metricconverter">
              <w:smartTagPr>
                <w:attr w:name="ProductID" w:val="35 mil"/>
              </w:smartTagPr>
              <w:r w:rsidRPr="002C224A">
                <w:t>35 mil</w:t>
              </w:r>
            </w:smartTag>
            <w:r w:rsidRPr="002C224A">
              <w:t>. Kč</w:t>
            </w:r>
            <w:r w:rsidR="006044B2" w:rsidRPr="002C224A">
              <w:t xml:space="preserve"> s výrazným rozpětím, minimálně však</w:t>
            </w:r>
            <w:r w:rsidRPr="002C224A">
              <w:t xml:space="preserve"> </w:t>
            </w:r>
            <w:r w:rsidR="006044B2" w:rsidRPr="002C224A">
              <w:t>700</w:t>
            </w:r>
            <w:r w:rsidRPr="002C224A">
              <w:t xml:space="preserve"> 000 </w:t>
            </w:r>
            <w:r w:rsidR="006044B2" w:rsidRPr="002C224A">
              <w:t>Kč</w:t>
            </w:r>
            <w:r w:rsidRPr="002C224A">
              <w:t>.</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Základní parametry poskytované podpory</w:t>
            </w:r>
          </w:p>
        </w:tc>
        <w:tc>
          <w:tcPr>
            <w:tcW w:w="6788" w:type="dxa"/>
            <w:shd w:val="clear" w:color="auto" w:fill="FFFFFF"/>
            <w:noWrap/>
          </w:tcPr>
          <w:p w:rsidR="00332D02" w:rsidRDefault="00332D02" w:rsidP="00A47740">
            <w:r w:rsidRPr="002C224A">
              <w:t>Investice NIF do vybraných venture fondů i přímé koinvestice do kapitálu konečných příjemců. Exit v horizontu 4-6 let</w:t>
            </w:r>
            <w:r w:rsidR="00643C45" w:rsidRPr="002C224A">
              <w:t xml:space="preserve"> (IPO/odkup)</w:t>
            </w:r>
          </w:p>
          <w:p w:rsidR="00E57ECC" w:rsidRPr="002C224A" w:rsidRDefault="00E57ECC" w:rsidP="00A47740"/>
          <w:p w:rsidR="00643C45" w:rsidRPr="002C224A" w:rsidRDefault="00643C45" w:rsidP="00A47740">
            <w:r w:rsidRPr="002C224A">
              <w:t>Poskytnuté prostředky jsou účelově vázané na krytí způsobilých výdajů projektu</w:t>
            </w:r>
            <w:r w:rsidR="00967FF1" w:rsidRPr="002C224A">
              <w:t>.</w:t>
            </w:r>
          </w:p>
          <w:p w:rsidR="006D67F1" w:rsidRPr="002C224A" w:rsidRDefault="006D67F1" w:rsidP="00C72C85">
            <w:pPr>
              <w:overflowPunct/>
              <w:autoSpaceDE/>
              <w:autoSpaceDN/>
              <w:adjustRightInd/>
              <w:textAlignment w:val="auto"/>
            </w:pPr>
          </w:p>
          <w:p w:rsidR="006D67F1" w:rsidRPr="002C224A" w:rsidRDefault="006D67F1" w:rsidP="00C72C85">
            <w:pPr>
              <w:overflowPunct/>
              <w:autoSpaceDE/>
              <w:autoSpaceDN/>
              <w:adjustRightInd/>
              <w:textAlignment w:val="auto"/>
            </w:pPr>
            <w:r w:rsidRPr="002C224A">
              <w:t>Uplatní se následující minimální hodnoty podílu prostředků odpovídajících soukromým zdrojům: 10 % pro společnosti před prvním komerčním prodejem (seed) nebo 40 % pro společnosti do 5 let na trhu a 60 % pro následná kola financování (startup), vždy však zároveň maximálně 90 %. Následná kola financování mohou být nástrojem realizována.</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Kroky vedoucí k zapojení potenciálních spoluinvestorů</w:t>
            </w:r>
          </w:p>
        </w:tc>
        <w:tc>
          <w:tcPr>
            <w:tcW w:w="6788" w:type="dxa"/>
            <w:shd w:val="clear" w:color="auto" w:fill="FFFFFF"/>
            <w:noWrap/>
          </w:tcPr>
          <w:p w:rsidR="006D67F1" w:rsidRPr="002C224A" w:rsidRDefault="006D67F1">
            <w:r w:rsidRPr="002C224A">
              <w:t>Nutné zapojení spoluinvestorů na úrovni koinvestic či fondu, vhodné preferenčního nastavení.</w:t>
            </w:r>
          </w:p>
          <w:p w:rsidR="0082458B" w:rsidRDefault="0082458B" w:rsidP="0082458B">
            <w:pPr>
              <w:pStyle w:val="Odstavecseseznamem1"/>
              <w:numPr>
                <w:ilvl w:val="0"/>
                <w:numId w:val="71"/>
              </w:numPr>
            </w:pPr>
            <w:r w:rsidRPr="002C224A">
              <w:t>preferenční dělení zisku vůči soukromému investorovi v případě, že výnos úspěšného projektu přesáhne stanovenou základní mez.</w:t>
            </w:r>
          </w:p>
          <w:p w:rsidR="00FF3302" w:rsidRPr="002C224A" w:rsidRDefault="00FF3302" w:rsidP="0082458B">
            <w:pPr>
              <w:pStyle w:val="Odstavecseseznamem1"/>
              <w:numPr>
                <w:ilvl w:val="0"/>
                <w:numId w:val="71"/>
              </w:numPr>
            </w:pPr>
            <w:r>
              <w:lastRenderedPageBreak/>
              <w:t>opční právo investora odkoupit od FN vlastnický podíl v cílové společnosti za předem určenou cenu</w:t>
            </w:r>
          </w:p>
          <w:p w:rsidR="006D67F1" w:rsidRPr="002C224A" w:rsidRDefault="006D67F1">
            <w:pPr>
              <w:pStyle w:val="Odstavecseseznamem1"/>
            </w:pP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lastRenderedPageBreak/>
              <w:t>Očekávaná alokace</w:t>
            </w:r>
          </w:p>
        </w:tc>
        <w:tc>
          <w:tcPr>
            <w:tcW w:w="6788" w:type="dxa"/>
            <w:shd w:val="clear" w:color="auto" w:fill="FFFFFF"/>
            <w:noWrap/>
          </w:tcPr>
          <w:p w:rsidR="006D67F1" w:rsidRPr="002C224A" w:rsidRDefault="006D67F1" w:rsidP="007D6939">
            <w:r w:rsidRPr="002C224A">
              <w:t xml:space="preserve">Doporučuje kapitálový finanční nástroj využít </w:t>
            </w:r>
            <w:r w:rsidR="007315D9" w:rsidRPr="002C224A">
              <w:t>v rozmezí 800-</w:t>
            </w:r>
            <w:smartTag w:uri="urn:schemas-microsoft-com:office:smarttags" w:element="metricconverter">
              <w:smartTagPr>
                <w:attr w:name="ProductID" w:val="1600 mil"/>
              </w:smartTagPr>
              <w:r w:rsidR="007315D9" w:rsidRPr="002C224A">
                <w:t>1600 mil</w:t>
              </w:r>
            </w:smartTag>
            <w:r w:rsidR="007315D9" w:rsidRPr="002C224A">
              <w:t>. Kč. Alokaci na horní hranici rozmezí doporučujeme rozšířit až v případě ověření úspěšného fungování, s možností zapojení do dalších investičních kol</w:t>
            </w:r>
          </w:p>
        </w:tc>
      </w:tr>
    </w:tbl>
    <w:p w:rsidR="006D67F1" w:rsidRPr="002C224A" w:rsidRDefault="00877209" w:rsidP="00877209">
      <w:pPr>
        <w:pStyle w:val="Titulek"/>
      </w:pPr>
      <w:r w:rsidRPr="002C224A">
        <w:t xml:space="preserve">Tabulka </w:t>
      </w:r>
      <w:r w:rsidR="004A4860">
        <w:t>112</w:t>
      </w:r>
      <w:r w:rsidRPr="002C224A">
        <w:t xml:space="preserve">: </w:t>
      </w:r>
      <w:r w:rsidR="00DA3038" w:rsidRPr="002C224A">
        <w:t>Shrnutí FN SC 2.1 Kapitálové vstupy</w:t>
      </w:r>
    </w:p>
    <w:p w:rsidR="006D67F1" w:rsidRPr="002C224A" w:rsidRDefault="006D67F1" w:rsidP="00CE3165">
      <w:pPr>
        <w:pStyle w:val="CaptionIntroductionparagraph"/>
        <w:rPr>
          <w:rFonts w:ascii="Calibri" w:hAnsi="Calibri"/>
        </w:rPr>
      </w:pPr>
    </w:p>
    <w:p w:rsidR="006D67F1" w:rsidRPr="002C224A" w:rsidRDefault="006D67F1" w:rsidP="00CE3165">
      <w:pPr>
        <w:pStyle w:val="CaptionIntroductionparagraph"/>
        <w:rPr>
          <w:rFonts w:ascii="Calibri" w:hAnsi="Calibri"/>
        </w:rPr>
      </w:pPr>
      <w:r w:rsidRPr="002C224A">
        <w:rPr>
          <w:rFonts w:ascii="Calibri" w:hAnsi="Calibri"/>
        </w:rPr>
        <w:t xml:space="preserve">Úvěrový nástroj </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47740">
        <w:tc>
          <w:tcPr>
            <w:tcW w:w="2282" w:type="dxa"/>
            <w:shd w:val="clear" w:color="auto" w:fill="ECFFC3"/>
          </w:tcPr>
          <w:p w:rsidR="006D67F1" w:rsidRPr="002C224A" w:rsidRDefault="006D67F1" w:rsidP="00A47740">
            <w:pPr>
              <w:rPr>
                <w:b/>
              </w:rPr>
            </w:pPr>
          </w:p>
        </w:tc>
        <w:tc>
          <w:tcPr>
            <w:tcW w:w="6788" w:type="dxa"/>
            <w:shd w:val="clear" w:color="auto" w:fill="ECFFC3"/>
          </w:tcPr>
          <w:p w:rsidR="006D67F1" w:rsidRPr="002C224A" w:rsidRDefault="006D67F1" w:rsidP="00A47740">
            <w:pPr>
              <w:ind w:left="38"/>
              <w:rPr>
                <w:b/>
              </w:rPr>
            </w:pP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Cíle finančního nástroje</w:t>
            </w:r>
          </w:p>
        </w:tc>
        <w:tc>
          <w:tcPr>
            <w:tcW w:w="6788" w:type="dxa"/>
            <w:shd w:val="clear" w:color="auto" w:fill="FFFFFF"/>
            <w:noWrap/>
          </w:tcPr>
          <w:p w:rsidR="006D67F1" w:rsidRPr="008366D3" w:rsidRDefault="006D67F1" w:rsidP="00967FF1">
            <w:r w:rsidRPr="008366D3">
              <w:t>Zvýhodněné úvěry mají za cíl</w:t>
            </w:r>
            <w:r w:rsidR="00967FF1" w:rsidRPr="008366D3">
              <w:t xml:space="preserve"> podpořit investice do rozvoje MSP a</w:t>
            </w:r>
            <w:r w:rsidRPr="008366D3">
              <w:t xml:space="preserve"> řešit problém rostoucího diferenciálu mezi sazbami úvěrů pro MSP a velké podniky, který negativně ovlivňuje tržní prostředí a náklady MSP na externí financování dalšího rozvoje.</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Definice a kritéria způsobilých projektů</w:t>
            </w:r>
          </w:p>
        </w:tc>
        <w:tc>
          <w:tcPr>
            <w:tcW w:w="6788" w:type="dxa"/>
            <w:shd w:val="clear" w:color="auto" w:fill="FFFFFF"/>
            <w:noWrap/>
          </w:tcPr>
          <w:p w:rsidR="006D67F1" w:rsidRPr="008366D3" w:rsidRDefault="006D67F1" w:rsidP="00A47740">
            <w:r w:rsidRPr="008366D3">
              <w:t>Podpora je určena pro financování investičních záměrů rozvoje MSP. Primárně je podpora určena pro investice do technologie,</w:t>
            </w:r>
            <w:r w:rsidR="00F13461" w:rsidRPr="008366D3">
              <w:t xml:space="preserve"> do</w:t>
            </w:r>
            <w:r w:rsidRPr="008366D3">
              <w:t xml:space="preserve"> dlouhodobého</w:t>
            </w:r>
            <w:r w:rsidR="00F13461" w:rsidRPr="008366D3">
              <w:t xml:space="preserve"> hmotného a</w:t>
            </w:r>
            <w:r w:rsidRPr="008366D3">
              <w:t xml:space="preserve"> nehmotného majetku</w:t>
            </w:r>
            <w:r w:rsidR="00F13461" w:rsidRPr="008366D3">
              <w:t>.</w:t>
            </w:r>
          </w:p>
          <w:p w:rsidR="006D67F1" w:rsidRPr="008366D3" w:rsidRDefault="006D67F1" w:rsidP="00A47740">
            <w:pPr>
              <w:rPr>
                <w:b/>
              </w:rPr>
            </w:pP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Forma podpory</w:t>
            </w:r>
          </w:p>
        </w:tc>
        <w:tc>
          <w:tcPr>
            <w:tcW w:w="6788" w:type="dxa"/>
            <w:shd w:val="clear" w:color="auto" w:fill="FFFFFF"/>
            <w:noWrap/>
          </w:tcPr>
          <w:p w:rsidR="006D67F1" w:rsidRPr="002C224A" w:rsidRDefault="006D67F1">
            <w:pPr>
              <w:rPr>
                <w:rFonts w:cs="Calibri"/>
                <w:szCs w:val="22"/>
              </w:rPr>
            </w:pPr>
            <w:r w:rsidRPr="002C224A">
              <w:rPr>
                <w:rFonts w:cs="Calibri"/>
                <w:szCs w:val="22"/>
              </w:rPr>
              <w:t>Zvýhodněný úvěr se sníženou úrokovou sazbou a delší dobou splatnosti</w:t>
            </w:r>
            <w:r w:rsidR="000F240A" w:rsidRPr="002C224A">
              <w:rPr>
                <w:rFonts w:cs="Calibri"/>
                <w:szCs w:val="22"/>
              </w:rPr>
              <w:t xml:space="preserve"> a delším odkl</w:t>
            </w:r>
            <w:r w:rsidR="006F315A" w:rsidRPr="002C224A">
              <w:rPr>
                <w:rFonts w:cs="Calibri"/>
                <w:szCs w:val="22"/>
              </w:rPr>
              <w:t>a</w:t>
            </w:r>
            <w:r w:rsidR="000F240A" w:rsidRPr="002C224A">
              <w:rPr>
                <w:rFonts w:cs="Calibri"/>
                <w:szCs w:val="22"/>
              </w:rPr>
              <w:t xml:space="preserve">dem splátek jistiny </w:t>
            </w:r>
          </w:p>
          <w:p w:rsidR="006D67F1" w:rsidRPr="002C224A" w:rsidRDefault="006D67F1" w:rsidP="00C72C85">
            <w:pPr>
              <w:rPr>
                <w:rFonts w:cs="Calibri"/>
                <w:b/>
                <w:bCs/>
                <w:color w:val="365F91"/>
                <w:sz w:val="26"/>
                <w:szCs w:val="22"/>
              </w:rPr>
            </w:pPr>
          </w:p>
          <w:p w:rsidR="006D67F1" w:rsidRPr="002C224A" w:rsidRDefault="006D67F1" w:rsidP="000F240A">
            <w:r w:rsidRPr="002C224A">
              <w:rPr>
                <w:rFonts w:cs="Calibri"/>
                <w:szCs w:val="22"/>
              </w:rPr>
              <w:t>Podmíněný příspěvek na úhradu úroků</w:t>
            </w:r>
            <w:r w:rsidR="000F240A" w:rsidRPr="002C224A">
              <w:rPr>
                <w:rFonts w:cs="Calibri"/>
                <w:szCs w:val="22"/>
              </w:rPr>
              <w:t xml:space="preserve"> ze souběžně poskytovaného bankovního úvěru</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Výše podpory</w:t>
            </w:r>
          </w:p>
        </w:tc>
        <w:tc>
          <w:tcPr>
            <w:tcW w:w="6788" w:type="dxa"/>
            <w:shd w:val="clear" w:color="auto" w:fill="FFFFFF"/>
            <w:noWrap/>
          </w:tcPr>
          <w:p w:rsidR="006D67F1" w:rsidRPr="002C224A" w:rsidRDefault="006D67F1" w:rsidP="00300076">
            <w:r w:rsidRPr="002C224A">
              <w:t xml:space="preserve">Zvýhodněný úvěr je poskytován na max. </w:t>
            </w:r>
            <w:r w:rsidR="00E870FB">
              <w:t>80</w:t>
            </w:r>
            <w:r w:rsidRPr="002C224A">
              <w:t xml:space="preserve"> % způsobilých výdajů projektu, </w:t>
            </w:r>
            <w:r w:rsidR="00E870FB">
              <w:t xml:space="preserve">minimálně 750 tis. Kč, </w:t>
            </w:r>
            <w:r w:rsidRPr="002C224A">
              <w:t xml:space="preserve">maximálně </w:t>
            </w:r>
            <w:smartTag w:uri="urn:schemas-microsoft-com:office:smarttags" w:element="metricconverter">
              <w:smartTagPr>
                <w:attr w:name="ProductID" w:val="100 mil"/>
              </w:smartTagPr>
              <w:r w:rsidRPr="002C224A">
                <w:t>100 mil</w:t>
              </w:r>
            </w:smartTag>
            <w:r w:rsidRPr="002C224A">
              <w:t>. Kč.</w:t>
            </w:r>
            <w:r w:rsidR="00E870FB">
              <w:t xml:space="preserve"> Průměrná </w:t>
            </w:r>
            <w:r w:rsidR="00E870FB" w:rsidRPr="002C224A">
              <w:t xml:space="preserve">výše </w:t>
            </w:r>
            <w:r w:rsidR="00E870FB">
              <w:t xml:space="preserve">podpořeného </w:t>
            </w:r>
            <w:r w:rsidR="00E870FB" w:rsidRPr="002C224A">
              <w:t>projektu</w:t>
            </w:r>
            <w:r w:rsidR="00E870FB">
              <w:t xml:space="preserve"> je odhadována na 7-</w:t>
            </w:r>
            <w:smartTag w:uri="urn:schemas-microsoft-com:office:smarttags" w:element="metricconverter">
              <w:smartTagPr>
                <w:attr w:name="ProductID" w:val="9 mil"/>
              </w:smartTagPr>
              <w:r w:rsidR="00E870FB">
                <w:t>9 mil</w:t>
              </w:r>
            </w:smartTag>
            <w:r w:rsidR="00E870FB">
              <w:t>. Kč</w:t>
            </w:r>
            <w:r w:rsidR="00E870FB" w:rsidRPr="002C224A">
              <w:t>.</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Základní parametry poskytované podpory</w:t>
            </w:r>
          </w:p>
        </w:tc>
        <w:tc>
          <w:tcPr>
            <w:tcW w:w="6788" w:type="dxa"/>
            <w:shd w:val="clear" w:color="auto" w:fill="FFFFFF"/>
            <w:noWrap/>
          </w:tcPr>
          <w:p w:rsidR="006D67F1" w:rsidRPr="00331BB7" w:rsidRDefault="00B4124C" w:rsidP="008F5D1D">
            <w:r w:rsidRPr="00331BB7">
              <w:t>Zvýhodněný úvěr by měl být poskytován spolu s komerčním úvěrem soukromé úvěrující instituce a spolufinancováním konečného příjemce. Podíl komerčního úvěru je doporučen na úrovni 50-100 % zvýhodněného úvěru.</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Kroky k aktivizaci soukromých finančních zdrojů</w:t>
            </w:r>
          </w:p>
        </w:tc>
        <w:tc>
          <w:tcPr>
            <w:tcW w:w="6788" w:type="dxa"/>
            <w:shd w:val="clear" w:color="auto" w:fill="FFFFFF"/>
            <w:noWrap/>
          </w:tcPr>
          <w:p w:rsidR="006D67F1" w:rsidRPr="002C224A" w:rsidRDefault="00506489" w:rsidP="00341227">
            <w:r w:rsidRPr="002C224A">
              <w:t xml:space="preserve">Preferenční odměňování není </w:t>
            </w:r>
            <w:r w:rsidR="00341227" w:rsidRPr="002C224A">
              <w:t>potřebné</w:t>
            </w:r>
            <w:r w:rsidRPr="002C224A">
              <w:t>. Soukromé úvěrující instituce budou zapojeny za tržních podmínek, nástroj zvýhodněného úvěru bude disponovat sekundárním zástavním právem a umožní tak další komerční úvěrování.</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Očekávaná alokace</w:t>
            </w:r>
          </w:p>
        </w:tc>
        <w:tc>
          <w:tcPr>
            <w:tcW w:w="6788" w:type="dxa"/>
            <w:shd w:val="clear" w:color="auto" w:fill="FFFFFF"/>
            <w:noWrap/>
          </w:tcPr>
          <w:p w:rsidR="006D67F1" w:rsidRPr="002C224A" w:rsidRDefault="00FA1EB6">
            <w:r w:rsidRPr="002C224A">
              <w:t>Dluhové nástroje</w:t>
            </w:r>
            <w:r w:rsidR="00C831F4">
              <w:t xml:space="preserve"> (úvěry a záruky)</w:t>
            </w:r>
            <w:r w:rsidRPr="002C224A">
              <w:t xml:space="preserve"> doporučujeme využít v rozmezí </w:t>
            </w:r>
            <w:r w:rsidR="001C6D1E" w:rsidRPr="001C6D1E">
              <w:t>8 850-12 000</w:t>
            </w:r>
            <w:r w:rsidRPr="002C224A">
              <w:t xml:space="preserve"> mil. Kč </w:t>
            </w:r>
          </w:p>
        </w:tc>
      </w:tr>
    </w:tbl>
    <w:p w:rsidR="00DA3038" w:rsidRPr="002C224A" w:rsidRDefault="00DA3038" w:rsidP="00DA3038">
      <w:pPr>
        <w:pStyle w:val="Titulek"/>
      </w:pPr>
      <w:r w:rsidRPr="002C224A">
        <w:t>Tabulka 1</w:t>
      </w:r>
      <w:r w:rsidR="004A4860">
        <w:t>13</w:t>
      </w:r>
      <w:r w:rsidRPr="002C224A">
        <w:t>: Shrnutí FN SC 2.1 Zvýhodněné úvěry</w:t>
      </w:r>
    </w:p>
    <w:p w:rsidR="00877209" w:rsidRPr="00A50943" w:rsidRDefault="00877209" w:rsidP="00877209">
      <w:pPr>
        <w:rPr>
          <w:lang w:eastAsia="en-US"/>
        </w:rPr>
      </w:pPr>
    </w:p>
    <w:p w:rsidR="006D67F1" w:rsidRPr="002C224A" w:rsidRDefault="002727B4" w:rsidP="00CE3165">
      <w:pPr>
        <w:pStyle w:val="CaptionIntroductionparagraph"/>
        <w:rPr>
          <w:rFonts w:ascii="Calibri" w:hAnsi="Calibri"/>
        </w:rPr>
      </w:pPr>
      <w:r>
        <w:rPr>
          <w:rFonts w:ascii="Calibri" w:hAnsi="Calibri"/>
        </w:rPr>
        <w:t>Záruční nástroj</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47740">
        <w:tc>
          <w:tcPr>
            <w:tcW w:w="2282" w:type="dxa"/>
            <w:shd w:val="clear" w:color="auto" w:fill="ECFFC3"/>
          </w:tcPr>
          <w:p w:rsidR="006D67F1" w:rsidRPr="00A50943" w:rsidRDefault="006D67F1" w:rsidP="00A47740">
            <w:pPr>
              <w:rPr>
                <w:b/>
              </w:rPr>
            </w:pPr>
          </w:p>
        </w:tc>
        <w:tc>
          <w:tcPr>
            <w:tcW w:w="6788" w:type="dxa"/>
            <w:shd w:val="clear" w:color="auto" w:fill="ECFFC3"/>
          </w:tcPr>
          <w:p w:rsidR="006D67F1" w:rsidRPr="002C224A" w:rsidRDefault="006D67F1" w:rsidP="00A47740">
            <w:pPr>
              <w:ind w:left="38"/>
              <w:rPr>
                <w:b/>
              </w:rPr>
            </w:pP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Cíle finančního nástroje</w:t>
            </w:r>
          </w:p>
        </w:tc>
        <w:tc>
          <w:tcPr>
            <w:tcW w:w="6788" w:type="dxa"/>
            <w:shd w:val="clear" w:color="auto" w:fill="FFFFFF"/>
            <w:noWrap/>
          </w:tcPr>
          <w:p w:rsidR="006D67F1" w:rsidRPr="002C224A" w:rsidRDefault="006D67F1" w:rsidP="00341227">
            <w:r w:rsidRPr="002C224A">
              <w:t>Záruky za bankovní úvěry</w:t>
            </w:r>
            <w:r w:rsidR="00341227" w:rsidRPr="002C224A">
              <w:t xml:space="preserve"> mají za cíl podpořit investice do rozvoje MSP a řešit</w:t>
            </w:r>
            <w:r w:rsidRPr="002C224A">
              <w:t xml:space="preserve"> tržní selhání v</w:t>
            </w:r>
            <w:r w:rsidR="00341227" w:rsidRPr="002C224A">
              <w:t> </w:t>
            </w:r>
            <w:r w:rsidRPr="002C224A">
              <w:t>oblasti</w:t>
            </w:r>
            <w:r w:rsidR="00341227" w:rsidRPr="002C224A">
              <w:t xml:space="preserve"> přístupu k financování</w:t>
            </w:r>
            <w:r w:rsidRPr="002C224A">
              <w:t xml:space="preserve"> rizikovějších MSP bez odpovídajícího zajištění</w:t>
            </w:r>
            <w:r w:rsidR="00341227" w:rsidRPr="002C224A">
              <w:t>.</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Definice a kritéria způsobilých projektů</w:t>
            </w:r>
          </w:p>
        </w:tc>
        <w:tc>
          <w:tcPr>
            <w:tcW w:w="6788" w:type="dxa"/>
            <w:shd w:val="clear" w:color="auto" w:fill="FFFFFF"/>
            <w:noWrap/>
          </w:tcPr>
          <w:p w:rsidR="006D67F1" w:rsidRPr="002C224A" w:rsidRDefault="006D67F1" w:rsidP="00C1335E">
            <w:r w:rsidRPr="002C224A">
              <w:t>Podpora je určena pro financování investičních záměrů rozvoje MSP. Primárně je podpora určena pro investice do technologie, dlouhodobého nehmotného majetku eventuálně do nemovitého majetku</w:t>
            </w:r>
            <w:r w:rsidR="006F315A" w:rsidRPr="002C224A">
              <w:t>.</w:t>
            </w:r>
            <w:r w:rsidRPr="002C224A">
              <w:t xml:space="preserve"> </w:t>
            </w:r>
          </w:p>
          <w:p w:rsidR="006D67F1" w:rsidRPr="002C224A" w:rsidRDefault="006D67F1" w:rsidP="00A47740">
            <w:pPr>
              <w:rPr>
                <w:b/>
              </w:rPr>
            </w:pP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lastRenderedPageBreak/>
              <w:t>Forma podpory</w:t>
            </w:r>
          </w:p>
        </w:tc>
        <w:tc>
          <w:tcPr>
            <w:tcW w:w="6788" w:type="dxa"/>
            <w:shd w:val="clear" w:color="auto" w:fill="FFFFFF"/>
            <w:noWrap/>
          </w:tcPr>
          <w:p w:rsidR="006D67F1" w:rsidRPr="002C224A" w:rsidRDefault="006D67F1" w:rsidP="00A47740">
            <w:r w:rsidRPr="002C224A">
              <w:t>Finanční nástroj bude poskytovat podporu formou záruky úvěrové instituci za konkrétní úvěr na podporovaný účel. Distributorem úvěrů konečným příjemcům bude úvěrující instituce.</w:t>
            </w:r>
          </w:p>
          <w:p w:rsidR="006D67F1" w:rsidRPr="002C224A" w:rsidRDefault="006D67F1"/>
          <w:p w:rsidR="006D67F1" w:rsidRPr="002C224A" w:rsidRDefault="006D67F1">
            <w:r w:rsidRPr="002C224A">
              <w:rPr>
                <w:rFonts w:cs="Calibri"/>
                <w:szCs w:val="22"/>
              </w:rPr>
              <w:t>Podmíněný příspěvek na úhradu úroků</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Výše podpory</w:t>
            </w:r>
          </w:p>
        </w:tc>
        <w:tc>
          <w:tcPr>
            <w:tcW w:w="6788" w:type="dxa"/>
            <w:shd w:val="clear" w:color="auto" w:fill="FFFFFF"/>
            <w:noWrap/>
          </w:tcPr>
          <w:p w:rsidR="006D67F1" w:rsidRPr="002C224A" w:rsidRDefault="006D67F1">
            <w:r w:rsidRPr="002C224A">
              <w:t xml:space="preserve">Záruky budou poskytovány až do výše 80 % jistiny úvěru, maximálně však </w:t>
            </w:r>
            <w:smartTag w:uri="urn:schemas-microsoft-com:office:smarttags" w:element="metricconverter">
              <w:smartTagPr>
                <w:attr w:name="ProductID" w:val="100 mil"/>
              </w:smartTagPr>
              <w:r w:rsidRPr="002C224A">
                <w:t>100 mil</w:t>
              </w:r>
            </w:smartTag>
            <w:r w:rsidRPr="002C224A">
              <w:t>. Kč.</w:t>
            </w:r>
            <w:r w:rsidR="002727B4">
              <w:t xml:space="preserve"> Odhadovaná průměrná výše zaručeného úvěru je 6-</w:t>
            </w:r>
            <w:smartTag w:uri="urn:schemas-microsoft-com:office:smarttags" w:element="metricconverter">
              <w:smartTagPr>
                <w:attr w:name="ProductID" w:val="8 mil"/>
              </w:smartTagPr>
              <w:r w:rsidR="002727B4">
                <w:t>8 mil</w:t>
              </w:r>
            </w:smartTag>
            <w:r w:rsidR="002727B4">
              <w:t>. Kč (v případě individuálních záruk až čtyřikrát více)</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Základní parametry poskytované podpory</w:t>
            </w:r>
          </w:p>
        </w:tc>
        <w:tc>
          <w:tcPr>
            <w:tcW w:w="6788" w:type="dxa"/>
            <w:shd w:val="clear" w:color="auto" w:fill="FFFFFF"/>
            <w:noWrap/>
          </w:tcPr>
          <w:p w:rsidR="006D67F1" w:rsidRPr="002C224A" w:rsidRDefault="006D67F1" w:rsidP="002C224A">
            <w:r w:rsidRPr="002C224A">
              <w:t xml:space="preserve">Podpora bude poskytována </w:t>
            </w:r>
            <w:r w:rsidR="002727B4">
              <w:t xml:space="preserve">vybraným správcem FN </w:t>
            </w:r>
            <w:r w:rsidRPr="002C224A">
              <w:t>formou záruky</w:t>
            </w:r>
            <w:r w:rsidR="002727B4">
              <w:t xml:space="preserve"> za komerční úvěr konečného příjemce.</w:t>
            </w:r>
            <w:r w:rsidRPr="002C224A">
              <w:t xml:space="preserve"> </w:t>
            </w:r>
          </w:p>
        </w:tc>
      </w:tr>
      <w:tr w:rsidR="006D67F1" w:rsidRPr="002C224A" w:rsidTr="00A47740">
        <w:tc>
          <w:tcPr>
            <w:tcW w:w="2282" w:type="dxa"/>
            <w:shd w:val="clear" w:color="auto" w:fill="92D400"/>
            <w:noWrap/>
          </w:tcPr>
          <w:p w:rsidR="006D67F1" w:rsidRPr="002C224A" w:rsidRDefault="006D67F1" w:rsidP="00A47740">
            <w:pPr>
              <w:jc w:val="left"/>
              <w:rPr>
                <w:b/>
                <w:color w:val="FFFFFF"/>
              </w:rPr>
            </w:pPr>
            <w:r w:rsidRPr="002C224A">
              <w:rPr>
                <w:b/>
                <w:color w:val="FFFFFF"/>
              </w:rPr>
              <w:t>Kroky k aktivizaci soukromých finančních zdrojů</w:t>
            </w:r>
          </w:p>
        </w:tc>
        <w:tc>
          <w:tcPr>
            <w:tcW w:w="6788" w:type="dxa"/>
            <w:shd w:val="clear" w:color="auto" w:fill="FFFFFF"/>
            <w:noWrap/>
          </w:tcPr>
          <w:p w:rsidR="006D67F1" w:rsidRPr="002C224A" w:rsidRDefault="006D67F1" w:rsidP="00A47740">
            <w:pPr>
              <w:contextualSpacing/>
            </w:pPr>
            <w:r w:rsidRPr="002C224A">
              <w:t>Částečná eliminace rizika umožní bankám zapůjčit další objem finančních prostředků, aniž by se provinily proti stávajícím procesům pro řízení rizika.</w:t>
            </w:r>
          </w:p>
        </w:tc>
      </w:tr>
      <w:tr w:rsidR="00FA1EB6" w:rsidRPr="002C224A" w:rsidTr="00A47740">
        <w:tc>
          <w:tcPr>
            <w:tcW w:w="2282" w:type="dxa"/>
            <w:shd w:val="clear" w:color="auto" w:fill="92D400"/>
            <w:noWrap/>
          </w:tcPr>
          <w:p w:rsidR="00FA1EB6" w:rsidRPr="002C224A" w:rsidRDefault="002727B4" w:rsidP="00FA1EB6">
            <w:pPr>
              <w:jc w:val="left"/>
              <w:rPr>
                <w:b/>
                <w:color w:val="FFFFFF"/>
              </w:rPr>
            </w:pPr>
            <w:r>
              <w:rPr>
                <w:b/>
                <w:color w:val="FFFFFF"/>
              </w:rPr>
              <w:t>Očekávaná alokace</w:t>
            </w:r>
          </w:p>
        </w:tc>
        <w:tc>
          <w:tcPr>
            <w:tcW w:w="6788" w:type="dxa"/>
            <w:shd w:val="clear" w:color="auto" w:fill="FFFFFF"/>
            <w:noWrap/>
          </w:tcPr>
          <w:p w:rsidR="00FA1EB6" w:rsidRPr="002C224A" w:rsidRDefault="00FA1EB6">
            <w:r w:rsidRPr="002C224A">
              <w:t>Dluhové nástroje</w:t>
            </w:r>
            <w:r w:rsidR="00C831F4">
              <w:t xml:space="preserve"> (úvěry a záruky)</w:t>
            </w:r>
            <w:r w:rsidRPr="002C224A">
              <w:t xml:space="preserve"> doporučujeme využít v rozmezí </w:t>
            </w:r>
            <w:r w:rsidR="001C6D1E" w:rsidRPr="001C6D1E">
              <w:t>8 850-12</w:t>
            </w:r>
            <w:r w:rsidR="001C6D1E">
              <w:t> </w:t>
            </w:r>
            <w:r w:rsidR="001C6D1E" w:rsidRPr="001C6D1E">
              <w:t>000</w:t>
            </w:r>
            <w:r w:rsidRPr="002C224A">
              <w:t xml:space="preserve"> mil. Kč </w:t>
            </w:r>
          </w:p>
        </w:tc>
      </w:tr>
    </w:tbl>
    <w:p w:rsidR="00DA3038" w:rsidRPr="002C224A" w:rsidRDefault="00DA3038" w:rsidP="00DA3038">
      <w:pPr>
        <w:pStyle w:val="Titulek"/>
      </w:pPr>
      <w:r w:rsidRPr="002C224A">
        <w:t>Tabulka 11</w:t>
      </w:r>
      <w:r w:rsidR="004A4860">
        <w:t>4</w:t>
      </w:r>
      <w:r w:rsidRPr="002C224A">
        <w:t xml:space="preserve">: Shrnutí </w:t>
      </w:r>
      <w:r w:rsidR="000D2FBC">
        <w:t>záručního nástroje</w:t>
      </w:r>
      <w:r w:rsidRPr="002C224A">
        <w:t xml:space="preserve"> SC 2.1 </w:t>
      </w:r>
    </w:p>
    <w:p w:rsidR="00877209" w:rsidRPr="00A50943" w:rsidRDefault="00877209" w:rsidP="00877209">
      <w:pPr>
        <w:rPr>
          <w:lang w:eastAsia="en-US"/>
        </w:rPr>
      </w:pPr>
    </w:p>
    <w:p w:rsidR="006D67F1" w:rsidRPr="002C224A" w:rsidRDefault="006D67F1" w:rsidP="006F771D">
      <w:pPr>
        <w:pStyle w:val="Nadpis3"/>
        <w:rPr>
          <w:rFonts w:ascii="Calibri" w:hAnsi="Calibri"/>
        </w:rPr>
      </w:pPr>
      <w:bookmarkStart w:id="1100" w:name="_Toc416383985"/>
      <w:bookmarkStart w:id="1101" w:name="_Toc416447971"/>
      <w:bookmarkStart w:id="1102" w:name="_Toc416383986"/>
      <w:bookmarkStart w:id="1103" w:name="_Toc416447972"/>
      <w:bookmarkStart w:id="1104" w:name="_Toc416383987"/>
      <w:bookmarkStart w:id="1105" w:name="_Toc416447973"/>
      <w:bookmarkStart w:id="1106" w:name="_Toc416383988"/>
      <w:bookmarkStart w:id="1107" w:name="_Toc416447974"/>
      <w:bookmarkStart w:id="1108" w:name="_Toc416383989"/>
      <w:bookmarkStart w:id="1109" w:name="_Toc416447975"/>
      <w:bookmarkStart w:id="1110" w:name="_Toc416383990"/>
      <w:bookmarkStart w:id="1111" w:name="_Toc416447976"/>
      <w:bookmarkStart w:id="1112" w:name="_Toc416383991"/>
      <w:bookmarkStart w:id="1113" w:name="_Toc416447977"/>
      <w:bookmarkStart w:id="1114" w:name="_Toc416383992"/>
      <w:bookmarkStart w:id="1115" w:name="_Toc416447978"/>
      <w:bookmarkStart w:id="1116" w:name="_Toc416383993"/>
      <w:bookmarkStart w:id="1117" w:name="_Toc416447979"/>
      <w:bookmarkStart w:id="1118" w:name="_Toc416383994"/>
      <w:bookmarkStart w:id="1119" w:name="_Toc416447980"/>
      <w:bookmarkStart w:id="1120" w:name="_Toc416383995"/>
      <w:bookmarkStart w:id="1121" w:name="_Toc416447981"/>
      <w:bookmarkStart w:id="1122" w:name="_Toc416383996"/>
      <w:bookmarkStart w:id="1123" w:name="_Toc416447982"/>
      <w:bookmarkStart w:id="1124" w:name="_Toc416383997"/>
      <w:bookmarkStart w:id="1125" w:name="_Toc416447983"/>
      <w:bookmarkStart w:id="1126" w:name="_Toc416383998"/>
      <w:bookmarkStart w:id="1127" w:name="_Toc416447984"/>
      <w:bookmarkStart w:id="1128" w:name="_Toc416383999"/>
      <w:bookmarkStart w:id="1129" w:name="_Toc416447985"/>
      <w:bookmarkStart w:id="1130" w:name="_Toc416384000"/>
      <w:bookmarkStart w:id="1131" w:name="_Toc416447986"/>
      <w:bookmarkStart w:id="1132" w:name="_Toc416384001"/>
      <w:bookmarkStart w:id="1133" w:name="_Toc416447987"/>
      <w:bookmarkStart w:id="1134" w:name="_Toc416384002"/>
      <w:bookmarkStart w:id="1135" w:name="_Toc416447988"/>
      <w:bookmarkStart w:id="1136" w:name="_Toc416384003"/>
      <w:bookmarkStart w:id="1137" w:name="_Toc416447989"/>
      <w:bookmarkStart w:id="1138" w:name="_Toc416384004"/>
      <w:bookmarkStart w:id="1139" w:name="_Toc416447990"/>
      <w:bookmarkStart w:id="1140" w:name="_Toc416384005"/>
      <w:bookmarkStart w:id="1141" w:name="_Toc416447991"/>
      <w:bookmarkStart w:id="1142" w:name="_Toc416384006"/>
      <w:bookmarkStart w:id="1143" w:name="_Toc416447992"/>
      <w:bookmarkStart w:id="1144" w:name="_Toc416384007"/>
      <w:bookmarkStart w:id="1145" w:name="_Toc416447993"/>
      <w:bookmarkStart w:id="1146" w:name="_Toc416384008"/>
      <w:bookmarkStart w:id="1147" w:name="_Toc416447994"/>
      <w:bookmarkStart w:id="1148" w:name="_Toc416384009"/>
      <w:bookmarkStart w:id="1149" w:name="_Toc416447995"/>
      <w:bookmarkStart w:id="1150" w:name="_Toc416384010"/>
      <w:bookmarkStart w:id="1151" w:name="_Toc416447996"/>
      <w:bookmarkStart w:id="1152" w:name="_Toc416384011"/>
      <w:bookmarkStart w:id="1153" w:name="_Toc416447997"/>
      <w:bookmarkStart w:id="1154" w:name="_Toc416384012"/>
      <w:bookmarkStart w:id="1155" w:name="_Toc416447998"/>
      <w:bookmarkStart w:id="1156" w:name="_Toc416384013"/>
      <w:bookmarkStart w:id="1157" w:name="_Toc416447999"/>
      <w:bookmarkStart w:id="1158" w:name="_Toc416384014"/>
      <w:bookmarkStart w:id="1159" w:name="_Toc416448000"/>
      <w:bookmarkStart w:id="1160" w:name="_Toc416384015"/>
      <w:bookmarkStart w:id="1161" w:name="_Toc416448001"/>
      <w:bookmarkStart w:id="1162" w:name="_Toc416384016"/>
      <w:bookmarkStart w:id="1163" w:name="_Toc416448002"/>
      <w:bookmarkStart w:id="1164" w:name="_Toc416384017"/>
      <w:bookmarkStart w:id="1165" w:name="_Toc416448003"/>
      <w:bookmarkStart w:id="1166" w:name="_Toc416384018"/>
      <w:bookmarkStart w:id="1167" w:name="_Toc416448004"/>
      <w:bookmarkStart w:id="1168" w:name="_Toc416384019"/>
      <w:bookmarkStart w:id="1169" w:name="_Toc416448005"/>
      <w:bookmarkStart w:id="1170" w:name="_Toc416384020"/>
      <w:bookmarkStart w:id="1171" w:name="_Toc416448006"/>
      <w:bookmarkStart w:id="1172" w:name="_Toc416384021"/>
      <w:bookmarkStart w:id="1173" w:name="_Toc416448007"/>
      <w:bookmarkStart w:id="1174" w:name="_Toc416384022"/>
      <w:bookmarkStart w:id="1175" w:name="_Toc416448008"/>
      <w:bookmarkStart w:id="1176" w:name="_Toc416384023"/>
      <w:bookmarkStart w:id="1177" w:name="_Toc416448009"/>
      <w:bookmarkStart w:id="1178" w:name="_Toc416384024"/>
      <w:bookmarkStart w:id="1179" w:name="_Toc416448010"/>
      <w:bookmarkStart w:id="1180" w:name="_Toc416384025"/>
      <w:bookmarkStart w:id="1181" w:name="_Toc416448011"/>
      <w:bookmarkStart w:id="1182" w:name="_Toc416384026"/>
      <w:bookmarkStart w:id="1183" w:name="_Toc416448012"/>
      <w:bookmarkStart w:id="1184" w:name="_Toc416384027"/>
      <w:bookmarkStart w:id="1185" w:name="_Toc416448013"/>
      <w:bookmarkStart w:id="1186" w:name="_Toc416384028"/>
      <w:bookmarkStart w:id="1187" w:name="_Toc416448014"/>
      <w:bookmarkStart w:id="1188" w:name="_Toc416384029"/>
      <w:bookmarkStart w:id="1189" w:name="_Toc416448015"/>
      <w:bookmarkStart w:id="1190" w:name="_Toc416384030"/>
      <w:bookmarkStart w:id="1191" w:name="_Toc416448016"/>
      <w:bookmarkStart w:id="1192" w:name="_Toc416384031"/>
      <w:bookmarkStart w:id="1193" w:name="_Toc416448017"/>
      <w:bookmarkStart w:id="1194" w:name="_Toc416384032"/>
      <w:bookmarkStart w:id="1195" w:name="_Toc416448018"/>
      <w:bookmarkStart w:id="1196" w:name="_Toc416384033"/>
      <w:bookmarkStart w:id="1197" w:name="_Toc416448019"/>
      <w:bookmarkStart w:id="1198" w:name="_Toc416384034"/>
      <w:bookmarkStart w:id="1199" w:name="_Toc416448020"/>
      <w:bookmarkStart w:id="1200" w:name="_Toc416384035"/>
      <w:bookmarkStart w:id="1201" w:name="_Toc416448021"/>
      <w:bookmarkStart w:id="1202" w:name="_Toc416384036"/>
      <w:bookmarkStart w:id="1203" w:name="_Toc416448022"/>
      <w:bookmarkStart w:id="1204" w:name="_Toc416384037"/>
      <w:bookmarkStart w:id="1205" w:name="_Toc416448023"/>
      <w:bookmarkStart w:id="1206" w:name="_Toc416384038"/>
      <w:bookmarkStart w:id="1207" w:name="_Toc416448024"/>
      <w:bookmarkStart w:id="1208" w:name="_Toc416384039"/>
      <w:bookmarkStart w:id="1209" w:name="_Toc416448025"/>
      <w:bookmarkStart w:id="1210" w:name="_Toc416384040"/>
      <w:bookmarkStart w:id="1211" w:name="_Toc416448026"/>
      <w:bookmarkStart w:id="1212" w:name="_Toc416909399"/>
      <w:bookmarkStart w:id="1213" w:name="_Toc417544782"/>
      <w:bookmarkStart w:id="1214" w:name="_Toc416909401"/>
      <w:bookmarkStart w:id="1215" w:name="_Toc417544784"/>
      <w:bookmarkStart w:id="1216" w:name="_Toc416909402"/>
      <w:bookmarkStart w:id="1217" w:name="_Toc417544785"/>
      <w:bookmarkStart w:id="1218" w:name="_Toc416909403"/>
      <w:bookmarkStart w:id="1219" w:name="_Toc417544786"/>
      <w:bookmarkStart w:id="1220" w:name="_Toc416909408"/>
      <w:bookmarkStart w:id="1221" w:name="_Toc417544791"/>
      <w:bookmarkStart w:id="1222" w:name="_Toc416909427"/>
      <w:bookmarkStart w:id="1223" w:name="_Toc417544810"/>
      <w:bookmarkStart w:id="1224" w:name="_Toc416909449"/>
      <w:bookmarkStart w:id="1225" w:name="_Toc417544832"/>
      <w:bookmarkStart w:id="1226" w:name="_Toc416909451"/>
      <w:bookmarkStart w:id="1227" w:name="_Toc417544834"/>
      <w:bookmarkStart w:id="1228" w:name="_Toc416909453"/>
      <w:bookmarkStart w:id="1229" w:name="_Toc417544836"/>
      <w:bookmarkStart w:id="1230" w:name="_Toc416909475"/>
      <w:bookmarkStart w:id="1231" w:name="_Toc417544858"/>
      <w:bookmarkStart w:id="1232" w:name="_Toc416909497"/>
      <w:bookmarkStart w:id="1233" w:name="_Toc417544880"/>
      <w:bookmarkStart w:id="1234" w:name="_Toc416909498"/>
      <w:bookmarkStart w:id="1235" w:name="_Toc417544881"/>
      <w:bookmarkStart w:id="1236" w:name="_Toc416909499"/>
      <w:bookmarkStart w:id="1237" w:name="_Toc417544882"/>
      <w:bookmarkStart w:id="1238" w:name="_Toc416909502"/>
      <w:bookmarkStart w:id="1239" w:name="_Toc417544885"/>
      <w:bookmarkStart w:id="1240" w:name="_Toc416909515"/>
      <w:bookmarkStart w:id="1241" w:name="_Toc417544898"/>
      <w:bookmarkStart w:id="1242" w:name="_Toc416909519"/>
      <w:bookmarkStart w:id="1243" w:name="_Toc417544902"/>
      <w:bookmarkStart w:id="1244" w:name="_Toc416909523"/>
      <w:bookmarkStart w:id="1245" w:name="_Toc417544906"/>
      <w:bookmarkStart w:id="1246" w:name="_Toc416909527"/>
      <w:bookmarkStart w:id="1247" w:name="_Toc417544910"/>
      <w:bookmarkStart w:id="1248" w:name="_Toc416909535"/>
      <w:bookmarkStart w:id="1249" w:name="_Toc417544918"/>
      <w:bookmarkStart w:id="1250" w:name="_Toc416909539"/>
      <w:bookmarkStart w:id="1251" w:name="_Toc417544922"/>
      <w:bookmarkStart w:id="1252" w:name="_Toc416909543"/>
      <w:bookmarkStart w:id="1253" w:name="_Toc417544926"/>
      <w:bookmarkStart w:id="1254" w:name="_Toc416909547"/>
      <w:bookmarkStart w:id="1255" w:name="_Toc417544930"/>
      <w:bookmarkStart w:id="1256" w:name="_Toc416909555"/>
      <w:bookmarkStart w:id="1257" w:name="_Toc417544938"/>
      <w:bookmarkStart w:id="1258" w:name="_Toc416909559"/>
      <w:bookmarkStart w:id="1259" w:name="_Toc417544942"/>
      <w:bookmarkStart w:id="1260" w:name="_Toc416909563"/>
      <w:bookmarkStart w:id="1261" w:name="_Toc417544946"/>
      <w:bookmarkStart w:id="1262" w:name="_Toc416909567"/>
      <w:bookmarkStart w:id="1263" w:name="_Toc417544950"/>
      <w:bookmarkStart w:id="1264" w:name="_Toc416909568"/>
      <w:bookmarkStart w:id="1265" w:name="_Toc417544951"/>
      <w:bookmarkStart w:id="1266" w:name="_Toc416909571"/>
      <w:bookmarkStart w:id="1267" w:name="_Toc417544954"/>
      <w:bookmarkStart w:id="1268" w:name="_Toc416909587"/>
      <w:bookmarkStart w:id="1269" w:name="_Toc417544970"/>
      <w:bookmarkStart w:id="1270" w:name="_Toc416909592"/>
      <w:bookmarkStart w:id="1271" w:name="_Toc417544975"/>
      <w:bookmarkStart w:id="1272" w:name="_Toc416909597"/>
      <w:bookmarkStart w:id="1273" w:name="_Toc417544980"/>
      <w:bookmarkStart w:id="1274" w:name="_Toc416909602"/>
      <w:bookmarkStart w:id="1275" w:name="_Toc417544985"/>
      <w:bookmarkStart w:id="1276" w:name="_Toc416909612"/>
      <w:bookmarkStart w:id="1277" w:name="_Toc417544995"/>
      <w:bookmarkStart w:id="1278" w:name="_Toc416909617"/>
      <w:bookmarkStart w:id="1279" w:name="_Toc417545000"/>
      <w:bookmarkStart w:id="1280" w:name="_Toc416909622"/>
      <w:bookmarkStart w:id="1281" w:name="_Toc417545005"/>
      <w:bookmarkStart w:id="1282" w:name="_Toc416909627"/>
      <w:bookmarkStart w:id="1283" w:name="_Toc417545010"/>
      <w:bookmarkStart w:id="1284" w:name="_Toc416909637"/>
      <w:bookmarkStart w:id="1285" w:name="_Toc417545020"/>
      <w:bookmarkStart w:id="1286" w:name="_Toc416909642"/>
      <w:bookmarkStart w:id="1287" w:name="_Toc417545025"/>
      <w:bookmarkStart w:id="1288" w:name="_Toc416909647"/>
      <w:bookmarkStart w:id="1289" w:name="_Toc417545030"/>
      <w:bookmarkStart w:id="1290" w:name="_Toc416909649"/>
      <w:bookmarkStart w:id="1291" w:name="_Toc417545032"/>
      <w:bookmarkStart w:id="1292" w:name="_Toc416384042"/>
      <w:bookmarkStart w:id="1293" w:name="_Toc416448028"/>
      <w:bookmarkStart w:id="1294" w:name="_Toc416384043"/>
      <w:bookmarkStart w:id="1295" w:name="_Toc416448029"/>
      <w:bookmarkStart w:id="1296" w:name="_Toc416384044"/>
      <w:bookmarkStart w:id="1297" w:name="_Toc416448030"/>
      <w:bookmarkStart w:id="1298" w:name="_Toc416384045"/>
      <w:bookmarkStart w:id="1299" w:name="_Toc416448031"/>
      <w:bookmarkStart w:id="1300" w:name="_Toc416800495"/>
      <w:bookmarkStart w:id="1301" w:name="_Toc421534327"/>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2C224A">
        <w:rPr>
          <w:rFonts w:ascii="Calibri" w:hAnsi="Calibri"/>
        </w:rPr>
        <w:t>Specifický cíl 2.3</w:t>
      </w:r>
      <w:bookmarkEnd w:id="1300"/>
      <w:bookmarkEnd w:id="1301"/>
    </w:p>
    <w:p w:rsidR="006D67F1" w:rsidRPr="002C224A" w:rsidRDefault="006D67F1" w:rsidP="00F87888">
      <w:pPr>
        <w:pStyle w:val="Nadpis4"/>
        <w:rPr>
          <w:rFonts w:ascii="Calibri" w:hAnsi="Calibri"/>
        </w:rPr>
      </w:pPr>
      <w:bookmarkStart w:id="1302" w:name="_Toc416800496"/>
      <w:r w:rsidRPr="002C224A">
        <w:rPr>
          <w:rFonts w:ascii="Calibri" w:hAnsi="Calibri"/>
        </w:rPr>
        <w:t>Formy finančních nástrojů a výše alokace</w:t>
      </w:r>
    </w:p>
    <w:p w:rsidR="006D67F1" w:rsidRPr="00A50943" w:rsidRDefault="006D67F1" w:rsidP="00483DA7"/>
    <w:bookmarkEnd w:id="1302"/>
    <w:p w:rsidR="006D67F1" w:rsidRPr="002C224A" w:rsidRDefault="006D67F1" w:rsidP="00483DA7">
      <w:r w:rsidRPr="002C224A">
        <w:rPr>
          <w:b/>
        </w:rPr>
        <w:t>SC 2.3 dle analýzy v bloku I. vykazuje částečný potenciál k využití finančních nástrojů, který však musí být ŘO posuzován s ohledem na dané priority specifického cíle.</w:t>
      </w:r>
      <w:r w:rsidR="007E44B9" w:rsidRPr="002C224A">
        <w:rPr>
          <w:b/>
        </w:rPr>
        <w:t xml:space="preserve"> </w:t>
      </w:r>
      <w:r w:rsidRPr="002C224A">
        <w:t>Uplatnitelných variant veřejné podpory je zde hned několik, ovšem s odlišným zacílením a efektem.</w:t>
      </w:r>
    </w:p>
    <w:p w:rsidR="006D67F1" w:rsidRPr="002C224A" w:rsidRDefault="006D67F1" w:rsidP="00483DA7"/>
    <w:p w:rsidR="002E58A9" w:rsidRDefault="006D67F1" w:rsidP="00483DA7">
      <w:r w:rsidRPr="002C224A">
        <w:t>S ohledem na charakter tržního selhání doporučujeme zachovat větší část alokace pro dotační podporu, avšak za podmínky zpřesnění kritérií výběru dotačně podpořených BF tak, aby byly zasaženy skutečně potřebné projekty. Zohledněna by měla být mj. i návratnost a nákladová mezera, komplexnost revitalizace a účelnost cílového projektu.</w:t>
      </w:r>
      <w:r w:rsidR="002E58A9">
        <w:t xml:space="preserve"> </w:t>
      </w:r>
    </w:p>
    <w:p w:rsidR="002E58A9" w:rsidRDefault="002E58A9" w:rsidP="00483DA7"/>
    <w:p w:rsidR="006D67F1" w:rsidRPr="002C224A" w:rsidRDefault="002E58A9" w:rsidP="00483DA7">
      <w:r>
        <w:t>Rozhodne-li se ŘO rozdělit alokaci a menší část zaměřit na specifické segmenty BF vhodné pro FN, lze zvažovat tyto formy a zacílení:</w:t>
      </w:r>
    </w:p>
    <w:p w:rsidR="006D67F1" w:rsidRPr="002C224A" w:rsidRDefault="006D67F1" w:rsidP="00483DA7">
      <w:pPr>
        <w:pStyle w:val="BodyText1"/>
        <w:jc w:val="both"/>
        <w:rPr>
          <w:rFonts w:ascii="Calibri" w:hAnsi="Calibri"/>
        </w:rPr>
      </w:pPr>
    </w:p>
    <w:p w:rsidR="006D67F1" w:rsidRPr="002C224A" w:rsidRDefault="006D67F1">
      <w:pPr>
        <w:pStyle w:val="Neslovannadpisy"/>
      </w:pPr>
      <w:r w:rsidRPr="002C224A">
        <w:t>Úvěrový nástroj</w:t>
      </w:r>
    </w:p>
    <w:p w:rsidR="006D67F1" w:rsidRPr="002C224A" w:rsidRDefault="006D67F1">
      <w:pPr>
        <w:rPr>
          <w:lang w:eastAsia="en-US"/>
        </w:rPr>
      </w:pPr>
      <w:r w:rsidRPr="002C224A">
        <w:rPr>
          <w:lang w:eastAsia="en-US"/>
        </w:rPr>
        <w:t xml:space="preserve">Úvěrový nástroj by měl formu </w:t>
      </w:r>
      <w:r w:rsidRPr="002C224A">
        <w:rPr>
          <w:b/>
          <w:lang w:eastAsia="en-US"/>
        </w:rPr>
        <w:t xml:space="preserve">zvýhodněných úvěrů se sníženou úrokovou sazbou a delší dobou splatnosti, s příspěvkem na </w:t>
      </w:r>
      <w:r w:rsidR="009715ED">
        <w:rPr>
          <w:b/>
          <w:lang w:eastAsia="en-US"/>
        </w:rPr>
        <w:t>technickou přípravu projektu</w:t>
      </w:r>
      <w:r w:rsidRPr="002C224A">
        <w:rPr>
          <w:b/>
          <w:lang w:eastAsia="en-US"/>
        </w:rPr>
        <w:t xml:space="preserve"> a podmíněným příspěvkem na úhradu úroků v případě řádného dokončení projektu a splácení.</w:t>
      </w:r>
      <w:r w:rsidR="007E44B9" w:rsidRPr="002C224A">
        <w:rPr>
          <w:b/>
          <w:lang w:eastAsia="en-US"/>
        </w:rPr>
        <w:t xml:space="preserve"> </w:t>
      </w:r>
      <w:r w:rsidRPr="002C224A">
        <w:rPr>
          <w:lang w:eastAsia="en-US"/>
        </w:rPr>
        <w:t>Rámcové parametry a implementace jsou navrhovány ve shodě s úvěry SC 2.1, příspěvek na úhradu úroků a přípravu projektu je zde však doporučováno poskytovat ve větší míře.</w:t>
      </w:r>
    </w:p>
    <w:p w:rsidR="006D67F1" w:rsidRPr="002C224A" w:rsidRDefault="006D67F1">
      <w:pPr>
        <w:rPr>
          <w:lang w:eastAsia="en-US"/>
        </w:rPr>
      </w:pPr>
    </w:p>
    <w:p w:rsidR="006D67F1" w:rsidRPr="002C224A" w:rsidRDefault="006D67F1">
      <w:pPr>
        <w:rPr>
          <w:lang w:eastAsia="en-US"/>
        </w:rPr>
      </w:pPr>
      <w:r w:rsidRPr="002C224A">
        <w:rPr>
          <w:lang w:eastAsia="en-US"/>
        </w:rPr>
        <w:t xml:space="preserve">Cílovými </w:t>
      </w:r>
      <w:r w:rsidR="009715ED">
        <w:rPr>
          <w:lang w:eastAsia="en-US"/>
        </w:rPr>
        <w:t xml:space="preserve">projekty mohou být </w:t>
      </w:r>
      <w:r w:rsidRPr="002C224A">
        <w:rPr>
          <w:lang w:eastAsia="en-US"/>
        </w:rPr>
        <w:t xml:space="preserve">zejména </w:t>
      </w:r>
      <w:r w:rsidRPr="002C224A">
        <w:rPr>
          <w:b/>
          <w:lang w:eastAsia="en-US"/>
        </w:rPr>
        <w:t>podnikatelské projekty rekonstrukcí zanedbaných nemovitostí</w:t>
      </w:r>
      <w:r w:rsidRPr="002C224A">
        <w:rPr>
          <w:lang w:eastAsia="en-US"/>
        </w:rPr>
        <w:t xml:space="preserve">, jejichž výsledkem by byla komplexní obnova a vytvoření moderního podnikatelského zázemí k výrobní činnosti nového druhu. </w:t>
      </w:r>
      <w:r w:rsidRPr="002C224A">
        <w:rPr>
          <w:b/>
          <w:lang w:eastAsia="en-US"/>
        </w:rPr>
        <w:t>Předběžné posouzení takto cíleného nástroje konstatuje možnost jeho využití</w:t>
      </w:r>
      <w:r w:rsidR="009715ED">
        <w:rPr>
          <w:b/>
          <w:lang w:eastAsia="en-US"/>
        </w:rPr>
        <w:t>, avšak slabší přidanou hodnotu intervence pro cíle SC 2.3</w:t>
      </w:r>
      <w:r w:rsidRPr="002C224A">
        <w:rPr>
          <w:lang w:eastAsia="en-US"/>
        </w:rPr>
        <w:t>.</w:t>
      </w:r>
    </w:p>
    <w:p w:rsidR="006D67F1" w:rsidRPr="002C224A" w:rsidRDefault="006D67F1">
      <w:pPr>
        <w:rPr>
          <w:lang w:eastAsia="en-US"/>
        </w:rPr>
      </w:pPr>
    </w:p>
    <w:p w:rsidR="006D67F1" w:rsidRPr="002C224A" w:rsidRDefault="006D67F1" w:rsidP="00A348B7">
      <w:pPr>
        <w:rPr>
          <w:lang w:eastAsia="en-US"/>
        </w:rPr>
      </w:pPr>
      <w:r w:rsidRPr="002C224A">
        <w:rPr>
          <w:b/>
          <w:lang w:eastAsia="en-US"/>
        </w:rPr>
        <w:t>Zvýhodněné úvěry by mohly využít i obce</w:t>
      </w:r>
      <w:r w:rsidRPr="002C224A">
        <w:rPr>
          <w:lang w:eastAsia="en-US"/>
        </w:rPr>
        <w:t>, které chtějí investovat do revitalizace BF za účelem přípravy podnikatelských ploch pro MSP, je však počítáno s velmi omezenou absorpční kapacitou tohoto druhu.</w:t>
      </w:r>
    </w:p>
    <w:p w:rsidR="006D67F1" w:rsidRPr="002C224A" w:rsidRDefault="006D67F1" w:rsidP="00483DA7">
      <w:pPr>
        <w:rPr>
          <w:b/>
        </w:rPr>
      </w:pPr>
    </w:p>
    <w:p w:rsidR="006D67F1" w:rsidRPr="002C224A" w:rsidRDefault="006D67F1">
      <w:pPr>
        <w:pStyle w:val="Neslovannadpisy"/>
      </w:pPr>
      <w:r w:rsidRPr="002C224A">
        <w:t>Podřízené úvěry</w:t>
      </w:r>
    </w:p>
    <w:p w:rsidR="006D67F1" w:rsidRPr="002C224A" w:rsidRDefault="006D67F1" w:rsidP="00483DA7">
      <w:pPr>
        <w:rPr>
          <w:b/>
        </w:rPr>
      </w:pPr>
      <w:r w:rsidRPr="002C224A">
        <w:rPr>
          <w:b/>
        </w:rPr>
        <w:lastRenderedPageBreak/>
        <w:t>Za možné řešení určené k další diskusi v oblasti přetváření BF na podnikatelskou infrastrukturu většího rozsahu považujeme FN v podobě podřízených úvěrů</w:t>
      </w:r>
      <w:r w:rsidR="009715ED">
        <w:rPr>
          <w:b/>
        </w:rPr>
        <w:t xml:space="preserve"> zvlášť vytvořené rozvojové entitě</w:t>
      </w:r>
      <w:r w:rsidRPr="002C224A">
        <w:rPr>
          <w:b/>
        </w:rPr>
        <w:t>.</w:t>
      </w:r>
    </w:p>
    <w:p w:rsidR="006D67F1" w:rsidRPr="002C224A" w:rsidRDefault="006D67F1" w:rsidP="00483DA7"/>
    <w:p w:rsidR="006D67F1" w:rsidRPr="002C224A" w:rsidRDefault="006D67F1" w:rsidP="00F95796">
      <w:r w:rsidRPr="002C224A">
        <w:t xml:space="preserve">Tento hypotetický FN je určen primárně na segment velikých BF nad </w:t>
      </w:r>
      <w:smartTag w:uri="urn:schemas-microsoft-com:office:smarttags" w:element="metricconverter">
        <w:smartTagPr>
          <w:attr w:name="ProductID" w:val="10 ha"/>
        </w:smartTagPr>
        <w:r w:rsidRPr="002C224A">
          <w:t>10 ha</w:t>
        </w:r>
      </w:smartTag>
      <w:r w:rsidRPr="002C224A">
        <w:t>, u kterých existuje potenciál návratnosti investovaných prostředků. Tato strategie by měla být realizována prostřednictvím účelově vytvořené entity, která bude působit ve veřejném zájmu (tj. bude naplňovat cíle operačního programu a bude upřednostňovat socio-ekonomické benefity před finančními) a na účet řídícího orgánu financujícího operačního programu.</w:t>
      </w:r>
    </w:p>
    <w:p w:rsidR="006D67F1" w:rsidRPr="002C224A" w:rsidRDefault="006D67F1" w:rsidP="00F95796"/>
    <w:p w:rsidR="006D67F1" w:rsidRPr="002C224A" w:rsidRDefault="006D67F1" w:rsidP="00F95796">
      <w:r w:rsidRPr="002C224A">
        <w:t xml:space="preserve">Strategií FN by pak bylo vytvářet vyvážené a dlouhodobě finančně vyrovnané portfolio podnikatelských zón. Správce by byl zodpovědný za celou úvodní fázi projektů, tedy za nákup pozemků typu brownfields, odstranění nevyužitelných staveb, výstavbu páteřní infrastruktury či provedení nezbytných terénních úprav. Takto připravované zóny by byly přizpůsobeny potřebám malých a středních podniků z pohledu velikosti pozemků a dostupnosti či kapacit infrastruktury. </w:t>
      </w:r>
    </w:p>
    <w:p w:rsidR="006D67F1" w:rsidRPr="002C224A" w:rsidRDefault="006D67F1" w:rsidP="00F95796"/>
    <w:p w:rsidR="006D67F1" w:rsidRPr="002C224A" w:rsidRDefault="006D67F1" w:rsidP="00F95796">
      <w:r w:rsidRPr="002C224A">
        <w:t>Následně, po realizaci projektu, by byly celé zóny či jednotlivé rozvojové plochy prodány</w:t>
      </w:r>
      <w:r w:rsidR="00EC0879" w:rsidRPr="002C224A">
        <w:t xml:space="preserve"> způsobilým</w:t>
      </w:r>
      <w:r w:rsidRPr="002C224A">
        <w:t xml:space="preserve"> malým a středním podnikům, jež by si na těchto pozemcích postavily nové podnikatelské objekty.</w:t>
      </w:r>
      <w:r w:rsidR="00EC0879" w:rsidRPr="002C224A">
        <w:t xml:space="preserve"> </w:t>
      </w:r>
      <w:r w:rsidRPr="002C224A">
        <w:t>Jelikož by navržené schéma mělo být tržně neutrální, prodeje by byly realizovány formou veřejné nabídky a cena by byla stanovena trhem, tj. nejvyšší nabídkou.</w:t>
      </w:r>
      <w:r w:rsidR="00EC0879" w:rsidRPr="002C224A">
        <w:t xml:space="preserve"> Součástí kupní smlouvy </w:t>
      </w:r>
      <w:r w:rsidR="00E02854" w:rsidRPr="002C224A">
        <w:t xml:space="preserve">by měla </w:t>
      </w:r>
      <w:r w:rsidR="00EC0879" w:rsidRPr="002C224A">
        <w:t>být podmínka udržitelnosti podnikání MSP zajištěná pro neplnění zástavním právem.</w:t>
      </w:r>
    </w:p>
    <w:p w:rsidR="00E02854" w:rsidRPr="002C224A" w:rsidRDefault="00E02854" w:rsidP="00F95796"/>
    <w:p w:rsidR="00E02854" w:rsidRPr="002C224A" w:rsidRDefault="00E02854" w:rsidP="00F95796">
      <w:r w:rsidRPr="002C224A">
        <w:t>Správce entity by byl vybrán buď ve výběrovém řízení v případě soukromého subjektu, eventuálně v přímým zadáním v případě vytvoření veřejného subjektu.</w:t>
      </w:r>
    </w:p>
    <w:p w:rsidR="006D67F1" w:rsidRPr="002C224A" w:rsidRDefault="006D67F1" w:rsidP="00F95796"/>
    <w:p w:rsidR="006D67F1" w:rsidRPr="002C224A" w:rsidRDefault="006D67F1" w:rsidP="00C72C85">
      <w:pPr>
        <w:overflowPunct/>
        <w:autoSpaceDE/>
        <w:autoSpaceDN/>
        <w:adjustRightInd/>
        <w:spacing w:after="200" w:line="276" w:lineRule="auto"/>
        <w:textAlignment w:val="auto"/>
        <w:rPr>
          <w:b/>
        </w:rPr>
      </w:pPr>
      <w:r w:rsidRPr="002C224A">
        <w:rPr>
          <w:b/>
        </w:rPr>
        <w:t>Výrazná rizika řádného investičního zacházení se svěřenými prostředky na straně správce lze částečně řešit několika opatřeními:</w:t>
      </w:r>
    </w:p>
    <w:p w:rsidR="00EC0879" w:rsidRPr="002C224A" w:rsidRDefault="006D67F1" w:rsidP="00EC0879">
      <w:pPr>
        <w:pStyle w:val="Odstavecseseznamem1"/>
        <w:numPr>
          <w:ilvl w:val="0"/>
          <w:numId w:val="66"/>
        </w:numPr>
        <w:overflowPunct/>
        <w:autoSpaceDE/>
        <w:autoSpaceDN/>
        <w:adjustRightInd/>
        <w:spacing w:after="200" w:line="276" w:lineRule="auto"/>
        <w:textAlignment w:val="auto"/>
      </w:pPr>
      <w:r w:rsidRPr="002C224A">
        <w:t>Finanční prostředky ve správě FN by byly uloženy u depozitáře, který by vedl k tomuto účelu zvláštně vytvořené účty</w:t>
      </w:r>
      <w:r w:rsidR="00EC0879" w:rsidRPr="002C224A">
        <w:t>.</w:t>
      </w:r>
      <w:r w:rsidRPr="002C224A">
        <w:t xml:space="preserve"> </w:t>
      </w:r>
    </w:p>
    <w:p w:rsidR="006D67F1" w:rsidRPr="002C224A" w:rsidRDefault="006D67F1" w:rsidP="00EC0879">
      <w:pPr>
        <w:pStyle w:val="Odstavecseseznamem1"/>
        <w:numPr>
          <w:ilvl w:val="0"/>
          <w:numId w:val="66"/>
        </w:numPr>
        <w:overflowPunct/>
        <w:autoSpaceDE/>
        <w:autoSpaceDN/>
        <w:adjustRightInd/>
        <w:spacing w:after="200" w:line="276" w:lineRule="auto"/>
        <w:textAlignment w:val="auto"/>
      </w:pPr>
      <w:r w:rsidRPr="002C224A">
        <w:t>Pro účely přijímání klíčových investičních rozhodnutí by byl zřízen Investiční výbor, jenž by posuzoval jednotlivé obchodní případy s právem veta</w:t>
      </w:r>
      <w:r w:rsidR="00EC0879" w:rsidRPr="002C224A">
        <w:t>, za účasti zástupců ŘO i nezávislých odborníků</w:t>
      </w:r>
      <w:r w:rsidRPr="002C224A">
        <w:t xml:space="preserve">. </w:t>
      </w:r>
    </w:p>
    <w:p w:rsidR="006D67F1" w:rsidRPr="002C224A" w:rsidRDefault="006D67F1">
      <w:pPr>
        <w:pStyle w:val="Odstavecseseznamem1"/>
        <w:numPr>
          <w:ilvl w:val="0"/>
          <w:numId w:val="66"/>
        </w:numPr>
        <w:overflowPunct/>
        <w:autoSpaceDE/>
        <w:autoSpaceDN/>
        <w:adjustRightInd/>
        <w:spacing w:after="200" w:line="276" w:lineRule="auto"/>
        <w:textAlignment w:val="auto"/>
      </w:pPr>
      <w:r w:rsidRPr="002C224A">
        <w:t>Bankovní účty, obchodní podíly a všechny investované nemovitosti by byly zastaveny ve prospěch ŘO či jiného subjektu (např. Fondu fondů). Vložené prostředky by tedy byly adekvátně zajištěny.</w:t>
      </w:r>
    </w:p>
    <w:p w:rsidR="006D67F1" w:rsidRPr="002C224A" w:rsidRDefault="006D67F1" w:rsidP="00F95796">
      <w:r w:rsidRPr="002C224A">
        <w:t>Problémem tohoto návrhu je jeho komplikovaná aplikovatelnost v</w:t>
      </w:r>
      <w:r w:rsidR="00022B20" w:rsidRPr="002C224A">
        <w:t> </w:t>
      </w:r>
      <w:r w:rsidRPr="002C224A">
        <w:t>rámci</w:t>
      </w:r>
      <w:r w:rsidR="00022B20" w:rsidRPr="002C224A">
        <w:t xml:space="preserve"> obvyklých</w:t>
      </w:r>
      <w:r w:rsidRPr="002C224A">
        <w:t xml:space="preserve"> kategorií finančních nástrojů</w:t>
      </w:r>
      <w:r w:rsidR="00022B20" w:rsidRPr="002C224A">
        <w:t xml:space="preserve"> v rámci unikátnosti jeho řešení, </w:t>
      </w:r>
      <w:r w:rsidRPr="002C224A">
        <w:t>přestože</w:t>
      </w:r>
      <w:r w:rsidR="00022B20" w:rsidRPr="002C224A">
        <w:t xml:space="preserve"> pro </w:t>
      </w:r>
      <w:r w:rsidRPr="002C224A">
        <w:t>cíle SC 2.3 – revitalizaci BF a vytvoření moderní</w:t>
      </w:r>
      <w:r w:rsidR="00022B20" w:rsidRPr="002C224A">
        <w:t xml:space="preserve"> podnikatelské</w:t>
      </w:r>
      <w:r w:rsidRPr="002C224A">
        <w:t xml:space="preserve"> infrastruktury pro MSP – </w:t>
      </w:r>
      <w:r w:rsidR="00022B20" w:rsidRPr="002C224A">
        <w:t>se jeví v rámci vymezeného segmentu jako efektivní cesta</w:t>
      </w:r>
      <w:r w:rsidRPr="002C224A">
        <w:t>. V případě dalšího postupu implementace musí být aplikovatelnost tohoto návrhu v</w:t>
      </w:r>
      <w:r w:rsidR="00022B20" w:rsidRPr="002C224A">
        <w:t> </w:t>
      </w:r>
      <w:r w:rsidRPr="002C224A">
        <w:t>rámci</w:t>
      </w:r>
      <w:r w:rsidR="00022B20" w:rsidRPr="002C224A">
        <w:t xml:space="preserve"> FN</w:t>
      </w:r>
      <w:r w:rsidRPr="002C224A">
        <w:t xml:space="preserve"> OP PIK dále ověřena i</w:t>
      </w:r>
      <w:r w:rsidR="00022B20" w:rsidRPr="002C224A">
        <w:t xml:space="preserve"> v konzultaci </w:t>
      </w:r>
      <w:r w:rsidRPr="002C224A">
        <w:t>s Komisí.</w:t>
      </w:r>
    </w:p>
    <w:p w:rsidR="006D67F1" w:rsidRPr="002C224A" w:rsidRDefault="006D67F1" w:rsidP="00483DA7"/>
    <w:p w:rsidR="006D67F1" w:rsidRPr="002C224A" w:rsidRDefault="006D67F1" w:rsidP="00483DA7">
      <w:pPr>
        <w:rPr>
          <w:b/>
        </w:rPr>
      </w:pPr>
    </w:p>
    <w:p w:rsidR="006D67F1" w:rsidRPr="002C224A" w:rsidRDefault="006D67F1" w:rsidP="00483DA7">
      <w:pPr>
        <w:jc w:val="left"/>
      </w:pPr>
      <w:r w:rsidRPr="002C224A">
        <w:br w:type="page"/>
      </w:r>
    </w:p>
    <w:p w:rsidR="006D67F1" w:rsidRPr="002C224A" w:rsidRDefault="006D67F1" w:rsidP="002433DA">
      <w:pPr>
        <w:rPr>
          <w:b/>
        </w:rPr>
      </w:pPr>
    </w:p>
    <w:p w:rsidR="006D67F1" w:rsidRPr="002C224A" w:rsidRDefault="006D67F1" w:rsidP="00F87888">
      <w:pPr>
        <w:pStyle w:val="Nadpis4"/>
        <w:rPr>
          <w:rFonts w:ascii="Calibri" w:hAnsi="Calibri"/>
        </w:rPr>
      </w:pPr>
      <w:bookmarkStart w:id="1303" w:name="_Toc416800497"/>
      <w:r w:rsidRPr="002C224A">
        <w:rPr>
          <w:rFonts w:ascii="Calibri" w:hAnsi="Calibri"/>
        </w:rPr>
        <w:t>Nejvhodnější možnosti implementace</w:t>
      </w:r>
      <w:r w:rsidR="007A476A" w:rsidRPr="002C224A">
        <w:rPr>
          <w:rFonts w:ascii="Calibri" w:hAnsi="Calibri"/>
        </w:rPr>
        <w:t xml:space="preserve"> </w:t>
      </w:r>
    </w:p>
    <w:p w:rsidR="006D67F1" w:rsidRPr="002C224A" w:rsidRDefault="006D67F1" w:rsidP="00483DA7">
      <w:pPr>
        <w:pStyle w:val="CaptionIntroductionparagraph"/>
        <w:rPr>
          <w:rFonts w:ascii="Calibri" w:hAnsi="Calibri"/>
        </w:rPr>
      </w:pPr>
    </w:p>
    <w:bookmarkEnd w:id="1303"/>
    <w:p w:rsidR="006D67F1" w:rsidRPr="00A50943" w:rsidRDefault="006D67F1" w:rsidP="00C72C85">
      <w:pPr>
        <w:pStyle w:val="Neslovannadpisy"/>
      </w:pPr>
      <w:r w:rsidRPr="00A50943">
        <w:t>Úvěrový nástroj</w:t>
      </w:r>
    </w:p>
    <w:p w:rsidR="00E572F2" w:rsidRPr="002C224A" w:rsidRDefault="007A3F34" w:rsidP="00C72C85">
      <w:pPr>
        <w:pStyle w:val="Neslovannadpisy"/>
      </w:pPr>
      <w:r>
        <w:rPr>
          <w:noProof/>
        </w:rPr>
        <w:drawing>
          <wp:inline distT="0" distB="0" distL="0" distR="0" wp14:anchorId="29307ADC" wp14:editId="43E60C15">
            <wp:extent cx="5248275" cy="3971925"/>
            <wp:effectExtent l="0" t="0" r="9525" b="9525"/>
            <wp:docPr id="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5248275" cy="3971925"/>
                    </a:xfrm>
                    <a:prstGeom prst="rect">
                      <a:avLst/>
                    </a:prstGeom>
                    <a:noFill/>
                    <a:ln>
                      <a:noFill/>
                    </a:ln>
                  </pic:spPr>
                </pic:pic>
              </a:graphicData>
            </a:graphic>
          </wp:inline>
        </w:drawing>
      </w:r>
    </w:p>
    <w:p w:rsidR="006D67F1" w:rsidRPr="002C224A" w:rsidRDefault="006D67F1" w:rsidP="00483DA7">
      <w:pPr>
        <w:jc w:val="center"/>
        <w:rPr>
          <w:noProof/>
        </w:rPr>
      </w:pPr>
    </w:p>
    <w:p w:rsidR="006D67F1" w:rsidRPr="002C224A" w:rsidRDefault="00877209" w:rsidP="00877209">
      <w:pPr>
        <w:pStyle w:val="Titulek"/>
      </w:pPr>
      <w:r w:rsidRPr="002C224A">
        <w:t xml:space="preserve">Obrázek </w:t>
      </w:r>
      <w:r w:rsidR="00162D8A">
        <w:t>46</w:t>
      </w:r>
      <w:r w:rsidRPr="002C224A">
        <w:t>: schéma implementace úvěrového nástroje</w:t>
      </w:r>
    </w:p>
    <w:p w:rsidR="00A129E8" w:rsidRPr="002C224A" w:rsidRDefault="00A129E8" w:rsidP="00A129E8">
      <w:pPr>
        <w:pStyle w:val="Neslovannadpisy"/>
        <w:rPr>
          <w:lang w:eastAsia="en-US"/>
        </w:rPr>
      </w:pPr>
    </w:p>
    <w:p w:rsidR="006D67F1" w:rsidRPr="002C224A" w:rsidRDefault="006D67F1" w:rsidP="00F87888">
      <w:pPr>
        <w:pStyle w:val="Nadpis4"/>
        <w:rPr>
          <w:rFonts w:ascii="Calibri" w:hAnsi="Calibri"/>
        </w:rPr>
      </w:pPr>
      <w:bookmarkStart w:id="1304" w:name="_Toc416800498"/>
      <w:r w:rsidRPr="002C224A">
        <w:rPr>
          <w:rFonts w:ascii="Calibri" w:hAnsi="Calibri"/>
        </w:rPr>
        <w:t>Modelové scénáře a parametry finančních produktů</w:t>
      </w:r>
    </w:p>
    <w:p w:rsidR="00B10E84" w:rsidRPr="002C224A" w:rsidRDefault="00B10E84" w:rsidP="00B10E84">
      <w:r w:rsidRPr="002C224A">
        <w:t>Níže jsou prezentovány výsledky modelování potenciálních efektů využití navrhované části alokace specifického cíle na finanční nástroj, vč. specifikace výchozích atributů, na kterých je model postaven. Jedná se o modelové příklady, které slouží jako vodítko a měly by být rámcově respektovány při implementaci FN, nicméně nemohou být považovány za závazné s ohledem na dále prezentované předpoklady.</w:t>
      </w:r>
    </w:p>
    <w:p w:rsidR="00B10E84" w:rsidRPr="002C224A" w:rsidRDefault="00B10E84" w:rsidP="004E0B43">
      <w:pPr>
        <w:pStyle w:val="Neslovannadpisy"/>
      </w:pPr>
    </w:p>
    <w:p w:rsidR="004E0B43" w:rsidRPr="002C224A" w:rsidRDefault="004E0B43" w:rsidP="004E0B43">
      <w:pPr>
        <w:pStyle w:val="Neslovannadpisy"/>
        <w:rPr>
          <w:b w:val="0"/>
        </w:rPr>
      </w:pPr>
      <w:r w:rsidRPr="002C224A">
        <w:t>Úvěrový nástroj</w:t>
      </w:r>
    </w:p>
    <w:p w:rsidR="004E0B43" w:rsidRPr="002C224A" w:rsidRDefault="00BF767F" w:rsidP="00BF767F">
      <w:r w:rsidRPr="002C224A">
        <w:t>V úvěrovém modelovém příkladu bylo pro zjednodušení abstrahováno od započítání úrokového zisku a poplatků za správu spolufinancujícího subjektu s předpokladem jejich částečné kompenzace. Model zobrazuje scénáře pro různé úrovně ztrát a scénář pro subvenci úhrady úroků a příspěvek na přípravu projektu. V modelovém případě není započítán případný odklad splátek. V případě jeho využití je tedy třeba počítat s částečným omezením revolvingu a tedy i počtu poskytnutých úvěrů pro toto programovací období a jeho posunutí do období příštího.</w:t>
      </w:r>
    </w:p>
    <w:p w:rsidR="004E0B43" w:rsidRPr="002C224A" w:rsidRDefault="007A3F34" w:rsidP="004E0B43">
      <w:pPr>
        <w:pStyle w:val="Titulek"/>
      </w:pPr>
      <w:r w:rsidRPr="003428AF">
        <w:rPr>
          <w:noProof/>
          <w:lang w:eastAsia="cs-CZ"/>
        </w:rPr>
        <w:lastRenderedPageBreak/>
        <w:drawing>
          <wp:inline distT="0" distB="0" distL="0" distR="0" wp14:anchorId="6B6A6A60" wp14:editId="6C7FE287">
            <wp:extent cx="4377055" cy="2940050"/>
            <wp:effectExtent l="0" t="0" r="4445" b="12700"/>
            <wp:docPr id="8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E0B43" w:rsidRPr="002C224A" w:rsidRDefault="00162D8A" w:rsidP="004E0B43">
      <w:pPr>
        <w:pStyle w:val="Titulek"/>
        <w:rPr>
          <w:noProof/>
          <w:lang w:eastAsia="cs-CZ"/>
        </w:rPr>
      </w:pPr>
      <w:r>
        <w:t>Obrázek 47</w:t>
      </w:r>
      <w:r w:rsidR="004E0B43" w:rsidRPr="002C224A">
        <w:t>: Potenciální efekty využití FN (</w:t>
      </w:r>
      <w:r w:rsidR="00BF767F" w:rsidRPr="002C224A">
        <w:t xml:space="preserve">Scénář 1, </w:t>
      </w:r>
      <w:r w:rsidR="004E0B43" w:rsidRPr="002C224A">
        <w:t xml:space="preserve">ztráty 10 %, bez příspěvku) </w:t>
      </w:r>
    </w:p>
    <w:p w:rsidR="004E0B43" w:rsidRPr="002C224A" w:rsidRDefault="004E0B43" w:rsidP="004E0B43">
      <w:pPr>
        <w:pStyle w:val="BodyText1"/>
        <w:jc w:val="both"/>
        <w:rPr>
          <w:rFonts w:ascii="Calibri" w:hAnsi="Calibri"/>
        </w:rPr>
      </w:pPr>
    </w:p>
    <w:p w:rsidR="004E0B43" w:rsidRPr="002C224A" w:rsidRDefault="007A3F34" w:rsidP="004E0B43">
      <w:pPr>
        <w:pStyle w:val="CaptionIntroductionparagraph"/>
        <w:rPr>
          <w:rFonts w:ascii="Calibri" w:hAnsi="Calibri"/>
        </w:rPr>
      </w:pPr>
      <w:r w:rsidRPr="003428AF">
        <w:rPr>
          <w:noProof/>
          <w:lang w:eastAsia="cs-CZ"/>
        </w:rPr>
        <w:drawing>
          <wp:inline distT="0" distB="0" distL="0" distR="0" wp14:anchorId="0122466A" wp14:editId="1AF3FD3E">
            <wp:extent cx="4377055" cy="2940050"/>
            <wp:effectExtent l="0" t="0" r="4445" b="12700"/>
            <wp:docPr id="8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E0B43" w:rsidRPr="00A50943" w:rsidRDefault="004E0B43" w:rsidP="004E0B43">
      <w:pPr>
        <w:rPr>
          <w:noProof/>
        </w:rPr>
      </w:pPr>
    </w:p>
    <w:p w:rsidR="004E0B43" w:rsidRPr="002C224A" w:rsidRDefault="00162D8A" w:rsidP="004E0B43">
      <w:pPr>
        <w:pStyle w:val="Titulek"/>
        <w:rPr>
          <w:noProof/>
          <w:lang w:eastAsia="cs-CZ"/>
        </w:rPr>
      </w:pPr>
      <w:r>
        <w:t>Obrázek 48</w:t>
      </w:r>
      <w:r w:rsidR="004E0B43" w:rsidRPr="002C224A">
        <w:t>: Potenciální efekty využití FN (</w:t>
      </w:r>
      <w:r w:rsidR="00BF767F" w:rsidRPr="002C224A">
        <w:t xml:space="preserve">Scénář 2, </w:t>
      </w:r>
      <w:r w:rsidR="004E0B43" w:rsidRPr="002C224A">
        <w:t xml:space="preserve">ztráty 20 %, bez příspěvku) </w:t>
      </w:r>
    </w:p>
    <w:p w:rsidR="004E0B43" w:rsidRPr="00A50943" w:rsidRDefault="004E0B43" w:rsidP="004E0B43">
      <w:pPr>
        <w:rPr>
          <w:noProof/>
        </w:rPr>
      </w:pPr>
    </w:p>
    <w:p w:rsidR="004E0B43" w:rsidRPr="00A50943" w:rsidRDefault="007A3F34" w:rsidP="004E0B43">
      <w:pPr>
        <w:rPr>
          <w:noProof/>
        </w:rPr>
      </w:pPr>
      <w:r w:rsidRPr="003428AF">
        <w:rPr>
          <w:noProof/>
        </w:rPr>
        <w:lastRenderedPageBreak/>
        <w:drawing>
          <wp:inline distT="0" distB="0" distL="0" distR="0" wp14:anchorId="1D46F7DD" wp14:editId="469F8B13">
            <wp:extent cx="4377055" cy="2940050"/>
            <wp:effectExtent l="0" t="0" r="4445" b="12700"/>
            <wp:docPr id="8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E0B43" w:rsidRPr="002C224A" w:rsidRDefault="00162D8A" w:rsidP="004E0B43">
      <w:pPr>
        <w:pStyle w:val="Titulek"/>
        <w:rPr>
          <w:noProof/>
          <w:lang w:eastAsia="cs-CZ"/>
        </w:rPr>
      </w:pPr>
      <w:r>
        <w:t>Obrázek 49:</w:t>
      </w:r>
      <w:r w:rsidR="004E0B43" w:rsidRPr="002C224A">
        <w:t xml:space="preserve"> Potenciální efekty využití FN (</w:t>
      </w:r>
      <w:r w:rsidR="00BF767F" w:rsidRPr="002C224A">
        <w:t xml:space="preserve">Scénář 3, </w:t>
      </w:r>
      <w:r w:rsidR="004E0B43" w:rsidRPr="002C224A">
        <w:t xml:space="preserve">ztráty 10 %, s příspěvkem) </w:t>
      </w:r>
    </w:p>
    <w:p w:rsidR="004E0B43" w:rsidRPr="00A50943" w:rsidRDefault="004E0B43" w:rsidP="004E0B43">
      <w:pPr>
        <w:rPr>
          <w:noProof/>
        </w:rPr>
      </w:pPr>
    </w:p>
    <w:p w:rsidR="004E0B43" w:rsidRPr="002C224A" w:rsidRDefault="004E0B43" w:rsidP="004E0B43">
      <w:r w:rsidRPr="002C224A">
        <w:t xml:space="preserve">Legenda: </w:t>
      </w:r>
    </w:p>
    <w:p w:rsidR="004E0B43" w:rsidRPr="002C224A" w:rsidRDefault="004E0B43" w:rsidP="004E0B43">
      <w:pPr>
        <w:pStyle w:val="Odstavecseseznamem1"/>
        <w:numPr>
          <w:ilvl w:val="0"/>
          <w:numId w:val="43"/>
        </w:numPr>
        <w:overflowPunct/>
        <w:autoSpaceDE/>
        <w:autoSpaceDN/>
        <w:adjustRightInd/>
        <w:contextualSpacing w:val="0"/>
        <w:textAlignment w:val="auto"/>
      </w:pPr>
      <w:r w:rsidRPr="002C224A">
        <w:t>Modré sloupce representují zvýhodněné úvěry poskytnuté z OP PIK v jednotlivých letech</w:t>
      </w:r>
    </w:p>
    <w:p w:rsidR="004E0B43" w:rsidRPr="002C224A" w:rsidRDefault="004E0B43" w:rsidP="004E0B43">
      <w:pPr>
        <w:pStyle w:val="Odstavecseseznamem1"/>
        <w:numPr>
          <w:ilvl w:val="0"/>
          <w:numId w:val="43"/>
        </w:numPr>
        <w:overflowPunct/>
        <w:autoSpaceDE/>
        <w:autoSpaceDN/>
        <w:adjustRightInd/>
        <w:contextualSpacing w:val="0"/>
        <w:textAlignment w:val="auto"/>
      </w:pPr>
      <w:r w:rsidRPr="002C224A">
        <w:t>Oranžová křivka je kumulovaným součtem těchto úvěrů</w:t>
      </w:r>
    </w:p>
    <w:p w:rsidR="004E0B43" w:rsidRPr="002C224A" w:rsidRDefault="00877209" w:rsidP="00877209">
      <w:pPr>
        <w:pStyle w:val="Titulek"/>
        <w:rPr>
          <w:noProof/>
        </w:rPr>
      </w:pPr>
      <w:r w:rsidRPr="002C224A">
        <w:rPr>
          <w:noProof/>
        </w:rPr>
        <w:t>Tabulka 1</w:t>
      </w:r>
      <w:r w:rsidR="004A4860">
        <w:rPr>
          <w:noProof/>
        </w:rPr>
        <w:t>15</w:t>
      </w:r>
      <w:r w:rsidRPr="002C224A">
        <w:rPr>
          <w:noProof/>
        </w:rPr>
        <w:t xml:space="preserve">: </w:t>
      </w:r>
      <w:r w:rsidR="00BF767F" w:rsidRPr="002C224A">
        <w:rPr>
          <w:noProof/>
        </w:rPr>
        <w:t>Parametry modelu</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4E0B43" w:rsidRPr="002C224A" w:rsidTr="00BB7171">
        <w:trPr>
          <w:trHeight w:val="240"/>
          <w:jc w:val="center"/>
        </w:trPr>
        <w:tc>
          <w:tcPr>
            <w:tcW w:w="4252" w:type="dxa"/>
            <w:noWrap/>
            <w:vAlign w:val="center"/>
          </w:tcPr>
          <w:p w:rsidR="004E0B43" w:rsidRPr="00A50943" w:rsidRDefault="004E0B43" w:rsidP="00BB7171">
            <w:pPr>
              <w:jc w:val="left"/>
              <w:rPr>
                <w:color w:val="000000"/>
                <w:sz w:val="18"/>
                <w:szCs w:val="18"/>
              </w:rPr>
            </w:pPr>
            <w:r w:rsidRPr="00A50943">
              <w:rPr>
                <w:color w:val="000000"/>
                <w:sz w:val="18"/>
                <w:szCs w:val="18"/>
              </w:rPr>
              <w:t xml:space="preserve">Alokace OP PIK </w:t>
            </w:r>
          </w:p>
        </w:tc>
        <w:tc>
          <w:tcPr>
            <w:tcW w:w="1417" w:type="dxa"/>
            <w:noWrap/>
            <w:vAlign w:val="center"/>
          </w:tcPr>
          <w:p w:rsidR="004E0B43" w:rsidRPr="002C224A" w:rsidRDefault="004D7E39" w:rsidP="00BB7171">
            <w:pPr>
              <w:jc w:val="right"/>
              <w:rPr>
                <w:color w:val="000000"/>
                <w:sz w:val="18"/>
                <w:szCs w:val="18"/>
              </w:rPr>
            </w:pPr>
            <w:smartTag w:uri="urn:schemas-microsoft-com:office:smarttags" w:element="metricconverter">
              <w:smartTagPr>
                <w:attr w:name="ProductID" w:val="550 mil"/>
              </w:smartTagPr>
              <w:r>
                <w:rPr>
                  <w:color w:val="000000"/>
                  <w:sz w:val="18"/>
                  <w:szCs w:val="18"/>
                </w:rPr>
                <w:t>550</w:t>
              </w:r>
              <w:r w:rsidRPr="002C224A">
                <w:rPr>
                  <w:color w:val="000000"/>
                  <w:sz w:val="18"/>
                  <w:szCs w:val="18"/>
                </w:rPr>
                <w:t xml:space="preserve"> </w:t>
              </w:r>
              <w:r w:rsidR="004E0B43" w:rsidRPr="002C224A">
                <w:rPr>
                  <w:color w:val="000000"/>
                  <w:sz w:val="18"/>
                  <w:szCs w:val="18"/>
                </w:rPr>
                <w:t>mil</w:t>
              </w:r>
            </w:smartTag>
            <w:r w:rsidR="004E0B43" w:rsidRPr="002C224A">
              <w:rPr>
                <w:color w:val="000000"/>
                <w:sz w:val="18"/>
                <w:szCs w:val="18"/>
              </w:rPr>
              <w:t>. Kč</w:t>
            </w:r>
          </w:p>
        </w:tc>
      </w:tr>
      <w:tr w:rsidR="004E0B43" w:rsidRPr="002C224A" w:rsidTr="00BB7171">
        <w:trPr>
          <w:trHeight w:val="240"/>
          <w:jc w:val="center"/>
        </w:trPr>
        <w:tc>
          <w:tcPr>
            <w:tcW w:w="4252" w:type="dxa"/>
            <w:noWrap/>
            <w:vAlign w:val="center"/>
          </w:tcPr>
          <w:p w:rsidR="004E0B43" w:rsidRPr="002C224A" w:rsidRDefault="004E0B43" w:rsidP="00BB7171">
            <w:pPr>
              <w:jc w:val="left"/>
              <w:rPr>
                <w:color w:val="000000"/>
                <w:sz w:val="18"/>
                <w:szCs w:val="18"/>
              </w:rPr>
            </w:pPr>
            <w:r w:rsidRPr="002C224A">
              <w:rPr>
                <w:color w:val="000000"/>
                <w:sz w:val="18"/>
                <w:szCs w:val="18"/>
              </w:rPr>
              <w:t>Úrok zdrojů poskytovaných z OP PIK</w:t>
            </w:r>
          </w:p>
        </w:tc>
        <w:tc>
          <w:tcPr>
            <w:tcW w:w="1417" w:type="dxa"/>
            <w:noWrap/>
            <w:vAlign w:val="center"/>
          </w:tcPr>
          <w:p w:rsidR="004E0B43" w:rsidRPr="002C224A" w:rsidRDefault="004E0B43" w:rsidP="00BB7171">
            <w:pPr>
              <w:jc w:val="right"/>
              <w:rPr>
                <w:color w:val="000000"/>
                <w:sz w:val="18"/>
                <w:szCs w:val="18"/>
              </w:rPr>
            </w:pPr>
            <w:r w:rsidRPr="002C224A">
              <w:rPr>
                <w:color w:val="000000"/>
                <w:sz w:val="18"/>
                <w:szCs w:val="18"/>
              </w:rPr>
              <w:t>0,50 %</w:t>
            </w:r>
          </w:p>
        </w:tc>
      </w:tr>
      <w:tr w:rsidR="004E0B43" w:rsidRPr="002C224A" w:rsidTr="00BB7171">
        <w:trPr>
          <w:trHeight w:val="240"/>
          <w:jc w:val="center"/>
        </w:trPr>
        <w:tc>
          <w:tcPr>
            <w:tcW w:w="4252" w:type="dxa"/>
            <w:noWrap/>
            <w:vAlign w:val="center"/>
          </w:tcPr>
          <w:p w:rsidR="004E0B43" w:rsidRPr="002C224A" w:rsidRDefault="004E0B43" w:rsidP="00BB7171">
            <w:pPr>
              <w:jc w:val="left"/>
              <w:rPr>
                <w:color w:val="000000"/>
                <w:sz w:val="18"/>
                <w:szCs w:val="18"/>
              </w:rPr>
            </w:pPr>
            <w:r w:rsidRPr="002C224A">
              <w:rPr>
                <w:color w:val="000000"/>
                <w:sz w:val="18"/>
                <w:szCs w:val="18"/>
              </w:rPr>
              <w:t>Požadovaný úrok spolufinancujícího subjektu</w:t>
            </w:r>
          </w:p>
        </w:tc>
        <w:tc>
          <w:tcPr>
            <w:tcW w:w="1417" w:type="dxa"/>
            <w:noWrap/>
            <w:vAlign w:val="center"/>
          </w:tcPr>
          <w:p w:rsidR="004E0B43" w:rsidRPr="002C224A" w:rsidRDefault="004E0B43" w:rsidP="00BB7171">
            <w:pPr>
              <w:jc w:val="right"/>
              <w:rPr>
                <w:color w:val="000000"/>
                <w:sz w:val="18"/>
                <w:szCs w:val="18"/>
              </w:rPr>
            </w:pPr>
            <w:r w:rsidRPr="002C224A">
              <w:rPr>
                <w:color w:val="000000"/>
                <w:sz w:val="18"/>
                <w:szCs w:val="18"/>
              </w:rPr>
              <w:t>3,50 %</w:t>
            </w:r>
          </w:p>
        </w:tc>
      </w:tr>
      <w:tr w:rsidR="004E0B43" w:rsidRPr="002C224A" w:rsidTr="00BB7171">
        <w:trPr>
          <w:trHeight w:val="240"/>
          <w:jc w:val="center"/>
        </w:trPr>
        <w:tc>
          <w:tcPr>
            <w:tcW w:w="4252" w:type="dxa"/>
            <w:noWrap/>
            <w:vAlign w:val="center"/>
          </w:tcPr>
          <w:p w:rsidR="004E0B43" w:rsidRPr="002C224A" w:rsidRDefault="004E0B43" w:rsidP="00BB7171">
            <w:pPr>
              <w:jc w:val="left"/>
              <w:rPr>
                <w:color w:val="000000"/>
                <w:sz w:val="18"/>
                <w:szCs w:val="18"/>
              </w:rPr>
            </w:pPr>
            <w:r w:rsidRPr="002C224A">
              <w:rPr>
                <w:color w:val="000000"/>
                <w:sz w:val="18"/>
                <w:szCs w:val="18"/>
              </w:rPr>
              <w:t>Limit výše výsledné úrokové míry úvěru příjemci</w:t>
            </w:r>
          </w:p>
        </w:tc>
        <w:tc>
          <w:tcPr>
            <w:tcW w:w="1417" w:type="dxa"/>
            <w:noWrap/>
            <w:vAlign w:val="center"/>
          </w:tcPr>
          <w:p w:rsidR="004E0B43" w:rsidRPr="002C224A" w:rsidRDefault="004E0B43" w:rsidP="00BB7171">
            <w:pPr>
              <w:jc w:val="right"/>
              <w:rPr>
                <w:color w:val="000000"/>
                <w:sz w:val="18"/>
                <w:szCs w:val="18"/>
              </w:rPr>
            </w:pPr>
            <w:r w:rsidRPr="002C224A">
              <w:rPr>
                <w:color w:val="000000"/>
                <w:sz w:val="18"/>
                <w:szCs w:val="18"/>
              </w:rPr>
              <w:t>2,00 %</w:t>
            </w:r>
          </w:p>
        </w:tc>
      </w:tr>
      <w:tr w:rsidR="004E0B43" w:rsidRPr="002C224A" w:rsidTr="00BB7171">
        <w:trPr>
          <w:trHeight w:val="240"/>
          <w:jc w:val="center"/>
        </w:trPr>
        <w:tc>
          <w:tcPr>
            <w:tcW w:w="4252" w:type="dxa"/>
            <w:noWrap/>
            <w:vAlign w:val="center"/>
          </w:tcPr>
          <w:p w:rsidR="004E0B43" w:rsidRPr="002C224A" w:rsidRDefault="004E0B43" w:rsidP="00BB7171">
            <w:pPr>
              <w:jc w:val="left"/>
              <w:rPr>
                <w:color w:val="000000"/>
                <w:sz w:val="18"/>
                <w:szCs w:val="18"/>
                <w:lang w:val="en-US"/>
              </w:rPr>
            </w:pPr>
            <w:r w:rsidRPr="002C224A">
              <w:rPr>
                <w:color w:val="000000"/>
                <w:sz w:val="18"/>
                <w:szCs w:val="18"/>
                <w:lang w:val="en-US"/>
              </w:rPr>
              <w:t>Vlastní zdroje žadatelů</w:t>
            </w:r>
          </w:p>
        </w:tc>
        <w:tc>
          <w:tcPr>
            <w:tcW w:w="1417" w:type="dxa"/>
            <w:noWrap/>
            <w:vAlign w:val="center"/>
          </w:tcPr>
          <w:p w:rsidR="004E0B43" w:rsidRPr="002C224A" w:rsidRDefault="004E0B43" w:rsidP="00BB7171">
            <w:pPr>
              <w:jc w:val="right"/>
              <w:rPr>
                <w:color w:val="000000"/>
                <w:sz w:val="18"/>
                <w:szCs w:val="18"/>
                <w:lang w:val="en-US"/>
              </w:rPr>
            </w:pPr>
            <w:r w:rsidRPr="002C224A">
              <w:rPr>
                <w:color w:val="000000"/>
                <w:sz w:val="18"/>
                <w:szCs w:val="18"/>
                <w:lang w:val="en-US"/>
              </w:rPr>
              <w:t>20,00 %</w:t>
            </w:r>
          </w:p>
        </w:tc>
      </w:tr>
      <w:tr w:rsidR="004E0B43" w:rsidRPr="002C224A" w:rsidTr="00BB7171">
        <w:trPr>
          <w:trHeight w:val="240"/>
          <w:jc w:val="center"/>
        </w:trPr>
        <w:tc>
          <w:tcPr>
            <w:tcW w:w="4252" w:type="dxa"/>
            <w:noWrap/>
            <w:vAlign w:val="center"/>
          </w:tcPr>
          <w:p w:rsidR="004E0B43" w:rsidRPr="002C224A" w:rsidRDefault="004E0B43" w:rsidP="00BB7171">
            <w:pPr>
              <w:jc w:val="left"/>
              <w:rPr>
                <w:color w:val="000000"/>
                <w:sz w:val="18"/>
                <w:szCs w:val="18"/>
              </w:rPr>
            </w:pPr>
            <w:r w:rsidRPr="002C224A">
              <w:rPr>
                <w:color w:val="000000"/>
                <w:sz w:val="18"/>
                <w:szCs w:val="18"/>
              </w:rPr>
              <w:t>Míra zapojení spolufinancujícího subjektu</w:t>
            </w:r>
          </w:p>
        </w:tc>
        <w:tc>
          <w:tcPr>
            <w:tcW w:w="1417" w:type="dxa"/>
            <w:noWrap/>
            <w:vAlign w:val="center"/>
          </w:tcPr>
          <w:p w:rsidR="004E0B43" w:rsidRPr="002C224A" w:rsidRDefault="004E0B43" w:rsidP="00BB7171">
            <w:pPr>
              <w:jc w:val="right"/>
              <w:rPr>
                <w:color w:val="000000"/>
                <w:sz w:val="18"/>
                <w:szCs w:val="18"/>
              </w:rPr>
            </w:pPr>
            <w:r w:rsidRPr="002C224A">
              <w:rPr>
                <w:color w:val="000000"/>
                <w:sz w:val="18"/>
                <w:szCs w:val="18"/>
              </w:rPr>
              <w:t>40,00 %</w:t>
            </w:r>
          </w:p>
        </w:tc>
      </w:tr>
      <w:tr w:rsidR="004E0B43" w:rsidRPr="002C224A" w:rsidTr="00BB7171">
        <w:trPr>
          <w:trHeight w:val="240"/>
          <w:jc w:val="center"/>
        </w:trPr>
        <w:tc>
          <w:tcPr>
            <w:tcW w:w="4252" w:type="dxa"/>
            <w:noWrap/>
            <w:vAlign w:val="center"/>
          </w:tcPr>
          <w:p w:rsidR="004E0B43" w:rsidRPr="002C224A" w:rsidRDefault="004E0B43" w:rsidP="00BB7171">
            <w:pPr>
              <w:jc w:val="left"/>
              <w:rPr>
                <w:color w:val="000000"/>
                <w:sz w:val="18"/>
                <w:szCs w:val="18"/>
              </w:rPr>
            </w:pPr>
            <w:r w:rsidRPr="002C224A">
              <w:rPr>
                <w:color w:val="000000"/>
                <w:sz w:val="18"/>
                <w:szCs w:val="18"/>
              </w:rPr>
              <w:t>Splatnost úvěru</w:t>
            </w:r>
          </w:p>
        </w:tc>
        <w:tc>
          <w:tcPr>
            <w:tcW w:w="1417" w:type="dxa"/>
            <w:noWrap/>
            <w:vAlign w:val="center"/>
          </w:tcPr>
          <w:p w:rsidR="004E0B43" w:rsidRPr="002C224A" w:rsidRDefault="004E0B43" w:rsidP="00BB7171">
            <w:pPr>
              <w:jc w:val="right"/>
              <w:rPr>
                <w:color w:val="000000"/>
                <w:sz w:val="18"/>
                <w:szCs w:val="18"/>
              </w:rPr>
            </w:pPr>
            <w:r w:rsidRPr="002C224A">
              <w:rPr>
                <w:color w:val="000000"/>
                <w:sz w:val="18"/>
                <w:szCs w:val="18"/>
              </w:rPr>
              <w:t>8</w:t>
            </w:r>
          </w:p>
        </w:tc>
      </w:tr>
    </w:tbl>
    <w:p w:rsidR="007E113F" w:rsidRPr="002C224A" w:rsidRDefault="007E113F" w:rsidP="00877209">
      <w:pPr>
        <w:pStyle w:val="Titulek"/>
      </w:pPr>
    </w:p>
    <w:p w:rsidR="004E0B43" w:rsidRPr="002C224A" w:rsidRDefault="00877209" w:rsidP="00877209">
      <w:pPr>
        <w:pStyle w:val="Titulek"/>
      </w:pPr>
      <w:r w:rsidRPr="002C224A">
        <w:t>Tabulka 1</w:t>
      </w:r>
      <w:r w:rsidR="004A4860">
        <w:t>16</w:t>
      </w:r>
      <w:r w:rsidRPr="002C224A">
        <w:t xml:space="preserve">: </w:t>
      </w:r>
      <w:r w:rsidR="00BF767F" w:rsidRPr="002C224A">
        <w:t>Výsledky modelu</w:t>
      </w:r>
    </w:p>
    <w:tbl>
      <w:tblPr>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067"/>
        <w:gridCol w:w="1207"/>
        <w:gridCol w:w="1059"/>
      </w:tblGrid>
      <w:tr w:rsidR="00880B94" w:rsidRPr="002C224A" w:rsidTr="008366D3">
        <w:trPr>
          <w:trHeight w:val="240"/>
          <w:jc w:val="center"/>
        </w:trPr>
        <w:tc>
          <w:tcPr>
            <w:tcW w:w="4821" w:type="dxa"/>
            <w:noWrap/>
            <w:vAlign w:val="center"/>
          </w:tcPr>
          <w:p w:rsidR="00880B94" w:rsidRPr="00A50943" w:rsidRDefault="00880B94" w:rsidP="00BB7171">
            <w:pPr>
              <w:jc w:val="left"/>
              <w:rPr>
                <w:color w:val="000000"/>
                <w:sz w:val="18"/>
                <w:szCs w:val="18"/>
              </w:rPr>
            </w:pPr>
          </w:p>
        </w:tc>
        <w:tc>
          <w:tcPr>
            <w:tcW w:w="1134" w:type="dxa"/>
            <w:noWrap/>
            <w:vAlign w:val="center"/>
          </w:tcPr>
          <w:p w:rsidR="00880B94" w:rsidRPr="002C224A" w:rsidRDefault="00880B94" w:rsidP="00BB7171">
            <w:pPr>
              <w:jc w:val="right"/>
              <w:rPr>
                <w:color w:val="000000"/>
                <w:sz w:val="18"/>
                <w:szCs w:val="18"/>
              </w:rPr>
            </w:pPr>
            <w:r w:rsidRPr="002C224A">
              <w:rPr>
                <w:color w:val="000000"/>
                <w:sz w:val="18"/>
                <w:szCs w:val="18"/>
              </w:rPr>
              <w:t>Scénář 1</w:t>
            </w:r>
          </w:p>
        </w:tc>
        <w:tc>
          <w:tcPr>
            <w:tcW w:w="1067" w:type="dxa"/>
          </w:tcPr>
          <w:p w:rsidR="00880B94" w:rsidRPr="002C224A" w:rsidRDefault="00880B94" w:rsidP="00BB7171">
            <w:pPr>
              <w:jc w:val="right"/>
              <w:rPr>
                <w:color w:val="000000"/>
                <w:sz w:val="18"/>
                <w:szCs w:val="18"/>
              </w:rPr>
            </w:pPr>
            <w:r w:rsidRPr="002C224A">
              <w:rPr>
                <w:color w:val="000000"/>
                <w:sz w:val="18"/>
                <w:szCs w:val="18"/>
              </w:rPr>
              <w:t>Scénář 2</w:t>
            </w:r>
          </w:p>
        </w:tc>
        <w:tc>
          <w:tcPr>
            <w:tcW w:w="1207" w:type="dxa"/>
          </w:tcPr>
          <w:p w:rsidR="00880B94" w:rsidRPr="002C224A" w:rsidRDefault="00880B94" w:rsidP="00BB7171">
            <w:pPr>
              <w:jc w:val="right"/>
              <w:rPr>
                <w:color w:val="000000"/>
                <w:sz w:val="18"/>
                <w:szCs w:val="18"/>
              </w:rPr>
            </w:pPr>
            <w:r w:rsidRPr="002C224A">
              <w:rPr>
                <w:color w:val="000000"/>
                <w:sz w:val="18"/>
                <w:szCs w:val="18"/>
              </w:rPr>
              <w:t>Scénář 3</w:t>
            </w:r>
          </w:p>
        </w:tc>
        <w:tc>
          <w:tcPr>
            <w:tcW w:w="1059" w:type="dxa"/>
          </w:tcPr>
          <w:p w:rsidR="00880B94" w:rsidRPr="002C224A" w:rsidRDefault="00880B94" w:rsidP="00BB7171">
            <w:pPr>
              <w:jc w:val="right"/>
              <w:rPr>
                <w:color w:val="000000"/>
                <w:sz w:val="18"/>
                <w:szCs w:val="18"/>
              </w:rPr>
            </w:pPr>
            <w:r>
              <w:rPr>
                <w:color w:val="000000"/>
                <w:sz w:val="18"/>
                <w:szCs w:val="18"/>
              </w:rPr>
              <w:t>Scénář 4</w:t>
            </w:r>
            <w:r w:rsidR="00074EC1">
              <w:rPr>
                <w:rStyle w:val="Znakapoznpodarou"/>
                <w:color w:val="000000"/>
                <w:szCs w:val="18"/>
              </w:rPr>
              <w:footnoteReference w:id="63"/>
            </w:r>
          </w:p>
        </w:tc>
      </w:tr>
      <w:tr w:rsidR="00880B94" w:rsidRPr="002C224A" w:rsidTr="008366D3">
        <w:trPr>
          <w:trHeight w:val="240"/>
          <w:jc w:val="center"/>
        </w:trPr>
        <w:tc>
          <w:tcPr>
            <w:tcW w:w="4821" w:type="dxa"/>
            <w:noWrap/>
            <w:vAlign w:val="center"/>
          </w:tcPr>
          <w:p w:rsidR="00880B94" w:rsidRPr="002C224A" w:rsidRDefault="00880B94" w:rsidP="00BB7171">
            <w:pPr>
              <w:jc w:val="left"/>
              <w:rPr>
                <w:color w:val="000000"/>
                <w:sz w:val="18"/>
                <w:szCs w:val="18"/>
              </w:rPr>
            </w:pPr>
            <w:r w:rsidRPr="002C224A">
              <w:rPr>
                <w:color w:val="000000"/>
                <w:sz w:val="18"/>
                <w:szCs w:val="18"/>
              </w:rPr>
              <w:t>Celkem proinvestováno - milník rok 2018 (mil. Kč)</w:t>
            </w:r>
          </w:p>
        </w:tc>
        <w:tc>
          <w:tcPr>
            <w:tcW w:w="1134" w:type="dxa"/>
            <w:noWrap/>
            <w:vAlign w:val="center"/>
          </w:tcPr>
          <w:p w:rsidR="00880B94" w:rsidRPr="002C224A" w:rsidRDefault="00880B94" w:rsidP="008366D3">
            <w:pPr>
              <w:jc w:val="right"/>
              <w:rPr>
                <w:color w:val="000000"/>
                <w:sz w:val="18"/>
                <w:szCs w:val="18"/>
              </w:rPr>
            </w:pPr>
            <w:r w:rsidRPr="002C224A">
              <w:rPr>
                <w:sz w:val="18"/>
                <w:szCs w:val="18"/>
              </w:rPr>
              <w:t xml:space="preserve">1 </w:t>
            </w:r>
            <w:r>
              <w:rPr>
                <w:sz w:val="18"/>
                <w:szCs w:val="18"/>
              </w:rPr>
              <w:t>031</w:t>
            </w:r>
          </w:p>
        </w:tc>
        <w:tc>
          <w:tcPr>
            <w:tcW w:w="1067" w:type="dxa"/>
            <w:vAlign w:val="center"/>
          </w:tcPr>
          <w:p w:rsidR="00880B94" w:rsidRPr="002C224A" w:rsidRDefault="00880B94" w:rsidP="008366D3">
            <w:pPr>
              <w:jc w:val="right"/>
              <w:rPr>
                <w:color w:val="000000"/>
                <w:sz w:val="18"/>
                <w:szCs w:val="18"/>
              </w:rPr>
            </w:pPr>
            <w:r>
              <w:rPr>
                <w:sz w:val="18"/>
                <w:szCs w:val="18"/>
              </w:rPr>
              <w:t>1 031</w:t>
            </w:r>
          </w:p>
        </w:tc>
        <w:tc>
          <w:tcPr>
            <w:tcW w:w="1207" w:type="dxa"/>
            <w:vAlign w:val="center"/>
          </w:tcPr>
          <w:p w:rsidR="00880B94" w:rsidRPr="002C224A" w:rsidRDefault="00880B94" w:rsidP="008366D3">
            <w:pPr>
              <w:jc w:val="right"/>
              <w:rPr>
                <w:color w:val="000000"/>
                <w:sz w:val="18"/>
                <w:szCs w:val="18"/>
              </w:rPr>
            </w:pPr>
            <w:r>
              <w:rPr>
                <w:sz w:val="18"/>
                <w:szCs w:val="18"/>
              </w:rPr>
              <w:t>980</w:t>
            </w:r>
          </w:p>
        </w:tc>
        <w:tc>
          <w:tcPr>
            <w:tcW w:w="1059" w:type="dxa"/>
            <w:vAlign w:val="center"/>
          </w:tcPr>
          <w:p w:rsidR="00880B94" w:rsidRDefault="00880B94" w:rsidP="008366D3">
            <w:pPr>
              <w:jc w:val="right"/>
              <w:rPr>
                <w:sz w:val="18"/>
                <w:szCs w:val="18"/>
              </w:rPr>
            </w:pPr>
            <w:r>
              <w:rPr>
                <w:sz w:val="18"/>
                <w:szCs w:val="18"/>
              </w:rPr>
              <w:t>980</w:t>
            </w:r>
          </w:p>
        </w:tc>
      </w:tr>
      <w:tr w:rsidR="00880B94" w:rsidRPr="002C224A" w:rsidTr="008366D3">
        <w:trPr>
          <w:trHeight w:val="240"/>
          <w:jc w:val="center"/>
        </w:trPr>
        <w:tc>
          <w:tcPr>
            <w:tcW w:w="4821" w:type="dxa"/>
            <w:noWrap/>
            <w:vAlign w:val="center"/>
          </w:tcPr>
          <w:p w:rsidR="00880B94" w:rsidRPr="002C224A" w:rsidRDefault="00880B94" w:rsidP="00BB7171">
            <w:pPr>
              <w:jc w:val="left"/>
              <w:rPr>
                <w:b/>
                <w:color w:val="000000"/>
                <w:sz w:val="18"/>
                <w:szCs w:val="18"/>
              </w:rPr>
            </w:pPr>
            <w:r w:rsidRPr="002C224A">
              <w:rPr>
                <w:b/>
                <w:color w:val="000000"/>
                <w:sz w:val="18"/>
                <w:szCs w:val="18"/>
              </w:rPr>
              <w:t>Celkem proinvestováno - konec období rok 2023 (mil. Kč)</w:t>
            </w:r>
          </w:p>
        </w:tc>
        <w:tc>
          <w:tcPr>
            <w:tcW w:w="1134" w:type="dxa"/>
            <w:noWrap/>
            <w:vAlign w:val="center"/>
          </w:tcPr>
          <w:p w:rsidR="00880B94" w:rsidRPr="002C224A" w:rsidRDefault="00880B94" w:rsidP="008366D3">
            <w:pPr>
              <w:jc w:val="right"/>
              <w:rPr>
                <w:b/>
                <w:color w:val="000000"/>
                <w:sz w:val="18"/>
                <w:szCs w:val="18"/>
              </w:rPr>
            </w:pPr>
            <w:r>
              <w:rPr>
                <w:b/>
                <w:sz w:val="18"/>
                <w:szCs w:val="18"/>
              </w:rPr>
              <w:t>2 384</w:t>
            </w:r>
          </w:p>
        </w:tc>
        <w:tc>
          <w:tcPr>
            <w:tcW w:w="1067" w:type="dxa"/>
            <w:vAlign w:val="center"/>
          </w:tcPr>
          <w:p w:rsidR="00880B94" w:rsidRPr="002C224A" w:rsidRDefault="00880B94" w:rsidP="008366D3">
            <w:pPr>
              <w:jc w:val="right"/>
              <w:rPr>
                <w:b/>
                <w:color w:val="000000"/>
                <w:sz w:val="18"/>
                <w:szCs w:val="18"/>
              </w:rPr>
            </w:pPr>
            <w:r w:rsidRPr="002C224A">
              <w:rPr>
                <w:b/>
                <w:sz w:val="18"/>
                <w:szCs w:val="18"/>
              </w:rPr>
              <w:t xml:space="preserve">2 </w:t>
            </w:r>
            <w:r>
              <w:rPr>
                <w:b/>
                <w:sz w:val="18"/>
                <w:szCs w:val="18"/>
              </w:rPr>
              <w:t>256</w:t>
            </w:r>
          </w:p>
        </w:tc>
        <w:tc>
          <w:tcPr>
            <w:tcW w:w="1207" w:type="dxa"/>
            <w:vAlign w:val="center"/>
          </w:tcPr>
          <w:p w:rsidR="00880B94" w:rsidRPr="002C224A" w:rsidRDefault="00880B94" w:rsidP="008366D3">
            <w:pPr>
              <w:jc w:val="right"/>
              <w:rPr>
                <w:b/>
                <w:color w:val="000000"/>
                <w:sz w:val="18"/>
                <w:szCs w:val="18"/>
              </w:rPr>
            </w:pPr>
            <w:r w:rsidRPr="002C224A">
              <w:rPr>
                <w:b/>
                <w:sz w:val="18"/>
                <w:szCs w:val="18"/>
              </w:rPr>
              <w:t xml:space="preserve">2 </w:t>
            </w:r>
            <w:r>
              <w:rPr>
                <w:b/>
                <w:sz w:val="18"/>
                <w:szCs w:val="18"/>
              </w:rPr>
              <w:t>197</w:t>
            </w:r>
          </w:p>
        </w:tc>
        <w:tc>
          <w:tcPr>
            <w:tcW w:w="1059" w:type="dxa"/>
            <w:vAlign w:val="center"/>
          </w:tcPr>
          <w:p w:rsidR="00880B94" w:rsidRPr="002C224A" w:rsidRDefault="00880B94" w:rsidP="008366D3">
            <w:pPr>
              <w:jc w:val="right"/>
              <w:rPr>
                <w:b/>
                <w:sz w:val="18"/>
                <w:szCs w:val="18"/>
              </w:rPr>
            </w:pPr>
            <w:r>
              <w:rPr>
                <w:b/>
                <w:sz w:val="18"/>
                <w:szCs w:val="18"/>
              </w:rPr>
              <w:t>1279</w:t>
            </w:r>
          </w:p>
        </w:tc>
      </w:tr>
      <w:tr w:rsidR="00880B94" w:rsidRPr="002C224A" w:rsidTr="008366D3">
        <w:trPr>
          <w:trHeight w:val="240"/>
          <w:jc w:val="center"/>
        </w:trPr>
        <w:tc>
          <w:tcPr>
            <w:tcW w:w="4821" w:type="dxa"/>
            <w:noWrap/>
            <w:vAlign w:val="center"/>
          </w:tcPr>
          <w:p w:rsidR="00880B94" w:rsidRPr="002C224A" w:rsidRDefault="00880B94" w:rsidP="00BB7171">
            <w:pPr>
              <w:jc w:val="left"/>
              <w:rPr>
                <w:b/>
                <w:color w:val="000000"/>
                <w:sz w:val="18"/>
                <w:szCs w:val="18"/>
              </w:rPr>
            </w:pPr>
            <w:r w:rsidRPr="002C224A">
              <w:rPr>
                <w:b/>
                <w:color w:val="000000"/>
                <w:sz w:val="18"/>
                <w:szCs w:val="18"/>
              </w:rPr>
              <w:t>Přidaná hodnota</w:t>
            </w:r>
          </w:p>
        </w:tc>
        <w:tc>
          <w:tcPr>
            <w:tcW w:w="1134" w:type="dxa"/>
            <w:noWrap/>
            <w:vAlign w:val="center"/>
          </w:tcPr>
          <w:p w:rsidR="00880B94" w:rsidRPr="002C224A" w:rsidRDefault="00880B94" w:rsidP="008366D3">
            <w:pPr>
              <w:jc w:val="right"/>
              <w:rPr>
                <w:b/>
                <w:color w:val="000000"/>
                <w:sz w:val="18"/>
                <w:szCs w:val="18"/>
              </w:rPr>
            </w:pPr>
            <w:r w:rsidRPr="002C224A">
              <w:rPr>
                <w:b/>
                <w:sz w:val="18"/>
                <w:szCs w:val="18"/>
              </w:rPr>
              <w:t>4,33</w:t>
            </w:r>
          </w:p>
        </w:tc>
        <w:tc>
          <w:tcPr>
            <w:tcW w:w="1067" w:type="dxa"/>
            <w:vAlign w:val="center"/>
          </w:tcPr>
          <w:p w:rsidR="00880B94" w:rsidRPr="002C224A" w:rsidRDefault="00880B94" w:rsidP="008366D3">
            <w:pPr>
              <w:jc w:val="right"/>
              <w:rPr>
                <w:b/>
                <w:color w:val="000000"/>
                <w:sz w:val="18"/>
                <w:szCs w:val="18"/>
              </w:rPr>
            </w:pPr>
            <w:r w:rsidRPr="002C224A">
              <w:rPr>
                <w:b/>
                <w:sz w:val="18"/>
                <w:szCs w:val="18"/>
              </w:rPr>
              <w:t>4,10</w:t>
            </w:r>
          </w:p>
        </w:tc>
        <w:tc>
          <w:tcPr>
            <w:tcW w:w="1207" w:type="dxa"/>
            <w:vAlign w:val="center"/>
          </w:tcPr>
          <w:p w:rsidR="00880B94" w:rsidRPr="002C224A" w:rsidRDefault="00880B94" w:rsidP="008366D3">
            <w:pPr>
              <w:jc w:val="right"/>
              <w:rPr>
                <w:b/>
                <w:color w:val="000000"/>
                <w:sz w:val="18"/>
                <w:szCs w:val="18"/>
              </w:rPr>
            </w:pPr>
            <w:r w:rsidRPr="002C224A">
              <w:rPr>
                <w:b/>
                <w:color w:val="000000"/>
                <w:sz w:val="18"/>
                <w:szCs w:val="18"/>
              </w:rPr>
              <w:t>4,44</w:t>
            </w:r>
          </w:p>
        </w:tc>
        <w:tc>
          <w:tcPr>
            <w:tcW w:w="1059" w:type="dxa"/>
            <w:vAlign w:val="center"/>
          </w:tcPr>
          <w:p w:rsidR="00880B94" w:rsidRPr="002C224A" w:rsidRDefault="00880B94" w:rsidP="008366D3">
            <w:pPr>
              <w:jc w:val="right"/>
              <w:rPr>
                <w:b/>
                <w:color w:val="000000"/>
                <w:sz w:val="18"/>
                <w:szCs w:val="18"/>
              </w:rPr>
            </w:pPr>
            <w:r>
              <w:rPr>
                <w:b/>
                <w:color w:val="000000"/>
                <w:sz w:val="18"/>
                <w:szCs w:val="18"/>
              </w:rPr>
              <w:t>2,58</w:t>
            </w:r>
          </w:p>
        </w:tc>
      </w:tr>
      <w:tr w:rsidR="00880B94" w:rsidRPr="002C224A" w:rsidTr="008366D3">
        <w:trPr>
          <w:trHeight w:val="240"/>
          <w:jc w:val="center"/>
        </w:trPr>
        <w:tc>
          <w:tcPr>
            <w:tcW w:w="4821" w:type="dxa"/>
            <w:noWrap/>
            <w:vAlign w:val="center"/>
          </w:tcPr>
          <w:p w:rsidR="00880B94" w:rsidRPr="002C224A" w:rsidRDefault="00880B94" w:rsidP="00BB7171">
            <w:pPr>
              <w:jc w:val="left"/>
              <w:rPr>
                <w:b/>
                <w:color w:val="000000"/>
                <w:sz w:val="18"/>
                <w:szCs w:val="18"/>
              </w:rPr>
            </w:pPr>
            <w:r w:rsidRPr="002C224A">
              <w:rPr>
                <w:b/>
                <w:color w:val="000000"/>
                <w:sz w:val="18"/>
                <w:szCs w:val="18"/>
              </w:rPr>
              <w:t>Pákový efekt</w:t>
            </w:r>
          </w:p>
        </w:tc>
        <w:tc>
          <w:tcPr>
            <w:tcW w:w="1134" w:type="dxa"/>
            <w:noWrap/>
            <w:vAlign w:val="center"/>
          </w:tcPr>
          <w:p w:rsidR="00880B94" w:rsidRPr="002C224A" w:rsidRDefault="00880B94" w:rsidP="008366D3">
            <w:pPr>
              <w:jc w:val="right"/>
              <w:rPr>
                <w:b/>
                <w:color w:val="000000"/>
                <w:sz w:val="18"/>
                <w:szCs w:val="18"/>
              </w:rPr>
            </w:pPr>
            <w:r w:rsidRPr="002C224A">
              <w:rPr>
                <w:b/>
                <w:sz w:val="18"/>
                <w:szCs w:val="18"/>
              </w:rPr>
              <w:t>2,00</w:t>
            </w:r>
          </w:p>
        </w:tc>
        <w:tc>
          <w:tcPr>
            <w:tcW w:w="1067" w:type="dxa"/>
            <w:vAlign w:val="center"/>
          </w:tcPr>
          <w:p w:rsidR="00880B94" w:rsidRPr="002C224A" w:rsidRDefault="00880B94" w:rsidP="008366D3">
            <w:pPr>
              <w:jc w:val="right"/>
              <w:rPr>
                <w:b/>
                <w:color w:val="000000"/>
                <w:sz w:val="18"/>
                <w:szCs w:val="18"/>
              </w:rPr>
            </w:pPr>
            <w:r w:rsidRPr="002C224A">
              <w:rPr>
                <w:b/>
                <w:sz w:val="18"/>
                <w:szCs w:val="18"/>
              </w:rPr>
              <w:t>2,00</w:t>
            </w:r>
          </w:p>
        </w:tc>
        <w:tc>
          <w:tcPr>
            <w:tcW w:w="1207" w:type="dxa"/>
            <w:vAlign w:val="center"/>
          </w:tcPr>
          <w:p w:rsidR="00880B94" w:rsidRPr="002C224A" w:rsidRDefault="00880B94" w:rsidP="008366D3">
            <w:pPr>
              <w:jc w:val="right"/>
              <w:rPr>
                <w:b/>
                <w:color w:val="000000"/>
                <w:sz w:val="18"/>
                <w:szCs w:val="18"/>
              </w:rPr>
            </w:pPr>
            <w:r w:rsidRPr="002C224A">
              <w:rPr>
                <w:b/>
                <w:color w:val="000000"/>
                <w:sz w:val="18"/>
                <w:szCs w:val="18"/>
              </w:rPr>
              <w:t>2,00</w:t>
            </w:r>
          </w:p>
        </w:tc>
        <w:tc>
          <w:tcPr>
            <w:tcW w:w="1059" w:type="dxa"/>
            <w:vAlign w:val="center"/>
          </w:tcPr>
          <w:p w:rsidR="00880B94" w:rsidRPr="002C224A" w:rsidRDefault="00880B94" w:rsidP="008366D3">
            <w:pPr>
              <w:jc w:val="right"/>
              <w:rPr>
                <w:b/>
                <w:color w:val="000000"/>
                <w:sz w:val="18"/>
                <w:szCs w:val="18"/>
              </w:rPr>
            </w:pPr>
            <w:r>
              <w:rPr>
                <w:b/>
                <w:color w:val="000000"/>
                <w:sz w:val="18"/>
                <w:szCs w:val="18"/>
              </w:rPr>
              <w:t>2,00</w:t>
            </w:r>
          </w:p>
        </w:tc>
      </w:tr>
      <w:tr w:rsidR="00880B94" w:rsidRPr="002C224A" w:rsidTr="008366D3">
        <w:trPr>
          <w:trHeight w:val="240"/>
          <w:jc w:val="center"/>
        </w:trPr>
        <w:tc>
          <w:tcPr>
            <w:tcW w:w="4821" w:type="dxa"/>
            <w:noWrap/>
            <w:vAlign w:val="center"/>
          </w:tcPr>
          <w:p w:rsidR="00880B94" w:rsidRPr="002C224A" w:rsidRDefault="00880B94" w:rsidP="00BB7171">
            <w:pPr>
              <w:jc w:val="left"/>
              <w:rPr>
                <w:color w:val="000000"/>
                <w:sz w:val="18"/>
                <w:szCs w:val="18"/>
              </w:rPr>
            </w:pPr>
            <w:r w:rsidRPr="002C224A">
              <w:rPr>
                <w:color w:val="000000"/>
                <w:sz w:val="18"/>
                <w:szCs w:val="18"/>
              </w:rPr>
              <w:t>Celková výše vyplacených management fee (prostá – mil. Kč)</w:t>
            </w:r>
          </w:p>
        </w:tc>
        <w:tc>
          <w:tcPr>
            <w:tcW w:w="1134" w:type="dxa"/>
            <w:noWrap/>
            <w:vAlign w:val="center"/>
          </w:tcPr>
          <w:p w:rsidR="00880B94" w:rsidRPr="002C224A" w:rsidDel="0013658D" w:rsidRDefault="00880B94" w:rsidP="008366D3">
            <w:pPr>
              <w:jc w:val="right"/>
              <w:rPr>
                <w:color w:val="000000"/>
                <w:sz w:val="18"/>
                <w:szCs w:val="18"/>
              </w:rPr>
            </w:pPr>
            <w:r>
              <w:rPr>
                <w:color w:val="000000"/>
                <w:sz w:val="18"/>
                <w:szCs w:val="18"/>
              </w:rPr>
              <w:t>32</w:t>
            </w:r>
          </w:p>
        </w:tc>
        <w:tc>
          <w:tcPr>
            <w:tcW w:w="1067" w:type="dxa"/>
            <w:vAlign w:val="center"/>
          </w:tcPr>
          <w:p w:rsidR="00880B94" w:rsidRPr="002C224A" w:rsidRDefault="00880B94" w:rsidP="008366D3">
            <w:pPr>
              <w:jc w:val="right"/>
              <w:rPr>
                <w:color w:val="000000"/>
                <w:sz w:val="18"/>
                <w:szCs w:val="18"/>
              </w:rPr>
            </w:pPr>
            <w:r>
              <w:rPr>
                <w:color w:val="000000"/>
                <w:sz w:val="18"/>
                <w:szCs w:val="18"/>
              </w:rPr>
              <w:t>31</w:t>
            </w:r>
          </w:p>
        </w:tc>
        <w:tc>
          <w:tcPr>
            <w:tcW w:w="1207" w:type="dxa"/>
            <w:vAlign w:val="center"/>
          </w:tcPr>
          <w:p w:rsidR="00880B94" w:rsidRPr="002C224A" w:rsidRDefault="00880B94" w:rsidP="008366D3">
            <w:pPr>
              <w:jc w:val="right"/>
              <w:rPr>
                <w:color w:val="000000"/>
                <w:sz w:val="18"/>
                <w:szCs w:val="18"/>
              </w:rPr>
            </w:pPr>
            <w:r w:rsidRPr="002C224A">
              <w:rPr>
                <w:color w:val="000000"/>
                <w:sz w:val="18"/>
                <w:szCs w:val="18"/>
              </w:rPr>
              <w:t>3</w:t>
            </w:r>
            <w:r>
              <w:rPr>
                <w:color w:val="000000"/>
                <w:sz w:val="18"/>
                <w:szCs w:val="18"/>
              </w:rPr>
              <w:t>1</w:t>
            </w:r>
          </w:p>
        </w:tc>
        <w:tc>
          <w:tcPr>
            <w:tcW w:w="1059" w:type="dxa"/>
            <w:vAlign w:val="center"/>
          </w:tcPr>
          <w:p w:rsidR="00880B94" w:rsidRPr="002C224A" w:rsidRDefault="00880B94" w:rsidP="008366D3">
            <w:pPr>
              <w:jc w:val="right"/>
              <w:rPr>
                <w:color w:val="000000"/>
                <w:sz w:val="18"/>
                <w:szCs w:val="18"/>
              </w:rPr>
            </w:pPr>
            <w:r>
              <w:rPr>
                <w:color w:val="000000"/>
                <w:sz w:val="18"/>
                <w:szCs w:val="18"/>
              </w:rPr>
              <w:t>27</w:t>
            </w:r>
          </w:p>
        </w:tc>
      </w:tr>
      <w:tr w:rsidR="00880B94" w:rsidRPr="002C224A" w:rsidTr="008366D3">
        <w:trPr>
          <w:trHeight w:val="240"/>
          <w:jc w:val="center"/>
        </w:trPr>
        <w:tc>
          <w:tcPr>
            <w:tcW w:w="4821" w:type="dxa"/>
            <w:noWrap/>
            <w:vAlign w:val="center"/>
          </w:tcPr>
          <w:p w:rsidR="00880B94" w:rsidRPr="002C224A" w:rsidRDefault="00880B94" w:rsidP="00BB7171">
            <w:pPr>
              <w:jc w:val="left"/>
              <w:rPr>
                <w:color w:val="000000"/>
                <w:sz w:val="18"/>
                <w:szCs w:val="18"/>
              </w:rPr>
            </w:pPr>
            <w:r w:rsidRPr="002C224A">
              <w:rPr>
                <w:color w:val="000000"/>
                <w:sz w:val="18"/>
                <w:szCs w:val="18"/>
              </w:rPr>
              <w:t>Podíl vyplacených správních poplatků na alokaci fondu</w:t>
            </w:r>
            <w:r w:rsidR="004B1124">
              <w:rPr>
                <w:color w:val="000000"/>
                <w:sz w:val="18"/>
                <w:szCs w:val="18"/>
              </w:rPr>
              <w:t xml:space="preserve"> (%)</w:t>
            </w:r>
          </w:p>
        </w:tc>
        <w:tc>
          <w:tcPr>
            <w:tcW w:w="1134" w:type="dxa"/>
            <w:noWrap/>
            <w:vAlign w:val="center"/>
          </w:tcPr>
          <w:p w:rsidR="00880B94" w:rsidRPr="002C224A" w:rsidDel="0013658D" w:rsidRDefault="00880B94" w:rsidP="008366D3">
            <w:pPr>
              <w:jc w:val="right"/>
              <w:rPr>
                <w:color w:val="000000"/>
                <w:sz w:val="18"/>
                <w:szCs w:val="18"/>
              </w:rPr>
            </w:pPr>
            <w:r w:rsidRPr="002C224A">
              <w:rPr>
                <w:color w:val="000000"/>
                <w:sz w:val="18"/>
                <w:szCs w:val="18"/>
              </w:rPr>
              <w:t>5,</w:t>
            </w:r>
            <w:r>
              <w:rPr>
                <w:color w:val="000000"/>
                <w:sz w:val="18"/>
                <w:szCs w:val="18"/>
              </w:rPr>
              <w:t>7</w:t>
            </w:r>
          </w:p>
        </w:tc>
        <w:tc>
          <w:tcPr>
            <w:tcW w:w="1067" w:type="dxa"/>
            <w:vAlign w:val="center"/>
          </w:tcPr>
          <w:p w:rsidR="00880B94" w:rsidRPr="002C224A" w:rsidRDefault="00880B94" w:rsidP="008366D3">
            <w:pPr>
              <w:jc w:val="right"/>
              <w:rPr>
                <w:color w:val="000000"/>
                <w:sz w:val="18"/>
                <w:szCs w:val="18"/>
              </w:rPr>
            </w:pPr>
            <w:r w:rsidRPr="002C224A">
              <w:rPr>
                <w:color w:val="000000"/>
                <w:sz w:val="18"/>
                <w:szCs w:val="18"/>
              </w:rPr>
              <w:t>5,</w:t>
            </w:r>
            <w:r>
              <w:rPr>
                <w:color w:val="000000"/>
                <w:sz w:val="18"/>
                <w:szCs w:val="18"/>
              </w:rPr>
              <w:t>7</w:t>
            </w:r>
          </w:p>
        </w:tc>
        <w:tc>
          <w:tcPr>
            <w:tcW w:w="1207" w:type="dxa"/>
            <w:vAlign w:val="center"/>
          </w:tcPr>
          <w:p w:rsidR="00880B94" w:rsidRPr="002C224A" w:rsidRDefault="00880B94" w:rsidP="008366D3">
            <w:pPr>
              <w:jc w:val="right"/>
              <w:rPr>
                <w:color w:val="000000"/>
                <w:sz w:val="18"/>
                <w:szCs w:val="18"/>
              </w:rPr>
            </w:pPr>
            <w:r w:rsidRPr="002C224A">
              <w:rPr>
                <w:color w:val="000000"/>
                <w:sz w:val="18"/>
                <w:szCs w:val="18"/>
              </w:rPr>
              <w:t>5,6</w:t>
            </w:r>
          </w:p>
        </w:tc>
        <w:tc>
          <w:tcPr>
            <w:tcW w:w="1059" w:type="dxa"/>
            <w:vAlign w:val="center"/>
          </w:tcPr>
          <w:p w:rsidR="00880B94" w:rsidRPr="002C224A" w:rsidRDefault="00880B94" w:rsidP="008366D3">
            <w:pPr>
              <w:jc w:val="right"/>
              <w:rPr>
                <w:color w:val="000000"/>
                <w:sz w:val="18"/>
                <w:szCs w:val="18"/>
              </w:rPr>
            </w:pPr>
            <w:r>
              <w:rPr>
                <w:color w:val="000000"/>
                <w:sz w:val="18"/>
                <w:szCs w:val="18"/>
              </w:rPr>
              <w:t>4,9</w:t>
            </w:r>
          </w:p>
        </w:tc>
      </w:tr>
      <w:tr w:rsidR="00880B94" w:rsidRPr="002C224A" w:rsidTr="008366D3">
        <w:trPr>
          <w:trHeight w:val="240"/>
          <w:jc w:val="center"/>
        </w:trPr>
        <w:tc>
          <w:tcPr>
            <w:tcW w:w="4821" w:type="dxa"/>
            <w:noWrap/>
            <w:vAlign w:val="center"/>
          </w:tcPr>
          <w:p w:rsidR="00880B94" w:rsidRPr="002C224A" w:rsidRDefault="00880B94" w:rsidP="00BB7171">
            <w:pPr>
              <w:jc w:val="left"/>
              <w:rPr>
                <w:color w:val="000000"/>
                <w:sz w:val="18"/>
                <w:szCs w:val="18"/>
              </w:rPr>
            </w:pPr>
            <w:r w:rsidRPr="002C224A">
              <w:rPr>
                <w:color w:val="000000"/>
                <w:sz w:val="18"/>
                <w:szCs w:val="18"/>
              </w:rPr>
              <w:t>Revolvingový efekt – zvýšení disponibilních prostředků OP PIK (mil. Kč)</w:t>
            </w:r>
          </w:p>
        </w:tc>
        <w:tc>
          <w:tcPr>
            <w:tcW w:w="1134" w:type="dxa"/>
            <w:noWrap/>
            <w:vAlign w:val="center"/>
          </w:tcPr>
          <w:p w:rsidR="00880B94" w:rsidRPr="002C224A" w:rsidRDefault="00880B94" w:rsidP="008366D3">
            <w:pPr>
              <w:jc w:val="right"/>
              <w:rPr>
                <w:color w:val="000000"/>
                <w:sz w:val="18"/>
                <w:szCs w:val="18"/>
              </w:rPr>
            </w:pPr>
            <w:r>
              <w:rPr>
                <w:sz w:val="18"/>
                <w:szCs w:val="18"/>
              </w:rPr>
              <w:t>404</w:t>
            </w:r>
          </w:p>
        </w:tc>
        <w:tc>
          <w:tcPr>
            <w:tcW w:w="1067" w:type="dxa"/>
            <w:vAlign w:val="center"/>
          </w:tcPr>
          <w:p w:rsidR="00880B94" w:rsidRPr="002C224A" w:rsidRDefault="00880B94" w:rsidP="008366D3">
            <w:pPr>
              <w:jc w:val="right"/>
              <w:rPr>
                <w:color w:val="000000"/>
                <w:sz w:val="18"/>
                <w:szCs w:val="18"/>
              </w:rPr>
            </w:pPr>
            <w:r>
              <w:rPr>
                <w:sz w:val="18"/>
                <w:szCs w:val="18"/>
              </w:rPr>
              <w:t>352</w:t>
            </w:r>
          </w:p>
        </w:tc>
        <w:tc>
          <w:tcPr>
            <w:tcW w:w="1207" w:type="dxa"/>
            <w:vAlign w:val="center"/>
          </w:tcPr>
          <w:p w:rsidR="00880B94" w:rsidRPr="002C224A" w:rsidRDefault="00880B94" w:rsidP="008366D3">
            <w:pPr>
              <w:jc w:val="right"/>
              <w:rPr>
                <w:color w:val="000000"/>
                <w:sz w:val="18"/>
                <w:szCs w:val="18"/>
              </w:rPr>
            </w:pPr>
            <w:r>
              <w:rPr>
                <w:sz w:val="18"/>
                <w:szCs w:val="18"/>
              </w:rPr>
              <w:t>360</w:t>
            </w:r>
          </w:p>
        </w:tc>
        <w:tc>
          <w:tcPr>
            <w:tcW w:w="1059" w:type="dxa"/>
            <w:vAlign w:val="center"/>
          </w:tcPr>
          <w:p w:rsidR="00880B94" w:rsidRDefault="00880B94" w:rsidP="008366D3">
            <w:pPr>
              <w:jc w:val="right"/>
              <w:rPr>
                <w:sz w:val="18"/>
                <w:szCs w:val="18"/>
              </w:rPr>
            </w:pPr>
            <w:r>
              <w:rPr>
                <w:sz w:val="18"/>
                <w:szCs w:val="18"/>
              </w:rPr>
              <w:t>-</w:t>
            </w:r>
          </w:p>
        </w:tc>
      </w:tr>
      <w:tr w:rsidR="00880B94" w:rsidRPr="002C224A" w:rsidTr="008366D3">
        <w:trPr>
          <w:trHeight w:val="240"/>
          <w:jc w:val="center"/>
        </w:trPr>
        <w:tc>
          <w:tcPr>
            <w:tcW w:w="4821" w:type="dxa"/>
            <w:noWrap/>
            <w:vAlign w:val="center"/>
          </w:tcPr>
          <w:p w:rsidR="00880B94" w:rsidRPr="00A50943" w:rsidRDefault="00880B94" w:rsidP="007E113F">
            <w:pPr>
              <w:jc w:val="left"/>
              <w:rPr>
                <w:b/>
                <w:color w:val="000000"/>
                <w:sz w:val="18"/>
                <w:szCs w:val="18"/>
                <w:lang w:val="en-US"/>
              </w:rPr>
            </w:pPr>
            <w:r w:rsidRPr="002C224A">
              <w:rPr>
                <w:b/>
                <w:color w:val="000000"/>
                <w:sz w:val="18"/>
                <w:szCs w:val="18"/>
                <w:lang w:val="en-US"/>
              </w:rPr>
              <w:t>Podpořené projekty</w:t>
            </w:r>
            <w:r w:rsidRPr="002C224A">
              <w:rPr>
                <w:rStyle w:val="Znakapoznpodarou"/>
                <w:rFonts w:ascii="Calibri" w:hAnsi="Calibri"/>
                <w:b/>
                <w:color w:val="000000"/>
                <w:szCs w:val="18"/>
                <w:lang w:val="en-US"/>
              </w:rPr>
              <w:footnoteReference w:id="64"/>
            </w:r>
          </w:p>
        </w:tc>
        <w:tc>
          <w:tcPr>
            <w:tcW w:w="1134" w:type="dxa"/>
            <w:noWrap/>
            <w:vAlign w:val="center"/>
          </w:tcPr>
          <w:p w:rsidR="00880B94" w:rsidRPr="002C224A" w:rsidRDefault="00880B94" w:rsidP="008366D3">
            <w:pPr>
              <w:jc w:val="right"/>
              <w:rPr>
                <w:b/>
                <w:color w:val="000000"/>
                <w:sz w:val="18"/>
                <w:szCs w:val="18"/>
                <w:lang w:val="en-US"/>
              </w:rPr>
            </w:pPr>
            <w:r>
              <w:rPr>
                <w:b/>
                <w:color w:val="000000"/>
                <w:sz w:val="18"/>
                <w:szCs w:val="18"/>
                <w:lang w:val="en-US"/>
              </w:rPr>
              <w:t>85</w:t>
            </w:r>
          </w:p>
        </w:tc>
        <w:tc>
          <w:tcPr>
            <w:tcW w:w="1067" w:type="dxa"/>
            <w:vAlign w:val="center"/>
          </w:tcPr>
          <w:p w:rsidR="00880B94" w:rsidRPr="002C224A" w:rsidRDefault="00880B94" w:rsidP="008366D3">
            <w:pPr>
              <w:jc w:val="right"/>
              <w:rPr>
                <w:b/>
                <w:color w:val="000000"/>
                <w:sz w:val="18"/>
                <w:szCs w:val="18"/>
                <w:lang w:val="en-US"/>
              </w:rPr>
            </w:pPr>
            <w:r>
              <w:rPr>
                <w:b/>
                <w:color w:val="000000"/>
                <w:sz w:val="18"/>
                <w:szCs w:val="18"/>
                <w:lang w:val="en-US"/>
              </w:rPr>
              <w:t>80</w:t>
            </w:r>
          </w:p>
        </w:tc>
        <w:tc>
          <w:tcPr>
            <w:tcW w:w="1207" w:type="dxa"/>
            <w:vAlign w:val="center"/>
          </w:tcPr>
          <w:p w:rsidR="00880B94" w:rsidRPr="002C224A" w:rsidRDefault="00880B94" w:rsidP="008366D3">
            <w:pPr>
              <w:jc w:val="right"/>
              <w:rPr>
                <w:b/>
                <w:color w:val="000000"/>
                <w:sz w:val="18"/>
                <w:szCs w:val="18"/>
                <w:lang w:val="en-US"/>
              </w:rPr>
            </w:pPr>
            <w:r>
              <w:rPr>
                <w:b/>
                <w:color w:val="000000"/>
                <w:sz w:val="18"/>
                <w:szCs w:val="18"/>
                <w:lang w:val="en-US"/>
              </w:rPr>
              <w:t>78</w:t>
            </w:r>
          </w:p>
        </w:tc>
        <w:tc>
          <w:tcPr>
            <w:tcW w:w="1059" w:type="dxa"/>
            <w:vAlign w:val="center"/>
          </w:tcPr>
          <w:p w:rsidR="00880B94" w:rsidRPr="002C224A" w:rsidDel="00880B94" w:rsidRDefault="00880B94" w:rsidP="008366D3">
            <w:pPr>
              <w:jc w:val="right"/>
              <w:rPr>
                <w:b/>
                <w:color w:val="000000"/>
                <w:sz w:val="18"/>
                <w:szCs w:val="18"/>
                <w:lang w:val="en-US"/>
              </w:rPr>
            </w:pPr>
            <w:r>
              <w:rPr>
                <w:b/>
                <w:color w:val="000000"/>
                <w:sz w:val="18"/>
                <w:szCs w:val="18"/>
                <w:lang w:val="en-US"/>
              </w:rPr>
              <w:t>45</w:t>
            </w:r>
          </w:p>
        </w:tc>
      </w:tr>
    </w:tbl>
    <w:p w:rsidR="004E0B43" w:rsidRPr="002C224A" w:rsidRDefault="004E0B43" w:rsidP="004E0B43">
      <w:pPr>
        <w:rPr>
          <w:noProof/>
        </w:rPr>
      </w:pPr>
    </w:p>
    <w:p w:rsidR="00750309" w:rsidRPr="002C224A" w:rsidRDefault="00750309" w:rsidP="00750309">
      <w:r>
        <w:t xml:space="preserve">V případě nevyužití revolvovaných prostředků v tomto období (Scénář 4) bude v primárním investičním cyklu navrhovanou alokací vyvoláno </w:t>
      </w:r>
      <w:smartTag w:uri="urn:schemas-microsoft-com:office:smarttags" w:element="metricconverter">
        <w:smartTagPr>
          <w:attr w:name="ProductID" w:val="1 279 mil"/>
        </w:smartTagPr>
        <w:r>
          <w:t>1 279 mil</w:t>
        </w:r>
      </w:smartTag>
      <w:r>
        <w:t>. investic s přidanou hodnotou 2,58.</w:t>
      </w:r>
    </w:p>
    <w:p w:rsidR="006D67F1" w:rsidRPr="002C224A" w:rsidRDefault="006D67F1" w:rsidP="00F87888">
      <w:pPr>
        <w:pStyle w:val="CaptionIntroductionparagraph"/>
        <w:rPr>
          <w:rFonts w:ascii="Calibri" w:hAnsi="Calibri"/>
        </w:rPr>
      </w:pPr>
    </w:p>
    <w:p w:rsidR="006D67F1" w:rsidRPr="00A50943" w:rsidRDefault="006D67F1">
      <w:pPr>
        <w:pStyle w:val="Neslovannadpisy"/>
      </w:pPr>
      <w:r w:rsidRPr="00A50943">
        <w:t>Podřízené úvěry</w:t>
      </w:r>
    </w:p>
    <w:p w:rsidR="006D67F1" w:rsidRPr="002C224A" w:rsidRDefault="006D67F1" w:rsidP="00DC12A9">
      <w:r w:rsidRPr="002C224A">
        <w:t xml:space="preserve">Modelová kalkulace je založena na předpokladu, že FN bude realizovat prodeje po třech letech po jejich nákupu. Na základě tohoto předpokladu lze usoudit, že v 10letém horizontu by fond dosáhl více než 1,5 obrátky a celkově realizoval </w:t>
      </w:r>
      <w:smartTag w:uri="urn:schemas-microsoft-com:office:smarttags" w:element="metricconverter">
        <w:smartTagPr>
          <w:attr w:name="ProductID" w:val="100 hektarů"/>
        </w:smartTagPr>
        <w:r w:rsidRPr="002C224A">
          <w:t>100 hektarů</w:t>
        </w:r>
      </w:smartTag>
      <w:r w:rsidRPr="002C224A">
        <w:t xml:space="preserve"> ploch (jednalo by se o hlavní výstupový indikátor). </w:t>
      </w:r>
      <w:r w:rsidRPr="002C224A">
        <w:lastRenderedPageBreak/>
        <w:t>Z pohledu dalších výsledků by bylo možné také predikovat počet vytvořených pracovních míst, v tomto případě až 5000 (při průměrné hustotě 50 prac. míst/hektar).</w:t>
      </w:r>
    </w:p>
    <w:p w:rsidR="006D67F1" w:rsidRPr="002C224A" w:rsidRDefault="006D67F1" w:rsidP="00DC12A9"/>
    <w:p w:rsidR="006D67F1" w:rsidRPr="002C224A" w:rsidRDefault="006D67F1" w:rsidP="00DC12A9">
      <w:r w:rsidRPr="002C224A">
        <w:t>Pro vyčíslení nákladů OP</w:t>
      </w:r>
      <w:r w:rsidR="002D09B7" w:rsidRPr="002C224A">
        <w:t xml:space="preserve"> </w:t>
      </w:r>
      <w:r w:rsidRPr="002C224A">
        <w:t>PIK na jeden m</w:t>
      </w:r>
      <w:r w:rsidRPr="002C224A">
        <w:rPr>
          <w:vertAlign w:val="superscript"/>
        </w:rPr>
        <w:t>2</w:t>
      </w:r>
      <w:r w:rsidRPr="002C224A">
        <w:t xml:space="preserve"> regenerované plochy, potažmo připravené podnikatelské zóny, je v případě tohoto modelu (kdy je zadání definováno jako „červená nula“) nezbytné uvážit čistou současnou hodnotu investice, jež je </w:t>
      </w:r>
      <w:smartTag w:uri="urn:schemas-microsoft-com:office:smarttags" w:element="metricconverter">
        <w:smartTagPr>
          <w:attr w:name="ProductID" w:val="-76,05 mil"/>
        </w:smartTagPr>
        <w:r w:rsidRPr="002C224A">
          <w:t>-76,05 mil</w:t>
        </w:r>
      </w:smartTag>
      <w:r w:rsidRPr="002C224A">
        <w:t>. Kč, měrné náklady tedy představují 76 Kč/m</w:t>
      </w:r>
      <w:r w:rsidRPr="002C224A">
        <w:rPr>
          <w:vertAlign w:val="superscript"/>
        </w:rPr>
        <w:t>2</w:t>
      </w:r>
      <w:r w:rsidRPr="002C224A">
        <w:t>. Jelikož se jedná o revolvingový princip, náklady jsou v ideálním případě představovány pouze poplatkem za řízení a časovou hodnotou vložených finančních prostředků, přičemž kapitál FN může být znovu použit pro stejný či modifikovaný účel.</w:t>
      </w:r>
    </w:p>
    <w:p w:rsidR="006D67F1" w:rsidRPr="002C224A" w:rsidRDefault="006D67F1" w:rsidP="00DC12A9"/>
    <w:p w:rsidR="006D67F1" w:rsidRPr="002C224A" w:rsidRDefault="006D67F1" w:rsidP="00067B6A">
      <w:pPr>
        <w:rPr>
          <w:b/>
        </w:rPr>
      </w:pPr>
      <w:r w:rsidRPr="002C224A">
        <w:rPr>
          <w:b/>
        </w:rPr>
        <w:t>Východiska modelu:</w:t>
      </w:r>
    </w:p>
    <w:p w:rsidR="006D67F1" w:rsidRPr="002C224A" w:rsidRDefault="006D67F1" w:rsidP="00067B6A">
      <w:pPr>
        <w:jc w:val="left"/>
        <w:rPr>
          <w:vertAlign w:val="superscript"/>
        </w:rPr>
      </w:pPr>
      <w:r w:rsidRPr="002C224A">
        <w:t>Výše vkladu do finančního nástroje:</w:t>
      </w:r>
      <w:r w:rsidRPr="002C224A">
        <w:tab/>
      </w:r>
      <w:r w:rsidRPr="002C224A">
        <w:tab/>
      </w:r>
      <w:r w:rsidRPr="002C224A">
        <w:tab/>
      </w:r>
      <w:smartTag w:uri="urn:schemas-microsoft-com:office:smarttags" w:element="metricconverter">
        <w:smartTagPr>
          <w:attr w:name="ProductID" w:val="513 mil"/>
        </w:smartTagPr>
        <w:r w:rsidRPr="002C224A">
          <w:t>513 mil</w:t>
        </w:r>
      </w:smartTag>
      <w:r w:rsidRPr="002C224A">
        <w:t>. Kč</w:t>
      </w:r>
      <w:r w:rsidRPr="002C224A">
        <w:br/>
        <w:t>Investiční horizont:</w:t>
      </w:r>
      <w:r w:rsidRPr="002C224A">
        <w:tab/>
      </w:r>
      <w:r w:rsidRPr="002C224A">
        <w:tab/>
      </w:r>
      <w:r w:rsidRPr="002C224A">
        <w:tab/>
      </w:r>
      <w:r w:rsidRPr="002C224A">
        <w:tab/>
      </w:r>
      <w:r w:rsidRPr="002C224A">
        <w:tab/>
        <w:t>2016 – 2025</w:t>
      </w:r>
      <w:r w:rsidRPr="002C224A">
        <w:br/>
        <w:t>Průměrná cena pořizovaných pozemků:</w:t>
      </w:r>
      <w:r w:rsidRPr="002C224A">
        <w:tab/>
      </w:r>
      <w:r w:rsidRPr="002C224A">
        <w:tab/>
      </w:r>
      <w:r w:rsidRPr="002C224A">
        <w:tab/>
        <w:t>600 Kč/m</w:t>
      </w:r>
      <w:r w:rsidRPr="002C224A">
        <w:rPr>
          <w:vertAlign w:val="superscript"/>
        </w:rPr>
        <w:t>2</w:t>
      </w:r>
      <w:r w:rsidRPr="002C224A">
        <w:br/>
        <w:t>Průměrná cena prodávaných pozemků:</w:t>
      </w:r>
      <w:r w:rsidRPr="002C224A">
        <w:tab/>
      </w:r>
      <w:r w:rsidRPr="002C224A">
        <w:tab/>
      </w:r>
      <w:r w:rsidRPr="002C224A">
        <w:tab/>
        <w:t>1100 Kč/m</w:t>
      </w:r>
      <w:r w:rsidRPr="002C224A">
        <w:rPr>
          <w:vertAlign w:val="superscript"/>
        </w:rPr>
        <w:t>2</w:t>
      </w:r>
      <w:r w:rsidRPr="002C224A">
        <w:br/>
        <w:t>Průměrné investiční náklady:</w:t>
      </w:r>
      <w:r w:rsidRPr="002C224A">
        <w:tab/>
      </w:r>
      <w:r w:rsidRPr="002C224A">
        <w:tab/>
      </w:r>
      <w:r w:rsidRPr="002C224A">
        <w:tab/>
      </w:r>
      <w:r w:rsidRPr="002C224A">
        <w:tab/>
        <w:t>500 Kč/m</w:t>
      </w:r>
      <w:r w:rsidRPr="002C224A">
        <w:rPr>
          <w:vertAlign w:val="superscript"/>
        </w:rPr>
        <w:t>2</w:t>
      </w:r>
    </w:p>
    <w:p w:rsidR="006D67F1" w:rsidRPr="002C224A" w:rsidRDefault="006D67F1" w:rsidP="00067B6A">
      <w:r w:rsidRPr="002C224A">
        <w:t>Diskontní sazba:</w:t>
      </w:r>
      <w:r w:rsidRPr="002C224A">
        <w:tab/>
      </w:r>
      <w:r w:rsidRPr="002C224A">
        <w:tab/>
      </w:r>
      <w:r w:rsidRPr="002C224A">
        <w:tab/>
      </w:r>
      <w:r w:rsidRPr="002C224A">
        <w:tab/>
      </w:r>
      <w:r w:rsidRPr="002C224A">
        <w:tab/>
        <w:t>1,52</w:t>
      </w:r>
    </w:p>
    <w:p w:rsidR="006D67F1" w:rsidRPr="002C224A" w:rsidRDefault="006D67F1" w:rsidP="00067B6A"/>
    <w:p w:rsidR="006D67F1" w:rsidRPr="002C224A" w:rsidRDefault="006D67F1" w:rsidP="00067B6A">
      <w:r w:rsidRPr="002C224A">
        <w:t>Existuje poměrně široké spektrum možností, jak přistoupit k řízení výsledků finančního nástroje. Jednou z možností je stanovit minimální očekávané výsledky ve formě regenerované a následně prodané plochy a zároveň procenta navrácených prostředků. Vzhledem k vysoké míře prediktibility nákladů a výnosů v uvažovaném časovém horizontu lze uvažovat o úspěšnosti až ve výši 90% dosažení cílové hodnoty.</w:t>
      </w:r>
    </w:p>
    <w:p w:rsidR="006D67F1" w:rsidRPr="002C224A" w:rsidRDefault="006D67F1" w:rsidP="00067B6A"/>
    <w:tbl>
      <w:tblPr>
        <w:tblW w:w="37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720"/>
        <w:gridCol w:w="1000"/>
      </w:tblGrid>
      <w:tr w:rsidR="006D67F1" w:rsidRPr="002C224A" w:rsidTr="00841304">
        <w:trPr>
          <w:trHeight w:val="300"/>
        </w:trPr>
        <w:tc>
          <w:tcPr>
            <w:tcW w:w="2720" w:type="dxa"/>
            <w:tcBorders>
              <w:top w:val="single" w:sz="8" w:space="0" w:color="FFFFFF"/>
              <w:bottom w:val="single" w:sz="24" w:space="0" w:color="FFFFFF"/>
              <w:right w:val="single" w:sz="8" w:space="0" w:color="FFFFFF"/>
            </w:tcBorders>
            <w:shd w:val="clear" w:color="auto" w:fill="4F81BD"/>
            <w:noWrap/>
          </w:tcPr>
          <w:p w:rsidR="006D67F1" w:rsidRPr="002C224A" w:rsidRDefault="006D67F1" w:rsidP="00841304">
            <w:pPr>
              <w:jc w:val="left"/>
              <w:rPr>
                <w:b/>
                <w:bCs/>
                <w:color w:val="FFFFFF"/>
                <w:sz w:val="16"/>
                <w:szCs w:val="16"/>
              </w:rPr>
            </w:pPr>
            <w:r w:rsidRPr="002C224A">
              <w:rPr>
                <w:b/>
                <w:bCs/>
                <w:color w:val="FFFFFF"/>
                <w:sz w:val="16"/>
                <w:szCs w:val="16"/>
              </w:rPr>
              <w:t>Modelová varianta FN podřízené úvěry brownfields</w:t>
            </w:r>
            <w:r w:rsidRPr="002C224A">
              <w:rPr>
                <w:b/>
                <w:bCs/>
                <w:color w:val="FFFFFF"/>
                <w:sz w:val="16"/>
                <w:szCs w:val="16"/>
              </w:rPr>
              <w:br/>
              <w:t>(90% prodejní ceny)</w:t>
            </w:r>
          </w:p>
        </w:tc>
        <w:tc>
          <w:tcPr>
            <w:tcW w:w="1000" w:type="dxa"/>
            <w:tcBorders>
              <w:top w:val="single" w:sz="8" w:space="0" w:color="FFFFFF"/>
              <w:left w:val="single" w:sz="8" w:space="0" w:color="FFFFFF"/>
              <w:bottom w:val="single" w:sz="24" w:space="0" w:color="FFFFFF"/>
            </w:tcBorders>
            <w:shd w:val="clear" w:color="auto" w:fill="4F81BD"/>
            <w:noWrap/>
          </w:tcPr>
          <w:p w:rsidR="006D67F1" w:rsidRPr="002C224A" w:rsidRDefault="006D67F1" w:rsidP="00841304">
            <w:pPr>
              <w:jc w:val="center"/>
              <w:rPr>
                <w:b/>
                <w:bCs/>
                <w:color w:val="FF0000"/>
                <w:sz w:val="16"/>
                <w:szCs w:val="16"/>
              </w:rPr>
            </w:pPr>
          </w:p>
        </w:tc>
      </w:tr>
      <w:tr w:rsidR="006D67F1" w:rsidRPr="002C224A" w:rsidTr="00841304">
        <w:trPr>
          <w:trHeight w:val="300"/>
        </w:trPr>
        <w:tc>
          <w:tcPr>
            <w:tcW w:w="2720" w:type="dxa"/>
            <w:tcBorders>
              <w:top w:val="single" w:sz="8" w:space="0" w:color="FFFFFF"/>
              <w:bottom w:val="nil"/>
              <w:right w:val="single" w:sz="24" w:space="0" w:color="FFFFFF"/>
            </w:tcBorders>
            <w:shd w:val="clear" w:color="auto" w:fill="4F81BD"/>
            <w:noWrap/>
          </w:tcPr>
          <w:p w:rsidR="006D67F1" w:rsidRPr="002C224A" w:rsidRDefault="006D67F1" w:rsidP="00841304">
            <w:pPr>
              <w:jc w:val="left"/>
              <w:rPr>
                <w:b/>
                <w:bCs/>
                <w:color w:val="FFFFFF"/>
                <w:sz w:val="16"/>
                <w:szCs w:val="16"/>
              </w:rPr>
            </w:pPr>
            <w:r w:rsidRPr="002C224A">
              <w:rPr>
                <w:bCs/>
                <w:color w:val="FFFFFF"/>
                <w:sz w:val="16"/>
                <w:szCs w:val="16"/>
              </w:rPr>
              <w:t>Počáteční investice</w:t>
            </w:r>
          </w:p>
        </w:tc>
        <w:tc>
          <w:tcPr>
            <w:tcW w:w="1000" w:type="dxa"/>
            <w:tcBorders>
              <w:top w:val="single" w:sz="8" w:space="0" w:color="FFFFFF"/>
              <w:left w:val="single" w:sz="8" w:space="0" w:color="FFFFFF"/>
              <w:bottom w:val="single" w:sz="8" w:space="0" w:color="FFFFFF"/>
            </w:tcBorders>
            <w:shd w:val="clear" w:color="auto" w:fill="A7BFDE"/>
            <w:noWrap/>
          </w:tcPr>
          <w:p w:rsidR="006D67F1" w:rsidRPr="002C224A" w:rsidRDefault="006D67F1" w:rsidP="00841304">
            <w:pPr>
              <w:jc w:val="center"/>
              <w:rPr>
                <w:color w:val="000000"/>
                <w:sz w:val="16"/>
                <w:szCs w:val="16"/>
              </w:rPr>
            </w:pPr>
            <w:smartTag w:uri="urn:schemas-microsoft-com:office:smarttags" w:element="metricconverter">
              <w:smartTagPr>
                <w:attr w:name="ProductID" w:val="513 mil"/>
              </w:smartTagPr>
              <w:r w:rsidRPr="002C224A">
                <w:rPr>
                  <w:color w:val="000000"/>
                  <w:sz w:val="16"/>
                  <w:szCs w:val="16"/>
                </w:rPr>
                <w:t>513 mil</w:t>
              </w:r>
            </w:smartTag>
            <w:r w:rsidRPr="002C224A">
              <w:rPr>
                <w:color w:val="000000"/>
                <w:sz w:val="16"/>
                <w:szCs w:val="16"/>
              </w:rPr>
              <w:t>. Kč</w:t>
            </w:r>
          </w:p>
        </w:tc>
      </w:tr>
      <w:tr w:rsidR="006D67F1" w:rsidRPr="002C224A" w:rsidTr="00841304">
        <w:trPr>
          <w:trHeight w:val="300"/>
        </w:trPr>
        <w:tc>
          <w:tcPr>
            <w:tcW w:w="2720" w:type="dxa"/>
            <w:tcBorders>
              <w:bottom w:val="nil"/>
              <w:right w:val="single" w:sz="24" w:space="0" w:color="FFFFFF"/>
            </w:tcBorders>
            <w:shd w:val="clear" w:color="auto" w:fill="4F81BD"/>
            <w:noWrap/>
          </w:tcPr>
          <w:p w:rsidR="006D67F1" w:rsidRPr="002C224A" w:rsidRDefault="006D67F1" w:rsidP="00841304">
            <w:pPr>
              <w:jc w:val="left"/>
              <w:rPr>
                <w:b/>
                <w:bCs/>
                <w:color w:val="FFFFFF"/>
                <w:sz w:val="16"/>
                <w:szCs w:val="16"/>
              </w:rPr>
            </w:pPr>
            <w:r w:rsidRPr="002C224A">
              <w:rPr>
                <w:bCs/>
                <w:color w:val="FFFFFF"/>
                <w:sz w:val="16"/>
                <w:szCs w:val="16"/>
              </w:rPr>
              <w:t>Plocha regenerovaných pozemků</w:t>
            </w:r>
          </w:p>
        </w:tc>
        <w:tc>
          <w:tcPr>
            <w:tcW w:w="1000" w:type="dxa"/>
            <w:shd w:val="clear" w:color="auto" w:fill="D3DFEE"/>
            <w:noWrap/>
          </w:tcPr>
          <w:p w:rsidR="006D67F1" w:rsidRPr="002C224A" w:rsidRDefault="006D67F1" w:rsidP="00841304">
            <w:pPr>
              <w:jc w:val="center"/>
              <w:rPr>
                <w:color w:val="000000"/>
                <w:sz w:val="16"/>
                <w:szCs w:val="16"/>
              </w:rPr>
            </w:pPr>
            <w:smartTag w:uri="urn:schemas-microsoft-com:office:smarttags" w:element="metricconverter">
              <w:smartTagPr>
                <w:attr w:name="ProductID" w:val="100 ha"/>
              </w:smartTagPr>
              <w:r w:rsidRPr="002C224A">
                <w:rPr>
                  <w:color w:val="000000"/>
                  <w:sz w:val="16"/>
                  <w:szCs w:val="16"/>
                </w:rPr>
                <w:t>100 ha</w:t>
              </w:r>
            </w:smartTag>
          </w:p>
        </w:tc>
      </w:tr>
      <w:tr w:rsidR="006D67F1" w:rsidRPr="002C224A" w:rsidTr="00841304">
        <w:trPr>
          <w:trHeight w:val="300"/>
        </w:trPr>
        <w:tc>
          <w:tcPr>
            <w:tcW w:w="2720" w:type="dxa"/>
            <w:tcBorders>
              <w:top w:val="single" w:sz="8" w:space="0" w:color="FFFFFF"/>
              <w:bottom w:val="nil"/>
              <w:right w:val="single" w:sz="24" w:space="0" w:color="FFFFFF"/>
            </w:tcBorders>
            <w:shd w:val="clear" w:color="auto" w:fill="4F81BD"/>
            <w:noWrap/>
          </w:tcPr>
          <w:p w:rsidR="006D67F1" w:rsidRPr="002C224A" w:rsidRDefault="006D67F1" w:rsidP="00841304">
            <w:pPr>
              <w:jc w:val="left"/>
              <w:rPr>
                <w:b/>
                <w:bCs/>
                <w:color w:val="FFFFFF"/>
                <w:sz w:val="16"/>
                <w:szCs w:val="16"/>
              </w:rPr>
            </w:pPr>
            <w:r w:rsidRPr="002C224A">
              <w:rPr>
                <w:bCs/>
                <w:color w:val="FFFFFF"/>
                <w:sz w:val="16"/>
                <w:szCs w:val="16"/>
              </w:rPr>
              <w:t>Čistá současná hodnota</w:t>
            </w:r>
          </w:p>
        </w:tc>
        <w:tc>
          <w:tcPr>
            <w:tcW w:w="1000" w:type="dxa"/>
            <w:tcBorders>
              <w:top w:val="single" w:sz="8" w:space="0" w:color="FFFFFF"/>
              <w:left w:val="single" w:sz="8" w:space="0" w:color="FFFFFF"/>
              <w:bottom w:val="single" w:sz="8" w:space="0" w:color="FFFFFF"/>
            </w:tcBorders>
            <w:shd w:val="clear" w:color="auto" w:fill="A7BFDE"/>
            <w:noWrap/>
          </w:tcPr>
          <w:p w:rsidR="006D67F1" w:rsidRPr="002C224A" w:rsidRDefault="006D67F1" w:rsidP="00841304">
            <w:pPr>
              <w:jc w:val="center"/>
              <w:rPr>
                <w:color w:val="000000"/>
                <w:sz w:val="16"/>
                <w:szCs w:val="16"/>
              </w:rPr>
            </w:pPr>
            <w:r w:rsidRPr="002C224A">
              <w:rPr>
                <w:color w:val="FF0000"/>
                <w:sz w:val="16"/>
                <w:szCs w:val="16"/>
              </w:rPr>
              <w:t>-173mil. Kč</w:t>
            </w:r>
          </w:p>
        </w:tc>
      </w:tr>
      <w:tr w:rsidR="006D67F1" w:rsidRPr="002C224A" w:rsidTr="00841304">
        <w:trPr>
          <w:trHeight w:val="300"/>
        </w:trPr>
        <w:tc>
          <w:tcPr>
            <w:tcW w:w="2720" w:type="dxa"/>
            <w:tcBorders>
              <w:bottom w:val="nil"/>
              <w:right w:val="single" w:sz="24" w:space="0" w:color="FFFFFF"/>
            </w:tcBorders>
            <w:shd w:val="clear" w:color="auto" w:fill="4F81BD"/>
            <w:noWrap/>
          </w:tcPr>
          <w:p w:rsidR="006D67F1" w:rsidRPr="002C224A" w:rsidRDefault="006D67F1" w:rsidP="00841304">
            <w:pPr>
              <w:jc w:val="left"/>
              <w:rPr>
                <w:b/>
                <w:bCs/>
                <w:color w:val="FFFFFF"/>
                <w:sz w:val="16"/>
                <w:szCs w:val="16"/>
              </w:rPr>
            </w:pPr>
            <w:r w:rsidRPr="002C224A">
              <w:rPr>
                <w:bCs/>
                <w:color w:val="FFFFFF"/>
                <w:sz w:val="16"/>
                <w:szCs w:val="16"/>
              </w:rPr>
              <w:t>IRR</w:t>
            </w:r>
          </w:p>
        </w:tc>
        <w:tc>
          <w:tcPr>
            <w:tcW w:w="1000" w:type="dxa"/>
            <w:shd w:val="clear" w:color="auto" w:fill="D3DFEE"/>
            <w:noWrap/>
          </w:tcPr>
          <w:p w:rsidR="006D67F1" w:rsidRPr="002C224A" w:rsidRDefault="006D67F1" w:rsidP="00841304">
            <w:pPr>
              <w:jc w:val="center"/>
              <w:rPr>
                <w:color w:val="000000"/>
                <w:sz w:val="16"/>
                <w:szCs w:val="16"/>
              </w:rPr>
            </w:pPr>
            <w:r w:rsidRPr="002C224A">
              <w:rPr>
                <w:color w:val="000000"/>
                <w:sz w:val="16"/>
                <w:szCs w:val="16"/>
              </w:rPr>
              <w:t>-5%</w:t>
            </w:r>
          </w:p>
        </w:tc>
      </w:tr>
      <w:tr w:rsidR="006D67F1" w:rsidRPr="002C224A" w:rsidTr="00841304">
        <w:trPr>
          <w:trHeight w:val="300"/>
        </w:trPr>
        <w:tc>
          <w:tcPr>
            <w:tcW w:w="2720" w:type="dxa"/>
            <w:tcBorders>
              <w:top w:val="single" w:sz="8" w:space="0" w:color="FFFFFF"/>
              <w:bottom w:val="nil"/>
              <w:right w:val="single" w:sz="24" w:space="0" w:color="FFFFFF"/>
            </w:tcBorders>
            <w:shd w:val="clear" w:color="auto" w:fill="4F81BD"/>
            <w:noWrap/>
          </w:tcPr>
          <w:p w:rsidR="006D67F1" w:rsidRPr="002C224A" w:rsidRDefault="006D67F1" w:rsidP="00841304">
            <w:pPr>
              <w:jc w:val="left"/>
              <w:rPr>
                <w:b/>
                <w:bCs/>
                <w:color w:val="FFFFFF"/>
                <w:sz w:val="16"/>
                <w:szCs w:val="16"/>
              </w:rPr>
            </w:pPr>
            <w:r w:rsidRPr="002C224A">
              <w:rPr>
                <w:bCs/>
                <w:color w:val="FFFFFF"/>
                <w:sz w:val="16"/>
                <w:szCs w:val="16"/>
              </w:rPr>
              <w:t>náklady OP</w:t>
            </w:r>
            <w:r w:rsidR="002D09B7" w:rsidRPr="002C224A">
              <w:rPr>
                <w:bCs/>
                <w:color w:val="FFFFFF"/>
                <w:sz w:val="16"/>
                <w:szCs w:val="16"/>
              </w:rPr>
              <w:t xml:space="preserve"> </w:t>
            </w:r>
            <w:r w:rsidRPr="002C224A">
              <w:rPr>
                <w:bCs/>
                <w:color w:val="FFFFFF"/>
                <w:sz w:val="16"/>
                <w:szCs w:val="16"/>
              </w:rPr>
              <w:t>PIK/m2</w:t>
            </w:r>
          </w:p>
        </w:tc>
        <w:tc>
          <w:tcPr>
            <w:tcW w:w="1000" w:type="dxa"/>
            <w:tcBorders>
              <w:top w:val="single" w:sz="8" w:space="0" w:color="FFFFFF"/>
              <w:left w:val="single" w:sz="8" w:space="0" w:color="FFFFFF"/>
              <w:bottom w:val="single" w:sz="8" w:space="0" w:color="FFFFFF"/>
            </w:tcBorders>
            <w:shd w:val="clear" w:color="auto" w:fill="A7BFDE"/>
            <w:noWrap/>
          </w:tcPr>
          <w:p w:rsidR="006D67F1" w:rsidRPr="002C224A" w:rsidRDefault="006D67F1" w:rsidP="00841304">
            <w:pPr>
              <w:jc w:val="center"/>
              <w:rPr>
                <w:color w:val="000000"/>
                <w:sz w:val="16"/>
                <w:szCs w:val="16"/>
              </w:rPr>
            </w:pPr>
            <w:r w:rsidRPr="002C224A">
              <w:rPr>
                <w:color w:val="000000"/>
                <w:sz w:val="16"/>
                <w:szCs w:val="16"/>
              </w:rPr>
              <w:t>173 Kč</w:t>
            </w:r>
          </w:p>
        </w:tc>
      </w:tr>
      <w:tr w:rsidR="006D67F1" w:rsidRPr="002C224A" w:rsidTr="00841304">
        <w:trPr>
          <w:trHeight w:val="300"/>
        </w:trPr>
        <w:tc>
          <w:tcPr>
            <w:tcW w:w="2720" w:type="dxa"/>
            <w:tcBorders>
              <w:bottom w:val="single" w:sz="8" w:space="0" w:color="FFFFFF"/>
              <w:right w:val="single" w:sz="24" w:space="0" w:color="FFFFFF"/>
            </w:tcBorders>
            <w:shd w:val="clear" w:color="auto" w:fill="4F81BD"/>
            <w:noWrap/>
          </w:tcPr>
          <w:p w:rsidR="006D67F1" w:rsidRPr="002C224A" w:rsidRDefault="006D67F1" w:rsidP="00841304">
            <w:pPr>
              <w:jc w:val="left"/>
              <w:rPr>
                <w:b/>
                <w:bCs/>
                <w:color w:val="FFFFFF"/>
                <w:sz w:val="16"/>
                <w:szCs w:val="16"/>
              </w:rPr>
            </w:pPr>
            <w:r w:rsidRPr="002C224A">
              <w:rPr>
                <w:bCs/>
                <w:color w:val="FFFFFF"/>
                <w:sz w:val="16"/>
                <w:szCs w:val="16"/>
              </w:rPr>
              <w:t>Výstup z investice</w:t>
            </w:r>
          </w:p>
        </w:tc>
        <w:tc>
          <w:tcPr>
            <w:tcW w:w="1000" w:type="dxa"/>
            <w:tcBorders>
              <w:bottom w:val="single" w:sz="8" w:space="0" w:color="FFFFFF"/>
            </w:tcBorders>
            <w:shd w:val="clear" w:color="auto" w:fill="D3DFEE"/>
            <w:noWrap/>
          </w:tcPr>
          <w:p w:rsidR="006D67F1" w:rsidRPr="002C224A" w:rsidRDefault="006D67F1" w:rsidP="00841304">
            <w:pPr>
              <w:jc w:val="center"/>
              <w:rPr>
                <w:color w:val="000000"/>
                <w:sz w:val="16"/>
                <w:szCs w:val="16"/>
              </w:rPr>
            </w:pPr>
            <w:smartTag w:uri="urn:schemas-microsoft-com:office:smarttags" w:element="metricconverter">
              <w:smartTagPr>
                <w:attr w:name="ProductID" w:val="366 mil"/>
              </w:smartTagPr>
              <w:r w:rsidRPr="002C224A">
                <w:rPr>
                  <w:color w:val="000000"/>
                  <w:sz w:val="16"/>
                  <w:szCs w:val="16"/>
                </w:rPr>
                <w:t>366 mil</w:t>
              </w:r>
            </w:smartTag>
            <w:r w:rsidRPr="002C224A">
              <w:rPr>
                <w:color w:val="000000"/>
                <w:sz w:val="16"/>
                <w:szCs w:val="16"/>
              </w:rPr>
              <w:t>. Kč</w:t>
            </w:r>
          </w:p>
        </w:tc>
      </w:tr>
    </w:tbl>
    <w:p w:rsidR="006D67F1" w:rsidRPr="002C224A" w:rsidRDefault="00877209" w:rsidP="00877209">
      <w:pPr>
        <w:pStyle w:val="Titulek"/>
      </w:pPr>
      <w:r w:rsidRPr="002C224A">
        <w:t>Tabulka 1</w:t>
      </w:r>
      <w:r w:rsidR="004A4860">
        <w:t>17</w:t>
      </w:r>
      <w:r w:rsidRPr="002C224A">
        <w:t>: modelová varianta FN podřízené úvěry brownfields</w:t>
      </w:r>
    </w:p>
    <w:p w:rsidR="006D67F1" w:rsidRPr="002C224A" w:rsidRDefault="006D67F1" w:rsidP="00F87888">
      <w:pPr>
        <w:pStyle w:val="Nadpis4"/>
        <w:rPr>
          <w:rFonts w:ascii="Calibri" w:hAnsi="Calibri"/>
        </w:rPr>
      </w:pPr>
      <w:r w:rsidRPr="002C224A">
        <w:rPr>
          <w:rFonts w:ascii="Calibri" w:hAnsi="Calibri"/>
        </w:rPr>
        <w:t xml:space="preserve">Očekávané výsledky </w:t>
      </w:r>
    </w:p>
    <w:p w:rsidR="006D67F1" w:rsidRPr="00A50943" w:rsidRDefault="006D67F1" w:rsidP="00F87888"/>
    <w:p w:rsidR="00A06533" w:rsidRPr="00360BA1" w:rsidRDefault="00A06533" w:rsidP="00A06533">
      <w:pPr>
        <w:pStyle w:val="Odstavecseseznamem2"/>
        <w:overflowPunct w:val="0"/>
        <w:autoSpaceDE w:val="0"/>
        <w:autoSpaceDN w:val="0"/>
        <w:adjustRightInd w:val="0"/>
        <w:spacing w:after="160"/>
        <w:ind w:left="0"/>
        <w:jc w:val="both"/>
        <w:textAlignment w:val="baseline"/>
      </w:pPr>
      <w:r>
        <w:t>Následující tabulka u</w:t>
      </w:r>
      <w:r w:rsidR="00C02CC0">
        <w:t>dává hlavní indikátory cílů SC 2</w:t>
      </w:r>
      <w:r>
        <w:t>.</w:t>
      </w:r>
      <w:r w:rsidR="00C02CC0">
        <w:t>3</w:t>
      </w:r>
      <w:r>
        <w:t xml:space="preserve"> definované v operačním programu.</w:t>
      </w:r>
    </w:p>
    <w:p w:rsidR="00A06533" w:rsidRDefault="00A06533" w:rsidP="00A06533">
      <w:pPr>
        <w:pStyle w:val="Titulek"/>
        <w:keepNext/>
      </w:pPr>
      <w:r>
        <w:t>Tabulka</w:t>
      </w:r>
      <w:r w:rsidR="004A4860">
        <w:rPr>
          <w:noProof/>
        </w:rPr>
        <w:t xml:space="preserve"> 118</w:t>
      </w:r>
      <w:r>
        <w:t xml:space="preserve">: Ukazatele výsledků SC </w:t>
      </w:r>
      <w:r w:rsidR="00430002">
        <w:t>2</w:t>
      </w:r>
      <w:r>
        <w:t>.</w:t>
      </w:r>
      <w:r w:rsidR="00430002">
        <w:t>3</w:t>
      </w:r>
    </w:p>
    <w:tbl>
      <w:tblPr>
        <w:tblW w:w="9186" w:type="dxa"/>
        <w:tblCellMar>
          <w:left w:w="57" w:type="dxa"/>
          <w:right w:w="57" w:type="dxa"/>
        </w:tblCellMar>
        <w:tblLook w:val="01E0" w:firstRow="1" w:lastRow="1" w:firstColumn="1" w:lastColumn="1" w:noHBand="0" w:noVBand="0"/>
      </w:tblPr>
      <w:tblGrid>
        <w:gridCol w:w="2080"/>
        <w:gridCol w:w="1017"/>
        <w:gridCol w:w="1170"/>
        <w:gridCol w:w="1072"/>
        <w:gridCol w:w="819"/>
        <w:gridCol w:w="890"/>
        <w:gridCol w:w="1176"/>
        <w:gridCol w:w="962"/>
      </w:tblGrid>
      <w:tr w:rsidR="00A06533" w:rsidRPr="00360BA1" w:rsidTr="002C224A">
        <w:trPr>
          <w:trHeight w:hRule="exact" w:val="1010"/>
        </w:trPr>
        <w:tc>
          <w:tcPr>
            <w:tcW w:w="208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Ukazatel</w:t>
            </w:r>
          </w:p>
        </w:tc>
        <w:tc>
          <w:tcPr>
            <w:tcW w:w="101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Měrná jednotka</w:t>
            </w:r>
          </w:p>
        </w:tc>
        <w:tc>
          <w:tcPr>
            <w:tcW w:w="1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Kategorie regionu</w:t>
            </w:r>
          </w:p>
        </w:tc>
        <w:tc>
          <w:tcPr>
            <w:tcW w:w="107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Cílová hodnota (2023)</w:t>
            </w:r>
          </w:p>
        </w:tc>
        <w:tc>
          <w:tcPr>
            <w:tcW w:w="117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Default="00A06533" w:rsidP="00B86390">
            <w:pPr>
              <w:pStyle w:val="Tabulka"/>
              <w:keepNext/>
              <w:keepLines/>
              <w:rPr>
                <w:rFonts w:ascii="Calibri" w:hAnsi="Calibri" w:cs="Calibri"/>
                <w:b/>
              </w:rPr>
            </w:pPr>
            <w:r>
              <w:rPr>
                <w:rFonts w:ascii="Calibri" w:hAnsi="Calibri" w:cs="Calibri"/>
                <w:b/>
              </w:rPr>
              <w:t>Četnost podávání zpráv</w:t>
            </w:r>
          </w:p>
        </w:tc>
      </w:tr>
      <w:tr w:rsidR="00C02CC0" w:rsidRPr="00360BA1" w:rsidTr="002C224A">
        <w:trPr>
          <w:trHeight w:val="510"/>
        </w:trPr>
        <w:tc>
          <w:tcPr>
            <w:tcW w:w="2080" w:type="dxa"/>
            <w:tcBorders>
              <w:top w:val="single" w:sz="4" w:space="0" w:color="000000"/>
              <w:left w:val="single" w:sz="4" w:space="0" w:color="000000"/>
              <w:bottom w:val="single" w:sz="4" w:space="0" w:color="000000"/>
              <w:right w:val="single" w:sz="4" w:space="0" w:color="000000"/>
            </w:tcBorders>
            <w:vAlign w:val="center"/>
          </w:tcPr>
          <w:p w:rsidR="00C02CC0" w:rsidRPr="00C02CC0" w:rsidRDefault="00C02CC0" w:rsidP="00C02CC0">
            <w:pPr>
              <w:pStyle w:val="Tabulka"/>
              <w:rPr>
                <w:rFonts w:ascii="Calibri" w:hAnsi="Calibri" w:cs="Calibri"/>
              </w:rPr>
            </w:pPr>
            <w:r w:rsidRPr="00C02CC0">
              <w:rPr>
                <w:rFonts w:ascii="Calibri" w:hAnsi="Calibri" w:cs="Calibri"/>
              </w:rPr>
              <w:t>Celková</w:t>
            </w:r>
            <w:r>
              <w:rPr>
                <w:rFonts w:ascii="Calibri" w:hAnsi="Calibri" w:cs="Calibri"/>
              </w:rPr>
              <w:t xml:space="preserve"> </w:t>
            </w:r>
            <w:r w:rsidRPr="00C02CC0">
              <w:rPr>
                <w:rFonts w:ascii="Calibri" w:hAnsi="Calibri" w:cs="Calibri"/>
              </w:rPr>
              <w:t>rozloha</w:t>
            </w:r>
          </w:p>
          <w:p w:rsidR="00C02CC0" w:rsidRPr="00C02CC0" w:rsidRDefault="00C02CC0" w:rsidP="00C02CC0">
            <w:pPr>
              <w:pStyle w:val="Tabulka"/>
              <w:rPr>
                <w:rFonts w:ascii="Calibri" w:hAnsi="Calibri" w:cs="Calibri"/>
              </w:rPr>
            </w:pPr>
            <w:r w:rsidRPr="00C02CC0">
              <w:rPr>
                <w:rFonts w:ascii="Calibri" w:hAnsi="Calibri" w:cs="Calibri"/>
              </w:rPr>
              <w:t>regenerovaných</w:t>
            </w:r>
          </w:p>
          <w:p w:rsidR="00C02CC0" w:rsidRPr="00C02CC0" w:rsidRDefault="00C02CC0" w:rsidP="00C02CC0">
            <w:pPr>
              <w:pStyle w:val="Tabulka"/>
              <w:rPr>
                <w:rFonts w:ascii="Calibri" w:hAnsi="Calibri" w:cs="Calibri"/>
              </w:rPr>
            </w:pPr>
            <w:r w:rsidRPr="00C02CC0">
              <w:rPr>
                <w:rFonts w:ascii="Calibri" w:hAnsi="Calibri" w:cs="Calibri"/>
              </w:rPr>
              <w:t>lokalit v</w:t>
            </w:r>
            <w:r>
              <w:rPr>
                <w:rFonts w:ascii="Calibri" w:hAnsi="Calibri" w:cs="Calibri"/>
              </w:rPr>
              <w:t xml:space="preserve"> </w:t>
            </w:r>
            <w:r w:rsidRPr="00C02CC0">
              <w:rPr>
                <w:rFonts w:ascii="Calibri" w:hAnsi="Calibri" w:cs="Calibri"/>
              </w:rPr>
              <w:t>Národní</w:t>
            </w:r>
          </w:p>
          <w:p w:rsidR="00A06533" w:rsidRPr="00360BA1" w:rsidRDefault="00C02CC0" w:rsidP="00A50943">
            <w:pPr>
              <w:pStyle w:val="Tabulka"/>
              <w:rPr>
                <w:rFonts w:ascii="Calibri" w:hAnsi="Calibri" w:cs="Calibri"/>
              </w:rPr>
            </w:pPr>
            <w:r w:rsidRPr="00C02CC0">
              <w:rPr>
                <w:rFonts w:ascii="Calibri" w:hAnsi="Calibri" w:cs="Calibri"/>
              </w:rPr>
              <w:t>databázi</w:t>
            </w:r>
            <w:r>
              <w:rPr>
                <w:rFonts w:ascii="Calibri" w:hAnsi="Calibri" w:cs="Calibri"/>
              </w:rPr>
              <w:t xml:space="preserve"> </w:t>
            </w:r>
            <w:r w:rsidRPr="00C02CC0">
              <w:rPr>
                <w:rFonts w:ascii="Calibri" w:hAnsi="Calibri" w:cs="Calibri"/>
              </w:rPr>
              <w:t>brownfieldů pro</w:t>
            </w:r>
            <w:r>
              <w:rPr>
                <w:rFonts w:ascii="Calibri" w:hAnsi="Calibri" w:cs="Calibri"/>
              </w:rPr>
              <w:t xml:space="preserve"> </w:t>
            </w:r>
            <w:r w:rsidRPr="00C02CC0">
              <w:rPr>
                <w:rFonts w:ascii="Calibri" w:hAnsi="Calibri" w:cs="Calibri"/>
              </w:rPr>
              <w:t>ekonomické</w:t>
            </w:r>
            <w:r>
              <w:rPr>
                <w:rFonts w:ascii="Calibri" w:hAnsi="Calibri" w:cs="Calibri"/>
              </w:rPr>
              <w:t xml:space="preserve"> </w:t>
            </w:r>
            <w:r w:rsidRPr="00C02CC0">
              <w:rPr>
                <w:rFonts w:ascii="Calibri" w:hAnsi="Calibri" w:cs="Calibri"/>
              </w:rPr>
              <w:t>využití MSP</w:t>
            </w:r>
          </w:p>
        </w:tc>
        <w:tc>
          <w:tcPr>
            <w:tcW w:w="1017"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02CC0" w:rsidP="00B86390">
            <w:pPr>
              <w:pStyle w:val="Tabulka"/>
              <w:rPr>
                <w:rFonts w:ascii="Calibri" w:hAnsi="Calibri" w:cs="Calibri"/>
              </w:rPr>
            </w:pPr>
            <w:r>
              <w:rPr>
                <w:rFonts w:ascii="Calibri" w:hAnsi="Calibri" w:cs="Calibri"/>
              </w:rPr>
              <w:t>m</w:t>
            </w:r>
            <w:r w:rsidRPr="002C224A">
              <w:rPr>
                <w:rFonts w:ascii="Calibri" w:hAnsi="Calibri" w:cs="Calibri"/>
                <w:vertAlign w:val="superscript"/>
              </w:rPr>
              <w:t>2</w:t>
            </w:r>
          </w:p>
        </w:tc>
        <w:tc>
          <w:tcPr>
            <w:tcW w:w="117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360BA1">
              <w:rPr>
                <w:rFonts w:ascii="Calibri" w:hAnsi="Calibri" w:cs="Calibri"/>
              </w:rPr>
              <w:t>Méně rozvinuté regiony</w:t>
            </w:r>
          </w:p>
        </w:tc>
        <w:tc>
          <w:tcPr>
            <w:tcW w:w="1072"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02CC0" w:rsidP="00A50943">
            <w:pPr>
              <w:pStyle w:val="Tabulka"/>
              <w:rPr>
                <w:rFonts w:ascii="Calibri" w:hAnsi="Calibri" w:cs="Calibri"/>
              </w:rPr>
            </w:pPr>
            <w:r w:rsidRPr="00C02CC0">
              <w:rPr>
                <w:rFonts w:ascii="Calibri" w:hAnsi="Calibri" w:cs="Calibri"/>
              </w:rPr>
              <w:t>258</w:t>
            </w:r>
            <w:r>
              <w:rPr>
                <w:rFonts w:ascii="Calibri" w:hAnsi="Calibri" w:cs="Calibri"/>
              </w:rPr>
              <w:t> </w:t>
            </w:r>
            <w:r w:rsidRPr="00C02CC0">
              <w:rPr>
                <w:rFonts w:ascii="Calibri" w:hAnsi="Calibri" w:cs="Calibri"/>
              </w:rPr>
              <w:t>756</w:t>
            </w:r>
            <w:r>
              <w:rPr>
                <w:rFonts w:ascii="Calibri" w:hAnsi="Calibri" w:cs="Calibri"/>
              </w:rPr>
              <w:t xml:space="preserve"> </w:t>
            </w:r>
            <w:r w:rsidRPr="00C02CC0">
              <w:rPr>
                <w:rFonts w:ascii="Calibri" w:hAnsi="Calibri" w:cs="Calibri"/>
              </w:rPr>
              <w:t>977</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Pr>
                <w:rFonts w:ascii="Calibri" w:hAnsi="Calibri" w:cs="Calibri"/>
              </w:rPr>
              <w:t>2</w:t>
            </w:r>
            <w:r w:rsidR="00C02CC0">
              <w:rPr>
                <w:rFonts w:ascii="Calibri" w:hAnsi="Calibri" w:cs="Calibri"/>
              </w:rPr>
              <w:t>014</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02CC0" w:rsidP="00A50943">
            <w:pPr>
              <w:pStyle w:val="Tabulka"/>
              <w:rPr>
                <w:rFonts w:ascii="Calibri" w:hAnsi="Calibri" w:cs="Calibri"/>
              </w:rPr>
            </w:pPr>
            <w:r w:rsidRPr="00C02CC0">
              <w:rPr>
                <w:rFonts w:ascii="Calibri" w:hAnsi="Calibri" w:cs="Calibri"/>
              </w:rPr>
              <w:t>259</w:t>
            </w:r>
            <w:r>
              <w:rPr>
                <w:rFonts w:ascii="Calibri" w:hAnsi="Calibri" w:cs="Calibri"/>
              </w:rPr>
              <w:t> </w:t>
            </w:r>
            <w:r w:rsidRPr="00C02CC0">
              <w:rPr>
                <w:rFonts w:ascii="Calibri" w:hAnsi="Calibri" w:cs="Calibri"/>
              </w:rPr>
              <w:t>000</w:t>
            </w:r>
            <w:r>
              <w:rPr>
                <w:rFonts w:ascii="Calibri" w:hAnsi="Calibri" w:cs="Calibri"/>
              </w:rPr>
              <w:t xml:space="preserve"> </w:t>
            </w:r>
            <w:r w:rsidRPr="00C02CC0">
              <w:rPr>
                <w:rFonts w:ascii="Calibri" w:hAnsi="Calibri" w:cs="Calibri"/>
              </w:rPr>
              <w:t>000 –260</w:t>
            </w:r>
            <w:r>
              <w:rPr>
                <w:rFonts w:ascii="Calibri" w:hAnsi="Calibri" w:cs="Calibri"/>
              </w:rPr>
              <w:t xml:space="preserve"> </w:t>
            </w:r>
            <w:r w:rsidRPr="00C02CC0">
              <w:rPr>
                <w:rFonts w:ascii="Calibri" w:hAnsi="Calibri" w:cs="Calibri"/>
              </w:rPr>
              <w:t>500 000</w:t>
            </w:r>
          </w:p>
        </w:tc>
        <w:tc>
          <w:tcPr>
            <w:tcW w:w="1176"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C02CC0" w:rsidP="00B86390">
            <w:pPr>
              <w:pStyle w:val="Tabulka"/>
              <w:rPr>
                <w:rFonts w:ascii="Calibri" w:hAnsi="Calibri" w:cs="Calibri"/>
              </w:rPr>
            </w:pPr>
            <w:r>
              <w:rPr>
                <w:rFonts w:ascii="Calibri" w:hAnsi="Calibri" w:cs="Calibri"/>
              </w:rPr>
              <w:t>CzechInvest</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A06533" w:rsidP="00B86390">
            <w:pPr>
              <w:pStyle w:val="Tabulka"/>
              <w:rPr>
                <w:rFonts w:ascii="Calibri" w:hAnsi="Calibri" w:cs="Calibri"/>
              </w:rPr>
            </w:pPr>
            <w:r>
              <w:rPr>
                <w:rFonts w:ascii="Calibri" w:hAnsi="Calibri" w:cs="Calibri"/>
              </w:rPr>
              <w:t>ročně</w:t>
            </w:r>
          </w:p>
        </w:tc>
      </w:tr>
    </w:tbl>
    <w:p w:rsidR="00A06533" w:rsidRDefault="00A06533" w:rsidP="00A06533">
      <w:pPr>
        <w:pStyle w:val="Odstavecseseznamem2"/>
        <w:overflowPunct w:val="0"/>
        <w:autoSpaceDE w:val="0"/>
        <w:autoSpaceDN w:val="0"/>
        <w:adjustRightInd w:val="0"/>
        <w:spacing w:after="160"/>
        <w:ind w:left="0"/>
        <w:jc w:val="both"/>
        <w:textAlignment w:val="baseline"/>
      </w:pPr>
    </w:p>
    <w:p w:rsidR="00A06533" w:rsidRDefault="00A06533" w:rsidP="00A06533">
      <w:pPr>
        <w:pStyle w:val="Odstavecseseznamem2"/>
        <w:overflowPunct w:val="0"/>
        <w:autoSpaceDE w:val="0"/>
        <w:autoSpaceDN w:val="0"/>
        <w:adjustRightInd w:val="0"/>
        <w:spacing w:after="160"/>
        <w:ind w:left="0"/>
        <w:jc w:val="both"/>
        <w:textAlignment w:val="baseline"/>
      </w:pPr>
      <w:r>
        <w:lastRenderedPageBreak/>
        <w:t>Finanční nástroje by se měly na naplnění těchto cílových hodnot podílet skrze dosažení cílových hodnot následujících ukazatelů, jejichž rámcová kvantifikace byla provedena na základě výše uvedených modelových scénářů.</w:t>
      </w:r>
    </w:p>
    <w:p w:rsidR="00165CE4" w:rsidRPr="002C224A" w:rsidRDefault="00165CE4" w:rsidP="00F87888"/>
    <w:p w:rsidR="008C4D3D" w:rsidRDefault="008C4D3D" w:rsidP="002C224A">
      <w:pPr>
        <w:pStyle w:val="Titulek"/>
        <w:keepNext/>
      </w:pPr>
      <w:r>
        <w:t>Tabulka</w:t>
      </w:r>
      <w:r w:rsidR="004A4860">
        <w:rPr>
          <w:noProof/>
        </w:rPr>
        <w:t xml:space="preserve"> 119</w:t>
      </w:r>
      <w:r>
        <w:t xml:space="preserve">: </w:t>
      </w:r>
    </w:p>
    <w:tbl>
      <w:tblPr>
        <w:tblW w:w="0" w:type="auto"/>
        <w:tblCellMar>
          <w:left w:w="57" w:type="dxa"/>
          <w:right w:w="57" w:type="dxa"/>
        </w:tblCellMar>
        <w:tblLook w:val="01E0" w:firstRow="1" w:lastRow="1" w:firstColumn="1" w:lastColumn="1" w:noHBand="0" w:noVBand="0"/>
      </w:tblPr>
      <w:tblGrid>
        <w:gridCol w:w="4858"/>
        <w:gridCol w:w="1205"/>
        <w:gridCol w:w="1528"/>
        <w:gridCol w:w="1471"/>
      </w:tblGrid>
      <w:tr w:rsidR="00545705" w:rsidRPr="002C224A" w:rsidTr="005B4E91">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545705" w:rsidRPr="002C224A" w:rsidRDefault="00545705" w:rsidP="005B4E91">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545705" w:rsidRPr="002C224A" w:rsidRDefault="00545705" w:rsidP="005B4E91">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545705" w:rsidRPr="002C224A" w:rsidRDefault="00545705" w:rsidP="005B4E91">
            <w:pPr>
              <w:pStyle w:val="Tabulka"/>
              <w:keepNext/>
              <w:keepLines/>
              <w:rPr>
                <w:rFonts w:ascii="Calibri" w:hAnsi="Calibri" w:cs="Calibri"/>
                <w:b/>
              </w:rPr>
            </w:pPr>
            <w:r w:rsidRPr="002C224A">
              <w:rPr>
                <w:rFonts w:ascii="Calibri" w:hAnsi="Calibri"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45705" w:rsidRPr="002C224A" w:rsidRDefault="00545705" w:rsidP="005B4E91">
            <w:pPr>
              <w:pStyle w:val="Tabulka"/>
              <w:keepNext/>
              <w:keepLines/>
              <w:rPr>
                <w:rFonts w:ascii="Calibri" w:hAnsi="Calibri" w:cs="Calibri"/>
                <w:b/>
              </w:rPr>
            </w:pPr>
            <w:r w:rsidRPr="002C224A">
              <w:rPr>
                <w:rFonts w:ascii="Calibri" w:hAnsi="Calibri" w:cs="Calibri"/>
                <w:b/>
              </w:rPr>
              <w:t>Cílová hodnota (2023)</w:t>
            </w:r>
          </w:p>
        </w:tc>
      </w:tr>
      <w:tr w:rsidR="00545705"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545705" w:rsidRPr="002C224A" w:rsidRDefault="00FA323B" w:rsidP="005B4E91">
            <w:pPr>
              <w:pStyle w:val="Odstavecseseznamem2"/>
              <w:overflowPunct w:val="0"/>
              <w:autoSpaceDE w:val="0"/>
              <w:autoSpaceDN w:val="0"/>
              <w:adjustRightInd w:val="0"/>
              <w:spacing w:after="160"/>
              <w:ind w:left="0"/>
              <w:jc w:val="both"/>
              <w:textAlignment w:val="baseline"/>
            </w:pPr>
            <w:r w:rsidRPr="00266FB6">
              <w:t>Rozšířené, zrekonstruované nebo nově vybudované kapacity bez záboru zemědělského půdního fondu</w:t>
            </w:r>
          </w:p>
        </w:tc>
        <w:tc>
          <w:tcPr>
            <w:tcW w:w="0" w:type="auto"/>
            <w:tcBorders>
              <w:top w:val="single" w:sz="4" w:space="0" w:color="000000"/>
              <w:left w:val="single" w:sz="4" w:space="0" w:color="000000"/>
              <w:bottom w:val="single" w:sz="4" w:space="0" w:color="000000"/>
              <w:right w:val="single" w:sz="4" w:space="0" w:color="000000"/>
            </w:tcBorders>
            <w:vAlign w:val="center"/>
          </w:tcPr>
          <w:p w:rsidR="00545705" w:rsidRPr="002C224A" w:rsidRDefault="00180EF8" w:rsidP="005B4E91">
            <w:pPr>
              <w:pStyle w:val="Tabulka"/>
              <w:rPr>
                <w:rFonts w:ascii="Calibri" w:hAnsi="Calibri" w:cs="Calibri"/>
              </w:rPr>
            </w:pPr>
            <w:r>
              <w:rPr>
                <w:rFonts w:ascii="Calibri" w:hAnsi="Calibri" w:cs="Calibri"/>
              </w:rPr>
              <w:t>m</w:t>
            </w:r>
            <w:r w:rsidRPr="002C224A">
              <w:rPr>
                <w:rFonts w:ascii="Calibri" w:hAnsi="Calibri" w:cs="Calibri"/>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545705" w:rsidRPr="002C224A" w:rsidRDefault="00545705" w:rsidP="005B4E91">
            <w:pPr>
              <w:pStyle w:val="Tabulka"/>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545705" w:rsidRPr="002C224A" w:rsidRDefault="00FA323B" w:rsidP="002C224A">
            <w:pPr>
              <w:pStyle w:val="Tabulka"/>
              <w:rPr>
                <w:rFonts w:ascii="Calibri" w:hAnsi="Calibri" w:cs="Calibri"/>
              </w:rPr>
            </w:pPr>
            <w:r>
              <w:rPr>
                <w:rFonts w:ascii="Calibri" w:hAnsi="Calibri" w:cs="Calibri"/>
              </w:rPr>
              <w:t>3</w:t>
            </w:r>
            <w:r w:rsidR="00A50943">
              <w:rPr>
                <w:rFonts w:ascii="Calibri" w:hAnsi="Calibri" w:cs="Calibri"/>
              </w:rPr>
              <w:t>0</w:t>
            </w:r>
            <w:r w:rsidR="003A338C">
              <w:rPr>
                <w:rFonts w:ascii="Calibri" w:hAnsi="Calibri" w:cs="Calibri"/>
              </w:rPr>
              <w:t>0</w:t>
            </w:r>
            <w:r w:rsidR="00180EF8">
              <w:rPr>
                <w:rFonts w:ascii="Calibri" w:hAnsi="Calibri" w:cs="Calibri"/>
              </w:rPr>
              <w:t xml:space="preserve"> 000</w:t>
            </w:r>
            <w:r w:rsidR="00545705" w:rsidRPr="002C224A">
              <w:rPr>
                <w:rFonts w:ascii="Calibri" w:hAnsi="Calibri" w:cs="Calibri"/>
              </w:rPr>
              <w:t>-</w:t>
            </w:r>
            <w:r>
              <w:rPr>
                <w:rFonts w:ascii="Calibri" w:hAnsi="Calibri" w:cs="Calibri"/>
              </w:rPr>
              <w:t>6</w:t>
            </w:r>
            <w:r w:rsidR="00A50943">
              <w:rPr>
                <w:rFonts w:ascii="Calibri" w:hAnsi="Calibri" w:cs="Calibri"/>
              </w:rPr>
              <w:t>0</w:t>
            </w:r>
            <w:r w:rsidR="003A338C">
              <w:rPr>
                <w:rFonts w:ascii="Calibri" w:hAnsi="Calibri" w:cs="Calibri"/>
              </w:rPr>
              <w:t>0</w:t>
            </w:r>
            <w:r w:rsidR="00180EF8">
              <w:rPr>
                <w:rFonts w:ascii="Calibri" w:hAnsi="Calibri" w:cs="Calibri"/>
              </w:rPr>
              <w:t xml:space="preserve"> 000</w:t>
            </w:r>
          </w:p>
        </w:tc>
      </w:tr>
      <w:tr w:rsidR="00545705"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545705" w:rsidRPr="002C224A" w:rsidRDefault="00545705" w:rsidP="005B4E91">
            <w:pPr>
              <w:pStyle w:val="Odstavecseseznamem2"/>
              <w:overflowPunct w:val="0"/>
              <w:autoSpaceDE w:val="0"/>
              <w:autoSpaceDN w:val="0"/>
              <w:adjustRightInd w:val="0"/>
              <w:spacing w:after="160"/>
              <w:ind w:left="0"/>
              <w:jc w:val="both"/>
              <w:textAlignment w:val="baseline"/>
            </w:pPr>
            <w:r w:rsidRPr="002C224A">
              <w:t>Počet firem využívajících novou nebo modernizovanou infrastrukturu pro podnikání</w:t>
            </w:r>
          </w:p>
        </w:tc>
        <w:tc>
          <w:tcPr>
            <w:tcW w:w="0" w:type="auto"/>
            <w:tcBorders>
              <w:top w:val="single" w:sz="4" w:space="0" w:color="000000"/>
              <w:left w:val="single" w:sz="4" w:space="0" w:color="000000"/>
              <w:bottom w:val="single" w:sz="4" w:space="0" w:color="000000"/>
              <w:right w:val="single" w:sz="4" w:space="0" w:color="000000"/>
            </w:tcBorders>
            <w:vAlign w:val="center"/>
          </w:tcPr>
          <w:p w:rsidR="00545705" w:rsidRPr="002C224A" w:rsidRDefault="00545705" w:rsidP="005B4E91">
            <w:pPr>
              <w:pStyle w:val="Tabulka"/>
              <w:rPr>
                <w:rFonts w:ascii="Calibri" w:hAnsi="Calibri" w:cs="Calibri"/>
              </w:rPr>
            </w:pPr>
            <w:r w:rsidRPr="002C224A">
              <w:rPr>
                <w:rFonts w:ascii="Calibri" w:hAnsi="Calibri"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545705" w:rsidRPr="00704B16" w:rsidRDefault="00545705" w:rsidP="005B4E91">
            <w:pPr>
              <w:pStyle w:val="Tabulka"/>
              <w:rPr>
                <w:rFonts w:ascii="Calibri" w:hAnsi="Calibri" w:cs="Calibri"/>
              </w:rPr>
            </w:pPr>
            <w:r w:rsidRPr="00704B16">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545705" w:rsidRPr="00704B16" w:rsidRDefault="00FD6D7C" w:rsidP="002C224A">
            <w:pPr>
              <w:pStyle w:val="Tabulka"/>
              <w:rPr>
                <w:rFonts w:ascii="Calibri" w:hAnsi="Calibri" w:cs="Calibri"/>
              </w:rPr>
            </w:pPr>
            <w:r w:rsidRPr="00331BB7">
              <w:rPr>
                <w:rFonts w:ascii="Calibri" w:hAnsi="Calibri" w:cs="Calibri"/>
              </w:rPr>
              <w:t>3</w:t>
            </w:r>
            <w:r w:rsidR="00545705" w:rsidRPr="00331BB7">
              <w:rPr>
                <w:rFonts w:ascii="Calibri" w:hAnsi="Calibri" w:cs="Calibri"/>
              </w:rPr>
              <w:t>0-</w:t>
            </w:r>
            <w:r w:rsidRPr="00331BB7">
              <w:rPr>
                <w:rFonts w:ascii="Calibri" w:hAnsi="Calibri" w:cs="Calibri"/>
              </w:rPr>
              <w:t>6</w:t>
            </w:r>
            <w:r w:rsidR="00041B99" w:rsidRPr="00331BB7">
              <w:rPr>
                <w:rFonts w:ascii="Calibri" w:hAnsi="Calibri" w:cs="Calibri"/>
              </w:rPr>
              <w:t>0</w:t>
            </w:r>
          </w:p>
        </w:tc>
      </w:tr>
    </w:tbl>
    <w:p w:rsidR="00545705" w:rsidRPr="002C224A" w:rsidRDefault="00545705" w:rsidP="00DA2862">
      <w:pPr>
        <w:pStyle w:val="Odstavecseseznamem2"/>
        <w:overflowPunct w:val="0"/>
        <w:autoSpaceDE w:val="0"/>
        <w:autoSpaceDN w:val="0"/>
        <w:adjustRightInd w:val="0"/>
        <w:spacing w:after="160"/>
        <w:ind w:left="0"/>
        <w:jc w:val="both"/>
        <w:textAlignment w:val="baseline"/>
      </w:pPr>
    </w:p>
    <w:p w:rsidR="00E46303" w:rsidRPr="00E46303" w:rsidRDefault="00E46303" w:rsidP="00E46303">
      <w:pPr>
        <w:pStyle w:val="Odstavecseseznamem2"/>
        <w:overflowPunct w:val="0"/>
        <w:autoSpaceDE w:val="0"/>
        <w:autoSpaceDN w:val="0"/>
        <w:adjustRightInd w:val="0"/>
        <w:spacing w:after="160"/>
        <w:ind w:left="0"/>
        <w:jc w:val="both"/>
        <w:textAlignment w:val="baseline"/>
      </w:pPr>
      <w:r w:rsidRPr="00E46303">
        <w:t>Následující indikátory budou sledovány za účelem monitorování příspěvku finančního nástroje k cílům OP (s hvězdičkou jsou uvedeny indikátory, které budou sledovány rovněž na úrovni projektů konečných příjemců) na základě Národního číselníku indikátorů MMR:</w:t>
      </w:r>
    </w:p>
    <w:p w:rsidR="00DA2862" w:rsidRPr="002C224A" w:rsidRDefault="00DA2862" w:rsidP="00DA2862">
      <w:pPr>
        <w:pStyle w:val="Odstavecseseznamem2"/>
        <w:overflowPunct w:val="0"/>
        <w:autoSpaceDE w:val="0"/>
        <w:autoSpaceDN w:val="0"/>
        <w:adjustRightInd w:val="0"/>
        <w:spacing w:after="160"/>
        <w:ind w:left="0"/>
        <w:jc w:val="both"/>
        <w:textAlignment w:val="baseline"/>
      </w:pPr>
    </w:p>
    <w:p w:rsidR="00F005CE" w:rsidRPr="00A50943" w:rsidRDefault="00A50943" w:rsidP="00F005CE">
      <w:pPr>
        <w:pStyle w:val="Odstavecseseznamem2"/>
        <w:numPr>
          <w:ilvl w:val="0"/>
          <w:numId w:val="74"/>
        </w:numPr>
        <w:overflowPunct w:val="0"/>
        <w:autoSpaceDE w:val="0"/>
        <w:autoSpaceDN w:val="0"/>
        <w:adjustRightInd w:val="0"/>
        <w:spacing w:after="160"/>
        <w:jc w:val="both"/>
        <w:textAlignment w:val="baseline"/>
      </w:pPr>
      <w:r>
        <w:t xml:space="preserve">23001 </w:t>
      </w:r>
      <w:r w:rsidR="00F005CE" w:rsidRPr="002C224A">
        <w:t>Počet firem využívajících novou nebo modernizovanou infrastrukturu pro podnikání</w:t>
      </w:r>
      <w:r w:rsidR="00E46303" w:rsidRPr="00AC4D59">
        <w:t>*</w:t>
      </w:r>
    </w:p>
    <w:p w:rsidR="00F005CE" w:rsidRPr="002C224A" w:rsidRDefault="00A50943" w:rsidP="00F005CE">
      <w:pPr>
        <w:pStyle w:val="Odstavecseseznamem2"/>
        <w:numPr>
          <w:ilvl w:val="0"/>
          <w:numId w:val="74"/>
        </w:numPr>
        <w:overflowPunct w:val="0"/>
        <w:autoSpaceDE w:val="0"/>
        <w:autoSpaceDN w:val="0"/>
        <w:adjustRightInd w:val="0"/>
        <w:spacing w:after="160"/>
        <w:jc w:val="both"/>
        <w:textAlignment w:val="baseline"/>
      </w:pPr>
      <w:r>
        <w:t xml:space="preserve">46601 </w:t>
      </w:r>
      <w:r w:rsidR="00F005CE" w:rsidRPr="002C224A">
        <w:t>Rozšířené, zrekonstruované nebo nově vybudované kapacity bez záboru zemědělského půdního fondu</w:t>
      </w:r>
      <w:r w:rsidR="00DA2862" w:rsidRPr="002C224A">
        <w:t>*</w:t>
      </w:r>
    </w:p>
    <w:p w:rsidR="00A50943" w:rsidRDefault="00A50943" w:rsidP="002C224A">
      <w:pPr>
        <w:numPr>
          <w:ilvl w:val="0"/>
          <w:numId w:val="74"/>
        </w:numPr>
      </w:pPr>
      <w:r>
        <w:t>10000 Počet podniků pobírajících podporu</w:t>
      </w:r>
    </w:p>
    <w:p w:rsidR="00A50943" w:rsidRDefault="00A50943" w:rsidP="002C224A">
      <w:pPr>
        <w:numPr>
          <w:ilvl w:val="0"/>
          <w:numId w:val="74"/>
        </w:numPr>
      </w:pPr>
      <w:r>
        <w:t>10800 Podlahová plocha - budovy nebytové</w:t>
      </w:r>
    </w:p>
    <w:p w:rsidR="006D67F1" w:rsidRPr="002C224A" w:rsidRDefault="00A50943" w:rsidP="002C224A">
      <w:pPr>
        <w:numPr>
          <w:ilvl w:val="0"/>
          <w:numId w:val="74"/>
        </w:numPr>
      </w:pPr>
      <w:r>
        <w:t>23300 Celková rozloha regenerovaných lokalit v Národní databázi brownfieldů pro ekonomické využití MSP</w:t>
      </w:r>
    </w:p>
    <w:p w:rsidR="006D67F1" w:rsidRPr="002C224A" w:rsidRDefault="006D67F1" w:rsidP="00F87888">
      <w:pPr>
        <w:pStyle w:val="Nadpis4"/>
        <w:rPr>
          <w:rFonts w:ascii="Calibri" w:hAnsi="Calibri"/>
        </w:rPr>
      </w:pPr>
      <w:r w:rsidRPr="002C224A">
        <w:rPr>
          <w:rFonts w:ascii="Calibri" w:hAnsi="Calibri"/>
        </w:rPr>
        <w:t>Dílčí shrnutí</w:t>
      </w:r>
    </w:p>
    <w:p w:rsidR="006D67F1" w:rsidRPr="002C224A" w:rsidRDefault="006D67F1" w:rsidP="00F87888">
      <w:pPr>
        <w:pStyle w:val="CaptionIntroductionparagraph"/>
        <w:rPr>
          <w:rFonts w:ascii="Calibri" w:hAnsi="Calibri"/>
        </w:rPr>
      </w:pPr>
    </w:p>
    <w:bookmarkEnd w:id="1304"/>
    <w:p w:rsidR="006D67F1" w:rsidRPr="002C224A" w:rsidRDefault="006D67F1" w:rsidP="00D67A40">
      <w:pPr>
        <w:pStyle w:val="CaptionIntroductionparagraph"/>
        <w:rPr>
          <w:rFonts w:ascii="Calibri" w:hAnsi="Calibri"/>
        </w:rPr>
      </w:pPr>
      <w:r w:rsidRPr="002C224A">
        <w:rPr>
          <w:rFonts w:ascii="Calibri" w:hAnsi="Calibri"/>
        </w:rPr>
        <w:t>Úvěrový nástroj</w:t>
      </w:r>
    </w:p>
    <w:p w:rsidR="006D67F1" w:rsidRPr="00A50943" w:rsidRDefault="006D67F1" w:rsidP="00D67A40"/>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84116">
        <w:tc>
          <w:tcPr>
            <w:tcW w:w="2282" w:type="dxa"/>
            <w:shd w:val="clear" w:color="auto" w:fill="ECFFC3"/>
          </w:tcPr>
          <w:p w:rsidR="006D67F1" w:rsidRPr="002C224A" w:rsidRDefault="006D67F1" w:rsidP="00A84116">
            <w:pPr>
              <w:rPr>
                <w:b/>
              </w:rPr>
            </w:pPr>
          </w:p>
        </w:tc>
        <w:tc>
          <w:tcPr>
            <w:tcW w:w="6788" w:type="dxa"/>
            <w:shd w:val="clear" w:color="auto" w:fill="ECFFC3"/>
          </w:tcPr>
          <w:p w:rsidR="006D67F1" w:rsidRPr="002C224A" w:rsidRDefault="006D67F1" w:rsidP="00A84116">
            <w:pPr>
              <w:ind w:left="38"/>
              <w:rPr>
                <w:b/>
              </w:rPr>
            </w:pP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Cíle finančního nástroje</w:t>
            </w:r>
          </w:p>
        </w:tc>
        <w:tc>
          <w:tcPr>
            <w:tcW w:w="6788" w:type="dxa"/>
            <w:shd w:val="clear" w:color="auto" w:fill="FFFFFF"/>
            <w:noWrap/>
          </w:tcPr>
          <w:p w:rsidR="006D67F1" w:rsidRPr="002C224A" w:rsidRDefault="005E45D7" w:rsidP="00C72A67">
            <w:r w:rsidRPr="002C224A">
              <w:t xml:space="preserve">Podpořit </w:t>
            </w:r>
            <w:r w:rsidR="00C72A67" w:rsidRPr="002C224A">
              <w:t>vznik moderní podnikatelské infrastruktury pro výrobu a podnikání MSP formou regenerace BF/nevyhovujících podnikatelských nemovitostí.</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Definice a kritéria způsobilých projektů</w:t>
            </w:r>
          </w:p>
        </w:tc>
        <w:tc>
          <w:tcPr>
            <w:tcW w:w="6788" w:type="dxa"/>
            <w:shd w:val="clear" w:color="auto" w:fill="FFFFFF"/>
            <w:noWrap/>
          </w:tcPr>
          <w:p w:rsidR="006D67F1" w:rsidRPr="002C224A" w:rsidRDefault="00C72A67" w:rsidP="00A84116">
            <w:r w:rsidRPr="002C224A">
              <w:t xml:space="preserve">Úvěrový </w:t>
            </w:r>
            <w:r w:rsidR="006D67F1" w:rsidRPr="002C224A">
              <w:t>nástroj lze použít na projekty realizace stavebně-technických opatření na technicky nevyhovujících podnikatelských nemovitostech (investice do výrobních prostor).</w:t>
            </w:r>
          </w:p>
          <w:p w:rsidR="00C72A67" w:rsidRPr="002C224A" w:rsidRDefault="00C72A67" w:rsidP="00A84116"/>
          <w:p w:rsidR="00C72A67" w:rsidRPr="002C224A" w:rsidRDefault="00C72A67" w:rsidP="00A84116">
            <w:r w:rsidRPr="002C224A">
              <w:t xml:space="preserve">Nástroj podřízeného úvěru lze použít na projekty komplexní regenerace BF, typicky nad </w:t>
            </w:r>
            <w:smartTag w:uri="urn:schemas-microsoft-com:office:smarttags" w:element="metricconverter">
              <w:smartTagPr>
                <w:attr w:name="ProductID" w:val="10 ha"/>
              </w:smartTagPr>
              <w:r w:rsidRPr="002C224A">
                <w:t>10 ha</w:t>
              </w:r>
            </w:smartTag>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Forma podpory</w:t>
            </w:r>
          </w:p>
        </w:tc>
        <w:tc>
          <w:tcPr>
            <w:tcW w:w="6788" w:type="dxa"/>
            <w:shd w:val="clear" w:color="auto" w:fill="FFFFFF"/>
            <w:noWrap/>
          </w:tcPr>
          <w:p w:rsidR="008327A8" w:rsidRPr="002C224A" w:rsidRDefault="008327A8" w:rsidP="008E4E77">
            <w:pPr>
              <w:spacing w:after="120"/>
              <w:rPr>
                <w:rFonts w:cs="Calibri"/>
                <w:szCs w:val="22"/>
              </w:rPr>
            </w:pPr>
            <w:r w:rsidRPr="002C224A">
              <w:rPr>
                <w:rFonts w:cs="Calibri"/>
                <w:szCs w:val="22"/>
              </w:rPr>
              <w:t>Zvýhodněný úvěr –</w:t>
            </w:r>
          </w:p>
          <w:p w:rsidR="006D67F1" w:rsidRPr="002C224A" w:rsidRDefault="008A409B" w:rsidP="008E4E77">
            <w:pPr>
              <w:spacing w:after="120"/>
              <w:rPr>
                <w:rFonts w:cs="Calibri"/>
                <w:szCs w:val="22"/>
              </w:rPr>
            </w:pPr>
            <w:r w:rsidRPr="002C224A">
              <w:rPr>
                <w:rFonts w:cs="Calibri"/>
                <w:szCs w:val="22"/>
              </w:rPr>
              <w:t>k</w:t>
            </w:r>
            <w:r w:rsidR="006D67F1" w:rsidRPr="002C224A">
              <w:rPr>
                <w:rFonts w:cs="Calibri"/>
                <w:szCs w:val="22"/>
              </w:rPr>
              <w:t>ombinovaná podpora</w:t>
            </w:r>
            <w:r w:rsidRPr="002C224A">
              <w:rPr>
                <w:rFonts w:cs="Calibri"/>
                <w:szCs w:val="22"/>
              </w:rPr>
              <w:t>;</w:t>
            </w:r>
          </w:p>
          <w:p w:rsidR="006D67F1" w:rsidRPr="002C224A" w:rsidRDefault="008A409B" w:rsidP="008E4E77">
            <w:pPr>
              <w:spacing w:after="120"/>
              <w:rPr>
                <w:rFonts w:cs="Calibri"/>
                <w:szCs w:val="22"/>
              </w:rPr>
            </w:pPr>
            <w:r w:rsidRPr="002C224A">
              <w:rPr>
                <w:rFonts w:cs="Calibri"/>
                <w:szCs w:val="22"/>
              </w:rPr>
              <w:t>z</w:t>
            </w:r>
            <w:r w:rsidR="006D67F1" w:rsidRPr="002C224A">
              <w:rPr>
                <w:rFonts w:cs="Calibri"/>
                <w:szCs w:val="22"/>
              </w:rPr>
              <w:t>výhodněný úvěr se sníženou úrokovou sazbou a delší dobou splatnosti, případně odkladem splátek</w:t>
            </w:r>
            <w:r w:rsidRPr="002C224A">
              <w:rPr>
                <w:rFonts w:cs="Calibri"/>
                <w:szCs w:val="22"/>
              </w:rPr>
              <w:t>;</w:t>
            </w:r>
          </w:p>
          <w:p w:rsidR="006D67F1" w:rsidRPr="002C224A" w:rsidRDefault="008A409B">
            <w:pPr>
              <w:spacing w:after="120"/>
              <w:rPr>
                <w:rFonts w:cs="Calibri"/>
                <w:szCs w:val="22"/>
              </w:rPr>
            </w:pPr>
            <w:r w:rsidRPr="002C224A">
              <w:rPr>
                <w:rFonts w:cs="Calibri"/>
                <w:szCs w:val="22"/>
              </w:rPr>
              <w:lastRenderedPageBreak/>
              <w:t>f</w:t>
            </w:r>
            <w:r w:rsidR="006D67F1" w:rsidRPr="002C224A">
              <w:rPr>
                <w:rFonts w:cs="Calibri"/>
                <w:szCs w:val="22"/>
              </w:rPr>
              <w:t>inanční příspěvek na projektovou přípravu</w:t>
            </w:r>
            <w:r w:rsidRPr="002C224A">
              <w:rPr>
                <w:rFonts w:cs="Calibri"/>
                <w:szCs w:val="22"/>
              </w:rPr>
              <w:t>.</w:t>
            </w:r>
          </w:p>
          <w:p w:rsidR="008327A8" w:rsidRPr="002C224A" w:rsidRDefault="008327A8">
            <w:pPr>
              <w:spacing w:after="120"/>
              <w:rPr>
                <w:rFonts w:cs="Calibri"/>
                <w:szCs w:val="22"/>
              </w:rPr>
            </w:pPr>
          </w:p>
          <w:p w:rsidR="008327A8" w:rsidRPr="002C224A" w:rsidRDefault="008327A8">
            <w:pPr>
              <w:spacing w:after="120"/>
              <w:rPr>
                <w:rFonts w:cs="Calibri"/>
                <w:szCs w:val="22"/>
              </w:rPr>
            </w:pPr>
            <w:r w:rsidRPr="002C224A">
              <w:rPr>
                <w:rFonts w:cs="Calibri"/>
                <w:szCs w:val="22"/>
              </w:rPr>
              <w:t xml:space="preserve">Podřízený úvěr – </w:t>
            </w:r>
          </w:p>
          <w:p w:rsidR="008327A8" w:rsidRPr="002C224A" w:rsidRDefault="008A409B" w:rsidP="008327A8">
            <w:pPr>
              <w:spacing w:after="120"/>
            </w:pPr>
            <w:r w:rsidRPr="002C224A">
              <w:rPr>
                <w:rFonts w:cs="Calibri"/>
                <w:szCs w:val="22"/>
              </w:rPr>
              <w:t>ú</w:t>
            </w:r>
            <w:r w:rsidR="008327A8" w:rsidRPr="002C224A">
              <w:rPr>
                <w:rFonts w:cs="Calibri"/>
                <w:szCs w:val="22"/>
              </w:rPr>
              <w:t xml:space="preserve">čelový úvěr na aktivitu regenerace BF jejímž výsledkem bude vytvoření </w:t>
            </w:r>
            <w:r w:rsidR="00452BAB" w:rsidRPr="002C224A">
              <w:rPr>
                <w:rFonts w:cs="Calibri"/>
                <w:szCs w:val="22"/>
              </w:rPr>
              <w:t>lokality/</w:t>
            </w:r>
            <w:r w:rsidR="008327A8" w:rsidRPr="002C224A">
              <w:rPr>
                <w:rFonts w:cs="Calibri"/>
                <w:szCs w:val="22"/>
              </w:rPr>
              <w:t>průmyslové zóny pro</w:t>
            </w:r>
            <w:r w:rsidR="00536EEC" w:rsidRPr="002C224A">
              <w:rPr>
                <w:rFonts w:cs="Calibri"/>
                <w:szCs w:val="22"/>
              </w:rPr>
              <w:t xml:space="preserve"> investice do výrobních prostor</w:t>
            </w:r>
            <w:r w:rsidR="008327A8" w:rsidRPr="002C224A">
              <w:rPr>
                <w:rFonts w:cs="Calibri"/>
                <w:szCs w:val="22"/>
              </w:rPr>
              <w:t xml:space="preserve"> MSP</w:t>
            </w:r>
            <w:r w:rsidRPr="002C224A">
              <w:rPr>
                <w:rFonts w:cs="Calibri"/>
                <w:szCs w:val="22"/>
              </w:rPr>
              <w:t>.</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lastRenderedPageBreak/>
              <w:t>Výše podpory</w:t>
            </w:r>
          </w:p>
        </w:tc>
        <w:tc>
          <w:tcPr>
            <w:tcW w:w="6788" w:type="dxa"/>
            <w:shd w:val="clear" w:color="auto" w:fill="FFFFFF"/>
            <w:noWrap/>
          </w:tcPr>
          <w:p w:rsidR="00536EEC" w:rsidRPr="002C224A" w:rsidRDefault="00536EEC" w:rsidP="00536EEC">
            <w:pPr>
              <w:spacing w:after="120"/>
              <w:rPr>
                <w:rFonts w:cs="Calibri"/>
                <w:szCs w:val="22"/>
              </w:rPr>
            </w:pPr>
            <w:r w:rsidRPr="002C224A">
              <w:rPr>
                <w:rFonts w:cs="Calibri"/>
                <w:szCs w:val="22"/>
              </w:rPr>
              <w:t>Zvýhodněný úvěr –</w:t>
            </w:r>
          </w:p>
          <w:p w:rsidR="006D67F1" w:rsidRPr="002C224A" w:rsidRDefault="008A409B" w:rsidP="00A84116">
            <w:r w:rsidRPr="002C224A">
              <w:t>ú</w:t>
            </w:r>
            <w:r w:rsidR="006D67F1" w:rsidRPr="002C224A">
              <w:t xml:space="preserve">věry ve výši 1 až </w:t>
            </w:r>
            <w:smartTag w:uri="urn:schemas-microsoft-com:office:smarttags" w:element="metricconverter">
              <w:smartTagPr>
                <w:attr w:name="ProductID" w:val="200 mil"/>
              </w:smartTagPr>
              <w:r w:rsidR="006D67F1" w:rsidRPr="002C224A">
                <w:t>200 mil</w:t>
              </w:r>
            </w:smartTag>
            <w:r w:rsidR="006D67F1" w:rsidRPr="002C224A">
              <w:t>. Kč, až do výše 80 % způsobilých výdajů projektu. Pro všechny regiony NUTS 2 (kromě Prahy) platí intenzity podpory 35/45</w:t>
            </w:r>
            <w:r w:rsidR="00536EEC" w:rsidRPr="002C224A">
              <w:t> </w:t>
            </w:r>
            <w:r w:rsidR="006D67F1" w:rsidRPr="002C224A">
              <w:t>%.</w:t>
            </w:r>
          </w:p>
          <w:p w:rsidR="006D67F1" w:rsidRPr="002C224A" w:rsidRDefault="006D67F1" w:rsidP="00A84116"/>
          <w:p w:rsidR="00536EEC" w:rsidRPr="002C224A" w:rsidRDefault="00536EEC" w:rsidP="00536EEC">
            <w:pPr>
              <w:spacing w:after="120"/>
              <w:rPr>
                <w:rFonts w:cs="Calibri"/>
                <w:szCs w:val="22"/>
              </w:rPr>
            </w:pPr>
            <w:r w:rsidRPr="002C224A">
              <w:rPr>
                <w:rFonts w:cs="Calibri"/>
                <w:szCs w:val="22"/>
              </w:rPr>
              <w:t xml:space="preserve">Podřízený úvěr – </w:t>
            </w:r>
          </w:p>
          <w:p w:rsidR="006D67F1" w:rsidRPr="002C224A" w:rsidRDefault="008A409B" w:rsidP="00AA081A">
            <w:r w:rsidRPr="002C224A">
              <w:t>p</w:t>
            </w:r>
            <w:r w:rsidR="00AA081A" w:rsidRPr="002C224A">
              <w:t>rojekty v rozmezí 50-</w:t>
            </w:r>
            <w:smartTag w:uri="urn:schemas-microsoft-com:office:smarttags" w:element="metricconverter">
              <w:smartTagPr>
                <w:attr w:name="ProductID" w:val="250 mil"/>
              </w:smartTagPr>
              <w:r w:rsidR="00AA081A" w:rsidRPr="002C224A">
                <w:t>250 mil</w:t>
              </w:r>
            </w:smartTag>
            <w:r w:rsidR="00AA081A" w:rsidRPr="002C224A">
              <w:t xml:space="preserve">. Kč investičních nákladů, průměrně kolem </w:t>
            </w:r>
            <w:smartTag w:uri="urn:schemas-microsoft-com:office:smarttags" w:element="metricconverter">
              <w:smartTagPr>
                <w:attr w:name="ProductID" w:val="100 mil"/>
              </w:smartTagPr>
              <w:r w:rsidR="00AA081A" w:rsidRPr="002C224A">
                <w:t>100 mil</w:t>
              </w:r>
            </w:smartTag>
            <w:r w:rsidR="00AA081A" w:rsidRPr="002C224A">
              <w:t>.</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Základní parametry poskytované podpory</w:t>
            </w:r>
          </w:p>
        </w:tc>
        <w:tc>
          <w:tcPr>
            <w:tcW w:w="6788" w:type="dxa"/>
            <w:shd w:val="clear" w:color="auto" w:fill="FFFFFF"/>
            <w:noWrap/>
          </w:tcPr>
          <w:p w:rsidR="00B4124C" w:rsidRPr="002C224A" w:rsidRDefault="00B4124C" w:rsidP="00A84116">
            <w:r w:rsidRPr="002C224A">
              <w:t>Zvýhodněný úvěr by měl být poskytován spolu s komerčním úvěrem soukromé úvěrující instituce a spolufinancováním konečného příjemce. Podíl komerčního úvěru je doporučen na úrovni 50-100 % zvýhodněného úvěru.</w:t>
            </w:r>
          </w:p>
          <w:p w:rsidR="00166B80" w:rsidRPr="002C224A" w:rsidRDefault="00166B80" w:rsidP="00DF6FF0">
            <w:pPr>
              <w:shd w:val="clear" w:color="auto" w:fill="FFFFFF"/>
            </w:pPr>
          </w:p>
          <w:p w:rsidR="00B4124C" w:rsidRPr="002C224A" w:rsidRDefault="00166B80" w:rsidP="00DF6FF0">
            <w:pPr>
              <w:shd w:val="clear" w:color="auto" w:fill="FFFFFF"/>
            </w:pPr>
            <w:r w:rsidRPr="002C224A">
              <w:t xml:space="preserve">V případě využití kombinace úvěru s dotací bude respektována maximální výše intenzity podpory a minimální povinná míra zapojení spolufinancování – platné po přepočtení podpory skrze hrubý grantový ekvivalent (HGE max 40 %) </w:t>
            </w:r>
          </w:p>
          <w:p w:rsidR="006D67F1" w:rsidRPr="002C224A" w:rsidRDefault="006D67F1" w:rsidP="00A84116"/>
          <w:p w:rsidR="006D67F1" w:rsidRPr="002C224A" w:rsidRDefault="00AA081A" w:rsidP="00A84116">
            <w:r w:rsidRPr="002C224A">
              <w:t>Nástroj podřízených úvěrů by neměl vykazovat parametry veřejné podpory. Účelová entita bude zajišťovat nákup BF i prodej připravených pozemků za tržních podmínek.</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Kroky k aktivizaci soukromých finančních zdrojů</w:t>
            </w:r>
          </w:p>
        </w:tc>
        <w:tc>
          <w:tcPr>
            <w:tcW w:w="6788" w:type="dxa"/>
            <w:shd w:val="clear" w:color="auto" w:fill="FFFFFF"/>
            <w:noWrap/>
          </w:tcPr>
          <w:p w:rsidR="00506489" w:rsidRPr="002C224A" w:rsidRDefault="00506489" w:rsidP="00A84116">
            <w:r w:rsidRPr="002C224A">
              <w:t>Preferenční odměňování není vhodné. Soukromé úvěrující instituce budou zapojeny za tržních podmínek, nástroj zvýhodněného úvěru bude disponovat sekundárním zástavním právem a umožní tak další komerční úvěrování.</w:t>
            </w:r>
          </w:p>
          <w:p w:rsidR="00506489" w:rsidRPr="002C224A" w:rsidRDefault="00506489" w:rsidP="00A84116"/>
          <w:p w:rsidR="00506489" w:rsidRPr="002C224A" w:rsidRDefault="00506489" w:rsidP="00A84116">
            <w:r w:rsidRPr="002C224A">
              <w:t>Účelová entita disponující prostředky z podřízeného úvěru bude za tržních podmínek čerpat komerční úvěr od soukromých úvěrujících institucí.</w:t>
            </w:r>
          </w:p>
          <w:p w:rsidR="006D67F1" w:rsidRPr="002C224A" w:rsidRDefault="006D67F1" w:rsidP="00A84116"/>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Očekávaná alokace</w:t>
            </w:r>
          </w:p>
        </w:tc>
        <w:tc>
          <w:tcPr>
            <w:tcW w:w="6788" w:type="dxa"/>
            <w:shd w:val="clear" w:color="auto" w:fill="FFFFFF"/>
            <w:noWrap/>
          </w:tcPr>
          <w:p w:rsidR="00EE3D27" w:rsidRPr="002C224A" w:rsidRDefault="006D67F1">
            <w:r w:rsidRPr="002C224A">
              <w:t xml:space="preserve">Navrhujeme </w:t>
            </w:r>
            <w:r w:rsidR="00EE3D27" w:rsidRPr="002C224A">
              <w:t xml:space="preserve">využití finančních nástrojů v rozmezí </w:t>
            </w:r>
            <w:r w:rsidR="00F41FA8">
              <w:t>300</w:t>
            </w:r>
            <w:r w:rsidR="00EE3D27" w:rsidRPr="002C224A">
              <w:t>-</w:t>
            </w:r>
            <w:smartTag w:uri="urn:schemas-microsoft-com:office:smarttags" w:element="metricconverter">
              <w:smartTagPr>
                <w:attr w:name="ProductID" w:val="550 mil"/>
              </w:smartTagPr>
              <w:r w:rsidR="00F41FA8">
                <w:t>550</w:t>
              </w:r>
              <w:r w:rsidR="00EE7F44" w:rsidRPr="002C224A">
                <w:t xml:space="preserve"> mil</w:t>
              </w:r>
            </w:smartTag>
            <w:r w:rsidR="00EE7F44" w:rsidRPr="002C224A">
              <w:t>. Kč.</w:t>
            </w:r>
          </w:p>
          <w:p w:rsidR="006D67F1" w:rsidRPr="002C224A" w:rsidRDefault="006D67F1">
            <w:r w:rsidRPr="002C224A">
              <w:t>Zbytek alokace je účelné vynaložit na tržně nerealizovatelné BF formou dotací.</w:t>
            </w:r>
          </w:p>
        </w:tc>
      </w:tr>
    </w:tbl>
    <w:p w:rsidR="006D67F1" w:rsidRPr="002C224A" w:rsidRDefault="00623293" w:rsidP="00623293">
      <w:pPr>
        <w:pStyle w:val="Titulek"/>
      </w:pPr>
      <w:r w:rsidRPr="002C224A">
        <w:t>Tabulka 1</w:t>
      </w:r>
      <w:r w:rsidR="004A4860">
        <w:t>20</w:t>
      </w:r>
      <w:r w:rsidRPr="002C224A">
        <w:t xml:space="preserve">: </w:t>
      </w:r>
      <w:r w:rsidR="00DA3038" w:rsidRPr="002C224A">
        <w:t>Shrnutí FN SC 2.3</w:t>
      </w:r>
    </w:p>
    <w:p w:rsidR="006D67F1" w:rsidRPr="002C224A" w:rsidRDefault="006D67F1" w:rsidP="006F771D">
      <w:pPr>
        <w:pStyle w:val="Nadpis3"/>
        <w:rPr>
          <w:rFonts w:ascii="Calibri" w:hAnsi="Calibri"/>
        </w:rPr>
      </w:pPr>
      <w:bookmarkStart w:id="1305" w:name="_Toc416909653"/>
      <w:bookmarkStart w:id="1306" w:name="_Toc417545036"/>
      <w:bookmarkStart w:id="1307" w:name="_Toc416909655"/>
      <w:bookmarkStart w:id="1308" w:name="_Toc417545038"/>
      <w:bookmarkStart w:id="1309" w:name="_Toc416800501"/>
      <w:bookmarkStart w:id="1310" w:name="_Toc416909656"/>
      <w:bookmarkStart w:id="1311" w:name="_Toc417545039"/>
      <w:bookmarkStart w:id="1312" w:name="_Toc416800502"/>
      <w:bookmarkStart w:id="1313" w:name="_Toc421534328"/>
      <w:bookmarkEnd w:id="1305"/>
      <w:bookmarkEnd w:id="1306"/>
      <w:bookmarkEnd w:id="1307"/>
      <w:bookmarkEnd w:id="1308"/>
      <w:bookmarkEnd w:id="1309"/>
      <w:bookmarkEnd w:id="1310"/>
      <w:bookmarkEnd w:id="1311"/>
      <w:r w:rsidRPr="002C224A">
        <w:rPr>
          <w:rFonts w:ascii="Calibri" w:hAnsi="Calibri"/>
        </w:rPr>
        <w:t>Specifický cíl 3.1</w:t>
      </w:r>
      <w:bookmarkEnd w:id="1312"/>
      <w:bookmarkEnd w:id="1313"/>
    </w:p>
    <w:p w:rsidR="006D67F1" w:rsidRPr="002C224A" w:rsidRDefault="006D67F1" w:rsidP="00F87888">
      <w:pPr>
        <w:pStyle w:val="Nadpis4"/>
        <w:rPr>
          <w:rFonts w:ascii="Calibri" w:hAnsi="Calibri"/>
        </w:rPr>
      </w:pPr>
      <w:bookmarkStart w:id="1314" w:name="_Toc414464610"/>
      <w:bookmarkStart w:id="1315" w:name="_Toc416800503"/>
      <w:r w:rsidRPr="002C224A">
        <w:rPr>
          <w:rFonts w:ascii="Calibri" w:hAnsi="Calibri"/>
        </w:rPr>
        <w:t>Formy finančních nástrojů a výše alokace</w:t>
      </w:r>
    </w:p>
    <w:p w:rsidR="006D67F1" w:rsidRPr="00A50943" w:rsidRDefault="006D67F1" w:rsidP="00CE3165"/>
    <w:bookmarkEnd w:id="1314"/>
    <w:bookmarkEnd w:id="1315"/>
    <w:p w:rsidR="006D67F1" w:rsidRPr="002C224A" w:rsidRDefault="006D67F1" w:rsidP="00CE3165">
      <w:r w:rsidRPr="002C224A">
        <w:t xml:space="preserve">Na základě tržní analýzy spatřujeme potenciál na využití zvýhodněných úvěrů primárně v případě malých vodních elektráren (MVE), které i pro nově zapojené zdroje budou moci čerpat provozní podporu na výkup elektřiny – na rozdíl od ostatních OZE. I zde je však v mnoha případech vhodné motivovat větší investiční aktivitu v rekonstrukci starých zdrojů, která je nákladná a může být problematická z hlediska návratnosti a získání financování.  Zvýhodněný úvěr by ulehčil přístup k financování a jeho cenu a může tak pomoci větší investiční aktivitě v této oblasti. Komplikací v tomto </w:t>
      </w:r>
      <w:r w:rsidRPr="002C224A">
        <w:lastRenderedPageBreak/>
        <w:t>ohledu je možnost kombinace provozní a investiční podpory, která v případě OZE limituje i použití dotací.</w:t>
      </w:r>
    </w:p>
    <w:p w:rsidR="006D67F1" w:rsidRPr="002C224A" w:rsidRDefault="006D67F1" w:rsidP="00CE3165"/>
    <w:p w:rsidR="006D67F1" w:rsidRPr="002C224A" w:rsidRDefault="006D67F1" w:rsidP="00CE3165">
      <w:r w:rsidRPr="002C224A">
        <w:rPr>
          <w:b/>
        </w:rPr>
        <w:t>Na základě požadavku EK je v textu OP PIK uvedena zásadní podmínka pro projekty obnovitelných zdrojů energie.</w:t>
      </w:r>
      <w:r w:rsidRPr="002C224A">
        <w:t xml:space="preserve"> Z důvodu eliminace hrozící překompenzace podpory je zakázána kombinace provozní a investiční podpory. Nicméně při kombinaci zvýhodněného úvěru a provozní podpory je riziko překompenzace minimální a proto </w:t>
      </w:r>
      <w:r w:rsidRPr="002C224A">
        <w:rPr>
          <w:b/>
        </w:rPr>
        <w:t>doporučujeme požádat EK o změnu textace této podmínky, tak aby se vztahovala pouze na investiční dotaci</w:t>
      </w:r>
      <w:r w:rsidRPr="002C224A">
        <w:t>. Tím by se umožnilo podporovat tyto zařízení na racionálnější, návratné bázi.</w:t>
      </w:r>
    </w:p>
    <w:p w:rsidR="006D67F1" w:rsidRPr="002C224A" w:rsidRDefault="006D67F1" w:rsidP="00CE3165"/>
    <w:p w:rsidR="006D67F1" w:rsidRPr="002C224A" w:rsidRDefault="006D67F1" w:rsidP="00553B77">
      <w:r w:rsidRPr="002C224A">
        <w:t xml:space="preserve">Navrhovaná podpora </w:t>
      </w:r>
      <w:r w:rsidR="009D7661" w:rsidRPr="002C224A">
        <w:t>má</w:t>
      </w:r>
      <w:r w:rsidRPr="002C224A">
        <w:t xml:space="preserve"> formu kombinace zvýhodněného úvěru s delší dobou splatnosti, případně odkladem splácení, příspěvku na přípravu projektu a podmíněného příspěvku na </w:t>
      </w:r>
      <w:r w:rsidR="0084318A" w:rsidRPr="002C224A">
        <w:t xml:space="preserve">úhradu </w:t>
      </w:r>
      <w:r w:rsidRPr="002C224A">
        <w:t>úroků. Úvěrový nástroj je návratnou formou podpory, částečně nenávratnou se stává pouze v případě defaultu úvěru.</w:t>
      </w:r>
      <w:r w:rsidR="007A476A" w:rsidRPr="002C224A">
        <w:t xml:space="preserve"> </w:t>
      </w:r>
      <w:r w:rsidR="007A476A" w:rsidRPr="002C224A">
        <w:rPr>
          <w:lang w:eastAsia="en-US"/>
        </w:rPr>
        <w:t>Rámcové parametry a implementace jsou navrhovány ve shodě s úvěry SC 2.1</w:t>
      </w:r>
      <w:r w:rsidR="009D1B1E" w:rsidRPr="002C224A">
        <w:t>.</w:t>
      </w:r>
    </w:p>
    <w:p w:rsidR="006C1FDA" w:rsidRPr="002C224A" w:rsidRDefault="006C1FDA" w:rsidP="00553B77"/>
    <w:p w:rsidR="00BA02EA" w:rsidRPr="002C224A" w:rsidRDefault="00BA02EA" w:rsidP="00553B77">
      <w:pPr>
        <w:rPr>
          <w:b/>
        </w:rPr>
      </w:pPr>
      <w:r w:rsidRPr="002C224A">
        <w:rPr>
          <w:b/>
        </w:rPr>
        <w:t>Alokace</w:t>
      </w:r>
    </w:p>
    <w:p w:rsidR="00BA02EA" w:rsidRPr="002C224A" w:rsidRDefault="009D7661" w:rsidP="00553B77">
      <w:r w:rsidRPr="00A50943">
        <w:t>Návrh a</w:t>
      </w:r>
      <w:r w:rsidRPr="002C224A">
        <w:t>lokace FN v SC 3.1 vychází z odhadované absorpční kapacity pro MVE. Jak ukazuje rámcový model výsledků nástroje, alokace v rozmezí 400-</w:t>
      </w:r>
      <w:smartTag w:uri="urn:schemas-microsoft-com:office:smarttags" w:element="metricconverter">
        <w:smartTagPr>
          <w:attr w:name="ProductID" w:val="600 mil"/>
        </w:smartTagPr>
        <w:r w:rsidRPr="002C224A">
          <w:t>600 mil</w:t>
        </w:r>
      </w:smartTag>
      <w:r w:rsidRPr="002C224A">
        <w:t>. Kč by měla adekvátně podpořit investiční poptávku v tomto cíli</w:t>
      </w:r>
      <w:r w:rsidR="003D618E" w:rsidRPr="002C224A">
        <w:t>.</w:t>
      </w:r>
    </w:p>
    <w:p w:rsidR="006D67F1" w:rsidRPr="002C224A" w:rsidRDefault="006D67F1" w:rsidP="00F87888">
      <w:pPr>
        <w:pStyle w:val="Nadpis4"/>
        <w:rPr>
          <w:rFonts w:ascii="Calibri" w:hAnsi="Calibri"/>
        </w:rPr>
      </w:pPr>
      <w:bookmarkStart w:id="1316" w:name="_Toc416448041"/>
      <w:bookmarkStart w:id="1317" w:name="_Toc416448043"/>
      <w:bookmarkStart w:id="1318" w:name="_Toc416448045"/>
      <w:bookmarkStart w:id="1319" w:name="_Toc416448047"/>
      <w:bookmarkStart w:id="1320" w:name="_Toc416448049"/>
      <w:bookmarkStart w:id="1321" w:name="_Toc416448051"/>
      <w:bookmarkStart w:id="1322" w:name="_Toc416448053"/>
      <w:bookmarkStart w:id="1323" w:name="_Toc416448055"/>
      <w:bookmarkStart w:id="1324" w:name="_Toc416448056"/>
      <w:bookmarkStart w:id="1325" w:name="_Toc416384054"/>
      <w:bookmarkStart w:id="1326" w:name="_Toc416448057"/>
      <w:bookmarkStart w:id="1327" w:name="_Toc416384055"/>
      <w:bookmarkStart w:id="1328" w:name="_Toc416448058"/>
      <w:bookmarkStart w:id="1329" w:name="_Toc416384056"/>
      <w:bookmarkStart w:id="1330" w:name="_Toc416448059"/>
      <w:bookmarkStart w:id="1331" w:name="_Toc416384057"/>
      <w:bookmarkStart w:id="1332" w:name="_Toc416448060"/>
      <w:bookmarkStart w:id="1333" w:name="_Toc416384058"/>
      <w:bookmarkStart w:id="1334" w:name="_Toc416448061"/>
      <w:bookmarkStart w:id="1335" w:name="_Toc414464611"/>
      <w:bookmarkStart w:id="1336" w:name="_Toc416800504"/>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Pr="002C224A">
        <w:rPr>
          <w:rFonts w:ascii="Calibri" w:hAnsi="Calibri"/>
        </w:rPr>
        <w:t>Nejvhodnější možnosti implementace</w:t>
      </w:r>
    </w:p>
    <w:bookmarkEnd w:id="1335"/>
    <w:bookmarkEnd w:id="1336"/>
    <w:p w:rsidR="006D67F1" w:rsidRPr="00A50943" w:rsidRDefault="006D67F1" w:rsidP="00CE3165">
      <w:pPr>
        <w:jc w:val="center"/>
      </w:pPr>
    </w:p>
    <w:p w:rsidR="006D67F1" w:rsidRPr="00A50943" w:rsidRDefault="007A3F34" w:rsidP="00CE3165">
      <w:r>
        <w:rPr>
          <w:noProof/>
        </w:rPr>
        <w:drawing>
          <wp:inline distT="0" distB="0" distL="0" distR="0" wp14:anchorId="71A7396B" wp14:editId="3752BA67">
            <wp:extent cx="5248275" cy="3971925"/>
            <wp:effectExtent l="0" t="0" r="9525" b="9525"/>
            <wp:docPr id="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5248275" cy="3971925"/>
                    </a:xfrm>
                    <a:prstGeom prst="rect">
                      <a:avLst/>
                    </a:prstGeom>
                    <a:noFill/>
                    <a:ln>
                      <a:noFill/>
                    </a:ln>
                  </pic:spPr>
                </pic:pic>
              </a:graphicData>
            </a:graphic>
          </wp:inline>
        </w:drawing>
      </w:r>
    </w:p>
    <w:p w:rsidR="006D67F1" w:rsidRPr="002C224A" w:rsidRDefault="00623293" w:rsidP="00623293">
      <w:pPr>
        <w:pStyle w:val="Titulek"/>
      </w:pPr>
      <w:r w:rsidRPr="002C224A">
        <w:t xml:space="preserve">Obrázek </w:t>
      </w:r>
      <w:r w:rsidR="00162D8A">
        <w:t>50</w:t>
      </w:r>
      <w:r w:rsidRPr="002C224A">
        <w:t>: schéma implementace úvěrového nástroje</w:t>
      </w:r>
    </w:p>
    <w:p w:rsidR="006D67F1" w:rsidRPr="002C224A" w:rsidRDefault="006D67F1" w:rsidP="00452FC6">
      <w:pPr>
        <w:pStyle w:val="BodyText1"/>
        <w:jc w:val="both"/>
        <w:rPr>
          <w:rFonts w:ascii="Calibri" w:hAnsi="Calibri"/>
        </w:rPr>
      </w:pPr>
      <w:bookmarkStart w:id="1337" w:name="_Toc416384060"/>
      <w:bookmarkStart w:id="1338" w:name="_Toc416448063"/>
      <w:bookmarkStart w:id="1339" w:name="_Toc416384061"/>
      <w:bookmarkStart w:id="1340" w:name="_Toc416448064"/>
      <w:bookmarkStart w:id="1341" w:name="_Toc416384062"/>
      <w:bookmarkStart w:id="1342" w:name="_Toc416448065"/>
      <w:bookmarkStart w:id="1343" w:name="_Toc416384063"/>
      <w:bookmarkStart w:id="1344" w:name="_Toc416448066"/>
      <w:bookmarkStart w:id="1345" w:name="_Toc416384064"/>
      <w:bookmarkStart w:id="1346" w:name="_Toc416448067"/>
      <w:bookmarkStart w:id="1347" w:name="_Toc416384065"/>
      <w:bookmarkStart w:id="1348" w:name="_Toc416448068"/>
      <w:bookmarkStart w:id="1349" w:name="_Toc416384066"/>
      <w:bookmarkStart w:id="1350" w:name="_Toc416448069"/>
      <w:bookmarkStart w:id="1351" w:name="_Toc414464612"/>
      <w:bookmarkStart w:id="1352" w:name="_Toc416800505"/>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6D67F1" w:rsidRPr="002C224A" w:rsidRDefault="006D67F1" w:rsidP="00452FC6">
      <w:pPr>
        <w:pStyle w:val="Nadpis4"/>
        <w:rPr>
          <w:rFonts w:ascii="Calibri" w:hAnsi="Calibri"/>
        </w:rPr>
      </w:pPr>
      <w:r w:rsidRPr="002C224A">
        <w:rPr>
          <w:rFonts w:ascii="Calibri" w:hAnsi="Calibri"/>
        </w:rPr>
        <w:t>Modelové scénáře vývoje portfolií, počet investic a revolvingový efekt</w:t>
      </w:r>
    </w:p>
    <w:p w:rsidR="00B10E84" w:rsidRPr="002C224A" w:rsidRDefault="00B10E84" w:rsidP="00B10E84">
      <w:r w:rsidRPr="002C224A">
        <w:t xml:space="preserve">Níže jsou prezentovány výsledky modelování potenciálních efektů využití navrhované části alokace specifického cíle na finanční nástroj, vč. specifikace výchozích atributů, na kterých je model postaven. Jedná se o modelové příklady, které slouží jako vodítko a měly by být rámcově respektovány při </w:t>
      </w:r>
      <w:r w:rsidRPr="002C224A">
        <w:lastRenderedPageBreak/>
        <w:t>implementaci FN, nicméně nemohou být považovány za závazné s ohledem na dále prezentované předpoklady.</w:t>
      </w:r>
    </w:p>
    <w:p w:rsidR="002C52EC" w:rsidRDefault="002C52EC" w:rsidP="002C52EC">
      <w:pPr>
        <w:pStyle w:val="Neslovannadpisy"/>
      </w:pPr>
    </w:p>
    <w:p w:rsidR="002C52EC" w:rsidRPr="002C224A" w:rsidRDefault="002C52EC" w:rsidP="002C52EC">
      <w:pPr>
        <w:pStyle w:val="Neslovannadpisy"/>
        <w:rPr>
          <w:b w:val="0"/>
        </w:rPr>
      </w:pPr>
      <w:r w:rsidRPr="00A50943">
        <w:t>Úvěrový nástroj</w:t>
      </w:r>
    </w:p>
    <w:p w:rsidR="00196271" w:rsidRDefault="00196271" w:rsidP="008366D3">
      <w:r w:rsidRPr="002C224A">
        <w:t xml:space="preserve">V úvěrovém modelovém příkladu bylo pro zjednodušení abstrahováno od započítání úrokového zisku a poplatků za správu spolufinancujícího subjektu s předpokladem jejich částečné vzájemné kompenzace. Model zobrazuje scénáře pro různé úrovně předpokládaných ztrát a scénář pro příspěvky na subvenci úhrady úroků a přípravu projektu. </w:t>
      </w:r>
      <w:r w:rsidRPr="00E4336B">
        <w:rPr>
          <w:b/>
        </w:rPr>
        <w:t xml:space="preserve">V modelové </w:t>
      </w:r>
      <w:r>
        <w:rPr>
          <w:b/>
        </w:rPr>
        <w:t>kalkulaci</w:t>
      </w:r>
      <w:r w:rsidRPr="00E4336B">
        <w:rPr>
          <w:b/>
        </w:rPr>
        <w:t xml:space="preserve"> není započítán odklad splátek</w:t>
      </w:r>
      <w:r w:rsidRPr="002C224A">
        <w:t>. V případě jeho využití je tedy třeba počítat s částečným omezením revolvingu a tedy i počtu poskytnutých úvěrů pro toto programovací období</w:t>
      </w:r>
      <w:r>
        <w:t xml:space="preserve"> - revolvingové efekty budou posunuty do dalšího období (při pětiletém odkladu by splácení prvních úvěrů začalo až po roce 2020).</w:t>
      </w:r>
    </w:p>
    <w:p w:rsidR="00196271" w:rsidRDefault="00196271" w:rsidP="008366D3"/>
    <w:p w:rsidR="00BB7171" w:rsidRPr="002C224A" w:rsidRDefault="007A3F34" w:rsidP="008366D3">
      <w:r w:rsidRPr="003428AF">
        <w:rPr>
          <w:noProof/>
        </w:rPr>
        <w:drawing>
          <wp:inline distT="0" distB="0" distL="0" distR="0" wp14:anchorId="7BC5D70F" wp14:editId="6FD84BE3">
            <wp:extent cx="4377055" cy="2940050"/>
            <wp:effectExtent l="0" t="0" r="4445" b="12700"/>
            <wp:docPr id="89"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B7171" w:rsidRPr="002C224A" w:rsidRDefault="00BB7171" w:rsidP="00BB7171">
      <w:pPr>
        <w:pStyle w:val="Titulek"/>
        <w:rPr>
          <w:noProof/>
          <w:lang w:eastAsia="cs-CZ"/>
        </w:rPr>
      </w:pPr>
      <w:r w:rsidRPr="002C224A">
        <w:t xml:space="preserve">Graf </w:t>
      </w:r>
      <w:r w:rsidR="00162D8A">
        <w:t>51</w:t>
      </w:r>
      <w:r w:rsidRPr="002C224A">
        <w:t>: Potenciální efekty využití FN (</w:t>
      </w:r>
      <w:r w:rsidR="00BF767F" w:rsidRPr="002C224A">
        <w:t xml:space="preserve">Scénář 2, </w:t>
      </w:r>
      <w:r w:rsidRPr="002C224A">
        <w:t xml:space="preserve">ztráty 10 %, bez příspěvku) </w:t>
      </w:r>
    </w:p>
    <w:p w:rsidR="00BB7171" w:rsidRPr="002C224A" w:rsidRDefault="00BB7171" w:rsidP="00BB7171">
      <w:pPr>
        <w:pStyle w:val="BodyText1"/>
        <w:jc w:val="both"/>
        <w:rPr>
          <w:rFonts w:ascii="Calibri" w:hAnsi="Calibri"/>
        </w:rPr>
      </w:pPr>
    </w:p>
    <w:p w:rsidR="00BB7171" w:rsidRPr="002C224A" w:rsidRDefault="007A3F34" w:rsidP="00BB7171">
      <w:pPr>
        <w:pStyle w:val="CaptionIntroductionparagraph"/>
        <w:rPr>
          <w:rFonts w:ascii="Calibri" w:hAnsi="Calibri"/>
        </w:rPr>
      </w:pPr>
      <w:r w:rsidRPr="003428AF">
        <w:rPr>
          <w:noProof/>
          <w:lang w:eastAsia="cs-CZ"/>
        </w:rPr>
        <w:drawing>
          <wp:inline distT="0" distB="0" distL="0" distR="0" wp14:anchorId="57E443F7" wp14:editId="6B104859">
            <wp:extent cx="4377055" cy="2940050"/>
            <wp:effectExtent l="0" t="0" r="4445" b="12700"/>
            <wp:docPr id="9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B7171" w:rsidRPr="00A50943" w:rsidRDefault="00BB7171" w:rsidP="00BB7171">
      <w:pPr>
        <w:rPr>
          <w:noProof/>
        </w:rPr>
      </w:pPr>
    </w:p>
    <w:p w:rsidR="00BB7171" w:rsidRPr="002C224A" w:rsidRDefault="00BB7171" w:rsidP="00BB7171">
      <w:pPr>
        <w:pStyle w:val="Titulek"/>
        <w:rPr>
          <w:noProof/>
          <w:lang w:eastAsia="cs-CZ"/>
        </w:rPr>
      </w:pPr>
      <w:r w:rsidRPr="002C224A">
        <w:t xml:space="preserve">Graf </w:t>
      </w:r>
      <w:r w:rsidR="00162D8A">
        <w:t>52</w:t>
      </w:r>
      <w:r w:rsidRPr="002C224A">
        <w:t>: Potenciální efekty využití FN (</w:t>
      </w:r>
      <w:r w:rsidR="00BF767F" w:rsidRPr="002C224A">
        <w:t xml:space="preserve">Scénář 2, </w:t>
      </w:r>
      <w:r w:rsidRPr="002C224A">
        <w:t xml:space="preserve">ztráty 20 %, bez příspěvku) </w:t>
      </w:r>
    </w:p>
    <w:p w:rsidR="00BB7171" w:rsidRPr="00A50943" w:rsidRDefault="00BB7171" w:rsidP="00BB7171">
      <w:pPr>
        <w:rPr>
          <w:noProof/>
        </w:rPr>
      </w:pPr>
    </w:p>
    <w:p w:rsidR="00BB7171" w:rsidRPr="00A50943" w:rsidRDefault="007A3F34" w:rsidP="00BB7171">
      <w:pPr>
        <w:rPr>
          <w:noProof/>
        </w:rPr>
      </w:pPr>
      <w:r w:rsidRPr="003428AF">
        <w:rPr>
          <w:noProof/>
        </w:rPr>
        <w:drawing>
          <wp:inline distT="0" distB="0" distL="0" distR="0" wp14:anchorId="6AB47491" wp14:editId="27E8D0CB">
            <wp:extent cx="4377055" cy="2940050"/>
            <wp:effectExtent l="0" t="0" r="4445" b="12700"/>
            <wp:docPr id="9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B7171" w:rsidRPr="002C224A" w:rsidRDefault="00BB7171" w:rsidP="00BB7171">
      <w:pPr>
        <w:pStyle w:val="Titulek"/>
        <w:rPr>
          <w:noProof/>
          <w:lang w:eastAsia="cs-CZ"/>
        </w:rPr>
      </w:pPr>
      <w:r w:rsidRPr="002C224A">
        <w:t xml:space="preserve">Graf </w:t>
      </w:r>
      <w:r w:rsidR="00162D8A">
        <w:t>53</w:t>
      </w:r>
      <w:r w:rsidRPr="002C224A">
        <w:t>: Potenciální efekty využití FN (</w:t>
      </w:r>
      <w:r w:rsidR="00BF767F" w:rsidRPr="002C224A">
        <w:t xml:space="preserve">Scénář 3, </w:t>
      </w:r>
      <w:r w:rsidRPr="002C224A">
        <w:t xml:space="preserve">ztráty 10 %, s příspěvkem) </w:t>
      </w:r>
    </w:p>
    <w:p w:rsidR="00BB7171" w:rsidRPr="00A50943" w:rsidRDefault="00BB7171" w:rsidP="00BB7171">
      <w:pPr>
        <w:rPr>
          <w:noProof/>
        </w:rPr>
      </w:pPr>
    </w:p>
    <w:p w:rsidR="00BB7171" w:rsidRPr="002C224A" w:rsidRDefault="00BB7171" w:rsidP="00BB7171">
      <w:r w:rsidRPr="002C224A">
        <w:t xml:space="preserve">Legenda: </w:t>
      </w:r>
    </w:p>
    <w:p w:rsidR="00BB7171" w:rsidRPr="002C224A" w:rsidRDefault="00BB7171" w:rsidP="00BB7171">
      <w:pPr>
        <w:pStyle w:val="Odstavecseseznamem1"/>
        <w:numPr>
          <w:ilvl w:val="0"/>
          <w:numId w:val="43"/>
        </w:numPr>
        <w:overflowPunct/>
        <w:autoSpaceDE/>
        <w:autoSpaceDN/>
        <w:adjustRightInd/>
        <w:contextualSpacing w:val="0"/>
        <w:textAlignment w:val="auto"/>
      </w:pPr>
      <w:r w:rsidRPr="002C224A">
        <w:t>Modré sloupce representují zvýhodněné úvěry poskytnuté z OP PIK v jednotlivých letech</w:t>
      </w:r>
    </w:p>
    <w:p w:rsidR="00BB7171" w:rsidRDefault="00BD19E6" w:rsidP="00BB7171">
      <w:pPr>
        <w:pStyle w:val="Odstavecseseznamem1"/>
        <w:numPr>
          <w:ilvl w:val="0"/>
          <w:numId w:val="43"/>
        </w:numPr>
        <w:overflowPunct/>
        <w:autoSpaceDE/>
        <w:autoSpaceDN/>
        <w:adjustRightInd/>
        <w:contextualSpacing w:val="0"/>
        <w:textAlignment w:val="auto"/>
      </w:pPr>
      <w:r>
        <w:t>Zelená</w:t>
      </w:r>
      <w:r w:rsidRPr="002C224A">
        <w:t xml:space="preserve"> </w:t>
      </w:r>
      <w:r w:rsidR="00BB7171" w:rsidRPr="002C224A">
        <w:t>křivka je kumulovaným součtem těchto úvěrů</w:t>
      </w:r>
    </w:p>
    <w:p w:rsidR="00F060F4" w:rsidRPr="002C224A" w:rsidRDefault="00F060F4" w:rsidP="008366D3">
      <w:pPr>
        <w:pStyle w:val="Odstavecseseznamem1"/>
        <w:overflowPunct/>
        <w:autoSpaceDE/>
        <w:autoSpaceDN/>
        <w:adjustRightInd/>
        <w:contextualSpacing w:val="0"/>
        <w:textAlignment w:val="auto"/>
      </w:pPr>
    </w:p>
    <w:p w:rsidR="00BF767F" w:rsidRPr="002C224A" w:rsidRDefault="00623293" w:rsidP="00623293">
      <w:pPr>
        <w:pStyle w:val="Titulek"/>
        <w:rPr>
          <w:noProof/>
        </w:rPr>
      </w:pPr>
      <w:r w:rsidRPr="002C224A">
        <w:rPr>
          <w:noProof/>
        </w:rPr>
        <w:t>Tabulka 1</w:t>
      </w:r>
      <w:r w:rsidR="004A4860">
        <w:rPr>
          <w:noProof/>
        </w:rPr>
        <w:t>21</w:t>
      </w:r>
      <w:r w:rsidRPr="002C224A">
        <w:rPr>
          <w:noProof/>
        </w:rPr>
        <w:t>:</w:t>
      </w:r>
      <w:r w:rsidR="006C1FDA" w:rsidRPr="002C224A">
        <w:rPr>
          <w:noProof/>
        </w:rPr>
        <w:t xml:space="preserve"> Parametry modelu</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rPr>
            </w:pPr>
            <w:r w:rsidRPr="002C224A">
              <w:rPr>
                <w:color w:val="000000"/>
                <w:sz w:val="18"/>
                <w:szCs w:val="18"/>
              </w:rPr>
              <w:t xml:space="preserve">Alokace OP PIK </w:t>
            </w:r>
          </w:p>
        </w:tc>
        <w:tc>
          <w:tcPr>
            <w:tcW w:w="1417" w:type="dxa"/>
            <w:noWrap/>
            <w:vAlign w:val="center"/>
          </w:tcPr>
          <w:p w:rsidR="00BF767F" w:rsidRPr="002C224A" w:rsidRDefault="00BD19E6" w:rsidP="00BF767F">
            <w:pPr>
              <w:jc w:val="right"/>
              <w:rPr>
                <w:color w:val="000000"/>
                <w:sz w:val="18"/>
                <w:szCs w:val="18"/>
              </w:rPr>
            </w:pPr>
            <w:smartTag w:uri="urn:schemas-microsoft-com:office:smarttags" w:element="metricconverter">
              <w:smartTagPr>
                <w:attr w:name="ProductID" w:val="400 mil"/>
              </w:smartTagPr>
              <w:r>
                <w:rPr>
                  <w:color w:val="000000"/>
                  <w:sz w:val="18"/>
                  <w:szCs w:val="18"/>
                </w:rPr>
                <w:t>400</w:t>
              </w:r>
              <w:r w:rsidR="009A0402" w:rsidRPr="002C224A">
                <w:rPr>
                  <w:color w:val="000000"/>
                  <w:sz w:val="18"/>
                  <w:szCs w:val="18"/>
                </w:rPr>
                <w:t xml:space="preserve"> </w:t>
              </w:r>
              <w:r w:rsidR="00BF767F" w:rsidRPr="002C224A">
                <w:rPr>
                  <w:color w:val="000000"/>
                  <w:sz w:val="18"/>
                  <w:szCs w:val="18"/>
                </w:rPr>
                <w:t>mil</w:t>
              </w:r>
            </w:smartTag>
            <w:r w:rsidR="00BF767F" w:rsidRPr="002C224A">
              <w:rPr>
                <w:color w:val="000000"/>
                <w:sz w:val="18"/>
                <w:szCs w:val="18"/>
              </w:rPr>
              <w:t>. Kč</w:t>
            </w:r>
          </w:p>
        </w:tc>
      </w:tr>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rPr>
            </w:pPr>
            <w:r w:rsidRPr="002C224A">
              <w:rPr>
                <w:color w:val="000000"/>
                <w:sz w:val="18"/>
                <w:szCs w:val="18"/>
              </w:rPr>
              <w:t>Úrok zdrojů poskytovaných z OP PIK</w:t>
            </w:r>
          </w:p>
        </w:tc>
        <w:tc>
          <w:tcPr>
            <w:tcW w:w="1417" w:type="dxa"/>
            <w:noWrap/>
            <w:vAlign w:val="center"/>
          </w:tcPr>
          <w:p w:rsidR="00BF767F" w:rsidRPr="002C224A" w:rsidRDefault="00BF767F" w:rsidP="00BF767F">
            <w:pPr>
              <w:jc w:val="right"/>
              <w:rPr>
                <w:color w:val="000000"/>
                <w:sz w:val="18"/>
                <w:szCs w:val="18"/>
              </w:rPr>
            </w:pPr>
            <w:r w:rsidRPr="002C224A">
              <w:rPr>
                <w:color w:val="000000"/>
                <w:sz w:val="18"/>
                <w:szCs w:val="18"/>
              </w:rPr>
              <w:t>0,50 %</w:t>
            </w:r>
          </w:p>
        </w:tc>
      </w:tr>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rPr>
            </w:pPr>
            <w:r w:rsidRPr="002C224A">
              <w:rPr>
                <w:color w:val="000000"/>
                <w:sz w:val="18"/>
                <w:szCs w:val="18"/>
              </w:rPr>
              <w:t>Požadovaný úrok spolufinancujícího subjektu</w:t>
            </w:r>
          </w:p>
        </w:tc>
        <w:tc>
          <w:tcPr>
            <w:tcW w:w="1417" w:type="dxa"/>
            <w:noWrap/>
            <w:vAlign w:val="center"/>
          </w:tcPr>
          <w:p w:rsidR="00BF767F" w:rsidRPr="002C224A" w:rsidRDefault="00BF767F" w:rsidP="00BF767F">
            <w:pPr>
              <w:jc w:val="right"/>
              <w:rPr>
                <w:color w:val="000000"/>
                <w:sz w:val="18"/>
                <w:szCs w:val="18"/>
              </w:rPr>
            </w:pPr>
            <w:r w:rsidRPr="002C224A">
              <w:rPr>
                <w:color w:val="000000"/>
                <w:sz w:val="18"/>
                <w:szCs w:val="18"/>
              </w:rPr>
              <w:t>3,50 %</w:t>
            </w:r>
          </w:p>
        </w:tc>
      </w:tr>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rPr>
            </w:pPr>
            <w:r w:rsidRPr="002C224A">
              <w:rPr>
                <w:color w:val="000000"/>
                <w:sz w:val="18"/>
                <w:szCs w:val="18"/>
              </w:rPr>
              <w:t>Limit výše výsledné úrokové míry úvěru příjemci</w:t>
            </w:r>
          </w:p>
        </w:tc>
        <w:tc>
          <w:tcPr>
            <w:tcW w:w="1417" w:type="dxa"/>
            <w:noWrap/>
            <w:vAlign w:val="center"/>
          </w:tcPr>
          <w:p w:rsidR="00BF767F" w:rsidRPr="002C224A" w:rsidRDefault="00BF767F" w:rsidP="00BF767F">
            <w:pPr>
              <w:jc w:val="right"/>
              <w:rPr>
                <w:color w:val="000000"/>
                <w:sz w:val="18"/>
                <w:szCs w:val="18"/>
              </w:rPr>
            </w:pPr>
            <w:r w:rsidRPr="002C224A">
              <w:rPr>
                <w:color w:val="000000"/>
                <w:sz w:val="18"/>
                <w:szCs w:val="18"/>
              </w:rPr>
              <w:t>2,00 %</w:t>
            </w:r>
          </w:p>
        </w:tc>
      </w:tr>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lang w:val="en-US"/>
              </w:rPr>
            </w:pPr>
            <w:r w:rsidRPr="002C224A">
              <w:rPr>
                <w:color w:val="000000"/>
                <w:sz w:val="18"/>
                <w:szCs w:val="18"/>
                <w:lang w:val="en-US"/>
              </w:rPr>
              <w:t xml:space="preserve">Vlastní zdroje žadatelů </w:t>
            </w:r>
          </w:p>
        </w:tc>
        <w:tc>
          <w:tcPr>
            <w:tcW w:w="1417" w:type="dxa"/>
            <w:noWrap/>
            <w:vAlign w:val="center"/>
          </w:tcPr>
          <w:p w:rsidR="00BF767F" w:rsidRPr="002C224A" w:rsidRDefault="00BF767F" w:rsidP="00BF767F">
            <w:pPr>
              <w:jc w:val="right"/>
              <w:rPr>
                <w:color w:val="000000"/>
                <w:sz w:val="18"/>
                <w:szCs w:val="18"/>
                <w:lang w:val="en-US"/>
              </w:rPr>
            </w:pPr>
            <w:r w:rsidRPr="002C224A">
              <w:rPr>
                <w:color w:val="000000"/>
                <w:sz w:val="18"/>
                <w:szCs w:val="18"/>
                <w:lang w:val="en-US"/>
              </w:rPr>
              <w:t>20,00 %</w:t>
            </w:r>
          </w:p>
        </w:tc>
      </w:tr>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rPr>
            </w:pPr>
            <w:r w:rsidRPr="002C224A">
              <w:rPr>
                <w:color w:val="000000"/>
                <w:sz w:val="18"/>
                <w:szCs w:val="18"/>
              </w:rPr>
              <w:t>Míra zapojení spolufinancujícího subjektu</w:t>
            </w:r>
          </w:p>
        </w:tc>
        <w:tc>
          <w:tcPr>
            <w:tcW w:w="1417" w:type="dxa"/>
            <w:noWrap/>
            <w:vAlign w:val="center"/>
          </w:tcPr>
          <w:p w:rsidR="00BF767F" w:rsidRPr="002C224A" w:rsidRDefault="00BF767F" w:rsidP="00BF767F">
            <w:pPr>
              <w:jc w:val="right"/>
              <w:rPr>
                <w:color w:val="000000"/>
                <w:sz w:val="18"/>
                <w:szCs w:val="18"/>
              </w:rPr>
            </w:pPr>
            <w:r w:rsidRPr="002C224A">
              <w:rPr>
                <w:color w:val="000000"/>
                <w:sz w:val="18"/>
                <w:szCs w:val="18"/>
              </w:rPr>
              <w:t>40,00 %</w:t>
            </w:r>
          </w:p>
        </w:tc>
      </w:tr>
      <w:tr w:rsidR="00BF767F" w:rsidRPr="002C224A" w:rsidTr="008366D3">
        <w:trPr>
          <w:trHeight w:val="240"/>
          <w:jc w:val="center"/>
        </w:trPr>
        <w:tc>
          <w:tcPr>
            <w:tcW w:w="4252" w:type="dxa"/>
            <w:noWrap/>
            <w:vAlign w:val="center"/>
          </w:tcPr>
          <w:p w:rsidR="00BF767F" w:rsidRPr="002C224A" w:rsidRDefault="00BF767F" w:rsidP="00BF767F">
            <w:pPr>
              <w:jc w:val="left"/>
              <w:rPr>
                <w:color w:val="000000"/>
                <w:sz w:val="18"/>
                <w:szCs w:val="18"/>
              </w:rPr>
            </w:pPr>
            <w:r w:rsidRPr="002C224A">
              <w:rPr>
                <w:color w:val="000000"/>
                <w:sz w:val="18"/>
                <w:szCs w:val="18"/>
              </w:rPr>
              <w:t>Splatnost úvěru</w:t>
            </w:r>
          </w:p>
        </w:tc>
        <w:tc>
          <w:tcPr>
            <w:tcW w:w="1417" w:type="dxa"/>
            <w:noWrap/>
            <w:vAlign w:val="center"/>
          </w:tcPr>
          <w:p w:rsidR="00BF767F" w:rsidRPr="002C224A" w:rsidRDefault="00BF767F" w:rsidP="00BF767F">
            <w:pPr>
              <w:jc w:val="right"/>
              <w:rPr>
                <w:color w:val="000000"/>
                <w:sz w:val="18"/>
                <w:szCs w:val="18"/>
              </w:rPr>
            </w:pPr>
            <w:r w:rsidRPr="002C224A">
              <w:rPr>
                <w:color w:val="000000"/>
                <w:sz w:val="18"/>
                <w:szCs w:val="18"/>
              </w:rPr>
              <w:t>8</w:t>
            </w:r>
          </w:p>
        </w:tc>
      </w:tr>
    </w:tbl>
    <w:p w:rsidR="00BF767F" w:rsidRPr="002C224A" w:rsidRDefault="00BF767F" w:rsidP="00623293">
      <w:pPr>
        <w:pStyle w:val="Titulek"/>
      </w:pPr>
    </w:p>
    <w:p w:rsidR="00BB7171" w:rsidRPr="002C224A" w:rsidRDefault="00BF767F" w:rsidP="00623293">
      <w:pPr>
        <w:pStyle w:val="Titulek"/>
      </w:pPr>
      <w:r w:rsidRPr="002C224A">
        <w:t>T</w:t>
      </w:r>
      <w:r w:rsidR="00623293" w:rsidRPr="002C224A">
        <w:t>abulka 1</w:t>
      </w:r>
      <w:r w:rsidR="004A4860">
        <w:t>22</w:t>
      </w:r>
      <w:r w:rsidR="00623293" w:rsidRPr="002C224A">
        <w:t xml:space="preserve">: </w:t>
      </w:r>
      <w:r w:rsidR="006C1FDA" w:rsidRPr="002C224A">
        <w:t>Výsledky modelu</w:t>
      </w:r>
    </w:p>
    <w:tbl>
      <w:tblPr>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067"/>
        <w:gridCol w:w="1207"/>
        <w:gridCol w:w="1059"/>
      </w:tblGrid>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A50943" w:rsidRDefault="009A0402" w:rsidP="0061019B">
            <w:pPr>
              <w:jc w:val="left"/>
              <w:rPr>
                <w:color w:val="000000"/>
                <w:sz w:val="18"/>
                <w:szCs w:val="18"/>
                <w:lang w:val="en-US"/>
              </w:rPr>
            </w:pP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BF767F">
            <w:pPr>
              <w:jc w:val="right"/>
              <w:rPr>
                <w:color w:val="000000"/>
                <w:sz w:val="18"/>
                <w:szCs w:val="18"/>
                <w:lang w:val="en-US"/>
              </w:rPr>
            </w:pPr>
            <w:r w:rsidRPr="002C224A">
              <w:rPr>
                <w:color w:val="000000"/>
                <w:sz w:val="18"/>
                <w:szCs w:val="18"/>
                <w:lang w:val="en-US"/>
              </w:rPr>
              <w:t>Scénář 1</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BF767F">
            <w:pPr>
              <w:jc w:val="right"/>
              <w:rPr>
                <w:color w:val="000000"/>
                <w:sz w:val="18"/>
                <w:szCs w:val="18"/>
                <w:lang w:val="en-US"/>
              </w:rPr>
            </w:pPr>
            <w:r w:rsidRPr="002C224A">
              <w:rPr>
                <w:color w:val="000000"/>
                <w:sz w:val="18"/>
                <w:szCs w:val="18"/>
                <w:lang w:val="en-US"/>
              </w:rPr>
              <w:t>Scénář 2</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BF767F">
            <w:pPr>
              <w:jc w:val="right"/>
              <w:rPr>
                <w:color w:val="000000"/>
                <w:sz w:val="18"/>
                <w:szCs w:val="18"/>
                <w:lang w:val="en-US"/>
              </w:rPr>
            </w:pPr>
            <w:r w:rsidRPr="002C224A">
              <w:rPr>
                <w:color w:val="000000"/>
                <w:sz w:val="18"/>
                <w:szCs w:val="18"/>
                <w:lang w:val="en-US"/>
              </w:rPr>
              <w:t>Scénář 3</w:t>
            </w:r>
          </w:p>
        </w:tc>
        <w:tc>
          <w:tcPr>
            <w:tcW w:w="1059" w:type="dxa"/>
            <w:tcBorders>
              <w:top w:val="single" w:sz="4" w:space="0" w:color="BFBFBF"/>
              <w:left w:val="single" w:sz="4" w:space="0" w:color="BFBFBF"/>
              <w:bottom w:val="single" w:sz="4" w:space="0" w:color="BFBFBF"/>
              <w:right w:val="single" w:sz="4" w:space="0" w:color="BFBFBF"/>
            </w:tcBorders>
          </w:tcPr>
          <w:p w:rsidR="009A0402" w:rsidRPr="002C224A" w:rsidRDefault="009A0402" w:rsidP="00BF767F">
            <w:pPr>
              <w:jc w:val="right"/>
              <w:rPr>
                <w:color w:val="000000"/>
                <w:sz w:val="18"/>
                <w:szCs w:val="18"/>
                <w:lang w:val="en-US"/>
              </w:rPr>
            </w:pPr>
            <w:r>
              <w:rPr>
                <w:color w:val="000000"/>
                <w:sz w:val="18"/>
                <w:szCs w:val="18"/>
                <w:lang w:val="en-US"/>
              </w:rPr>
              <w:t>Scénář 4</w:t>
            </w:r>
            <w:r w:rsidR="00074EC1">
              <w:rPr>
                <w:rStyle w:val="Znakapoznpodarou"/>
                <w:color w:val="000000"/>
                <w:szCs w:val="18"/>
              </w:rPr>
              <w:footnoteReference w:id="65"/>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61019B">
            <w:pPr>
              <w:jc w:val="left"/>
              <w:rPr>
                <w:color w:val="000000"/>
                <w:sz w:val="18"/>
                <w:szCs w:val="18"/>
                <w:lang w:val="en-US"/>
              </w:rPr>
            </w:pPr>
            <w:r w:rsidRPr="002C224A">
              <w:rPr>
                <w:color w:val="000000"/>
                <w:sz w:val="18"/>
                <w:szCs w:val="18"/>
                <w:lang w:val="en-US"/>
              </w:rPr>
              <w:t>Celkem proinvestováno - milník rok 2018 (mil. Kč)</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8366D3">
            <w:pPr>
              <w:jc w:val="right"/>
              <w:rPr>
                <w:color w:val="000000"/>
                <w:sz w:val="18"/>
                <w:szCs w:val="18"/>
                <w:lang w:val="en-US"/>
              </w:rPr>
            </w:pPr>
            <w:r>
              <w:rPr>
                <w:color w:val="000000"/>
                <w:sz w:val="18"/>
                <w:szCs w:val="18"/>
                <w:lang w:val="en-US"/>
              </w:rPr>
              <w:t>750</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750</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713</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Pr="002C224A" w:rsidDel="009A0402" w:rsidRDefault="009A0402" w:rsidP="008366D3">
            <w:pPr>
              <w:jc w:val="right"/>
              <w:rPr>
                <w:color w:val="000000"/>
                <w:sz w:val="18"/>
                <w:szCs w:val="18"/>
                <w:lang w:val="en-US"/>
              </w:rPr>
            </w:pPr>
            <w:r>
              <w:rPr>
                <w:color w:val="000000"/>
                <w:sz w:val="18"/>
                <w:szCs w:val="18"/>
                <w:lang w:val="en-US"/>
              </w:rPr>
              <w:t>713</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8366D3" w:rsidRDefault="009A0402" w:rsidP="0061019B">
            <w:pPr>
              <w:jc w:val="left"/>
              <w:rPr>
                <w:b/>
                <w:color w:val="000000"/>
                <w:sz w:val="18"/>
                <w:szCs w:val="18"/>
              </w:rPr>
            </w:pPr>
            <w:r w:rsidRPr="002C224A">
              <w:rPr>
                <w:b/>
                <w:color w:val="000000"/>
                <w:sz w:val="18"/>
                <w:szCs w:val="18"/>
              </w:rPr>
              <w:t xml:space="preserve">Celkem proinvestováno - konec období rok 2023 (mil. </w:t>
            </w:r>
            <w:r w:rsidRPr="008366D3">
              <w:rPr>
                <w:b/>
                <w:color w:val="000000"/>
                <w:sz w:val="18"/>
                <w:szCs w:val="18"/>
              </w:rPr>
              <w:t>Kč)</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8366D3">
            <w:pPr>
              <w:jc w:val="right"/>
              <w:rPr>
                <w:b/>
                <w:color w:val="000000"/>
                <w:sz w:val="18"/>
                <w:szCs w:val="18"/>
                <w:lang w:val="en-US"/>
              </w:rPr>
            </w:pPr>
            <w:r>
              <w:rPr>
                <w:b/>
                <w:color w:val="000000"/>
                <w:sz w:val="18"/>
                <w:szCs w:val="18"/>
                <w:lang w:val="en-US"/>
              </w:rPr>
              <w:t>1 734</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Pr>
                <w:b/>
                <w:color w:val="000000"/>
                <w:sz w:val="18"/>
                <w:szCs w:val="18"/>
                <w:lang w:val="en-US"/>
              </w:rPr>
              <w:t>1 640</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Pr>
                <w:b/>
                <w:color w:val="000000"/>
                <w:sz w:val="18"/>
                <w:szCs w:val="18"/>
                <w:lang w:val="en-US"/>
              </w:rPr>
              <w:t>1 508</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Default="009A0402" w:rsidP="008366D3">
            <w:pPr>
              <w:jc w:val="right"/>
              <w:rPr>
                <w:b/>
                <w:color w:val="000000"/>
                <w:sz w:val="18"/>
                <w:szCs w:val="18"/>
                <w:lang w:val="en-US"/>
              </w:rPr>
            </w:pPr>
            <w:r>
              <w:rPr>
                <w:b/>
                <w:color w:val="000000"/>
                <w:sz w:val="18"/>
                <w:szCs w:val="18"/>
                <w:lang w:val="en-US"/>
              </w:rPr>
              <w:t>930</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61019B">
            <w:pPr>
              <w:jc w:val="left"/>
              <w:rPr>
                <w:b/>
                <w:color w:val="000000"/>
                <w:sz w:val="18"/>
                <w:szCs w:val="18"/>
                <w:lang w:val="en-US"/>
              </w:rPr>
            </w:pPr>
            <w:r w:rsidRPr="002C224A">
              <w:rPr>
                <w:b/>
                <w:color w:val="000000"/>
                <w:sz w:val="18"/>
                <w:szCs w:val="18"/>
                <w:lang w:val="en-US"/>
              </w:rPr>
              <w:t>Přidaná hodnota</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8366D3">
            <w:pPr>
              <w:jc w:val="right"/>
              <w:rPr>
                <w:b/>
                <w:color w:val="000000"/>
                <w:sz w:val="18"/>
                <w:szCs w:val="18"/>
                <w:lang w:val="en-US"/>
              </w:rPr>
            </w:pPr>
            <w:r w:rsidRPr="002C224A">
              <w:rPr>
                <w:b/>
                <w:color w:val="000000"/>
                <w:sz w:val="18"/>
                <w:szCs w:val="18"/>
                <w:lang w:val="en-US"/>
              </w:rPr>
              <w:t>4,33</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sidRPr="002C224A">
              <w:rPr>
                <w:b/>
                <w:color w:val="000000"/>
                <w:sz w:val="18"/>
                <w:szCs w:val="18"/>
                <w:lang w:val="en-US"/>
              </w:rPr>
              <w:t>4,10</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sidRPr="002C224A">
              <w:rPr>
                <w:b/>
                <w:color w:val="000000"/>
                <w:sz w:val="18"/>
                <w:szCs w:val="18"/>
                <w:lang w:val="en-US"/>
              </w:rPr>
              <w:t>4,</w:t>
            </w:r>
            <w:r>
              <w:rPr>
                <w:b/>
                <w:color w:val="000000"/>
                <w:sz w:val="18"/>
                <w:szCs w:val="18"/>
                <w:lang w:val="en-US"/>
              </w:rPr>
              <w:t>19</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Pr>
                <w:b/>
                <w:color w:val="000000"/>
                <w:sz w:val="18"/>
                <w:szCs w:val="18"/>
                <w:lang w:val="en-US"/>
              </w:rPr>
              <w:t>2.58</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61019B">
            <w:pPr>
              <w:jc w:val="left"/>
              <w:rPr>
                <w:b/>
                <w:color w:val="000000"/>
                <w:sz w:val="18"/>
                <w:szCs w:val="18"/>
                <w:lang w:val="en-US"/>
              </w:rPr>
            </w:pPr>
            <w:r w:rsidRPr="002C224A">
              <w:rPr>
                <w:b/>
                <w:color w:val="000000"/>
                <w:sz w:val="18"/>
                <w:szCs w:val="18"/>
                <w:lang w:val="en-US"/>
              </w:rPr>
              <w:t>Pákový efekt</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8366D3">
            <w:pPr>
              <w:jc w:val="right"/>
              <w:rPr>
                <w:b/>
                <w:color w:val="000000"/>
                <w:sz w:val="18"/>
                <w:szCs w:val="18"/>
                <w:lang w:val="en-US"/>
              </w:rPr>
            </w:pPr>
            <w:r w:rsidRPr="002C224A">
              <w:rPr>
                <w:b/>
                <w:color w:val="000000"/>
                <w:sz w:val="18"/>
                <w:szCs w:val="18"/>
                <w:lang w:val="en-US"/>
              </w:rPr>
              <w:t>2,00</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sidRPr="002C224A">
              <w:rPr>
                <w:b/>
                <w:color w:val="000000"/>
                <w:sz w:val="18"/>
                <w:szCs w:val="18"/>
                <w:lang w:val="en-US"/>
              </w:rPr>
              <w:t>2,00</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sidRPr="002C224A">
              <w:rPr>
                <w:b/>
                <w:color w:val="000000"/>
                <w:sz w:val="18"/>
                <w:szCs w:val="18"/>
                <w:lang w:val="en-US"/>
              </w:rPr>
              <w:t>2,00</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Pr>
                <w:b/>
                <w:color w:val="000000"/>
                <w:sz w:val="18"/>
                <w:szCs w:val="18"/>
                <w:lang w:val="en-US"/>
              </w:rPr>
              <w:t>2.00</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61019B">
            <w:pPr>
              <w:jc w:val="left"/>
              <w:rPr>
                <w:color w:val="000000"/>
                <w:sz w:val="18"/>
                <w:szCs w:val="18"/>
                <w:lang w:val="en-US"/>
              </w:rPr>
            </w:pPr>
            <w:r w:rsidRPr="002C224A">
              <w:rPr>
                <w:color w:val="000000"/>
                <w:sz w:val="18"/>
                <w:szCs w:val="18"/>
                <w:lang w:val="en-US"/>
              </w:rPr>
              <w:t>Celková výše vyplacených management fee (prostá – mil. Kč)</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Del="0013658D" w:rsidRDefault="009A0402" w:rsidP="008366D3">
            <w:pPr>
              <w:jc w:val="right"/>
              <w:rPr>
                <w:color w:val="000000"/>
                <w:sz w:val="18"/>
                <w:szCs w:val="18"/>
                <w:lang w:val="en-US"/>
              </w:rPr>
            </w:pPr>
            <w:r>
              <w:rPr>
                <w:color w:val="000000"/>
                <w:sz w:val="18"/>
                <w:szCs w:val="18"/>
                <w:lang w:val="en-US"/>
              </w:rPr>
              <w:t>23</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23</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22</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Default="009A0402" w:rsidP="008366D3">
            <w:pPr>
              <w:jc w:val="right"/>
              <w:rPr>
                <w:color w:val="000000"/>
                <w:sz w:val="18"/>
                <w:szCs w:val="18"/>
                <w:lang w:val="en-US"/>
              </w:rPr>
            </w:pPr>
            <w:r>
              <w:rPr>
                <w:color w:val="000000"/>
                <w:sz w:val="18"/>
                <w:szCs w:val="18"/>
                <w:lang w:val="en-US"/>
              </w:rPr>
              <w:t>20</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61019B">
            <w:pPr>
              <w:jc w:val="left"/>
              <w:rPr>
                <w:color w:val="000000"/>
                <w:sz w:val="18"/>
                <w:szCs w:val="18"/>
              </w:rPr>
            </w:pPr>
            <w:r w:rsidRPr="002C224A">
              <w:rPr>
                <w:color w:val="000000"/>
                <w:sz w:val="18"/>
                <w:szCs w:val="18"/>
              </w:rPr>
              <w:t>Podíl vyplacených správních poplatků na alokaci fondu</w:t>
            </w:r>
            <w:r w:rsidR="004B1124">
              <w:rPr>
                <w:color w:val="000000"/>
                <w:sz w:val="18"/>
                <w:szCs w:val="18"/>
              </w:rPr>
              <w:t xml:space="preserve"> (%)</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Del="0013658D" w:rsidRDefault="009A0402" w:rsidP="008366D3">
            <w:pPr>
              <w:jc w:val="right"/>
              <w:rPr>
                <w:color w:val="000000"/>
                <w:sz w:val="18"/>
                <w:szCs w:val="18"/>
                <w:lang w:val="en-US"/>
              </w:rPr>
            </w:pPr>
            <w:r w:rsidRPr="002C224A">
              <w:rPr>
                <w:color w:val="000000"/>
                <w:sz w:val="18"/>
                <w:szCs w:val="18"/>
                <w:lang w:val="en-US"/>
              </w:rPr>
              <w:t>5,7</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sidRPr="002C224A">
              <w:rPr>
                <w:color w:val="000000"/>
                <w:sz w:val="18"/>
                <w:szCs w:val="18"/>
                <w:lang w:val="en-US"/>
              </w:rPr>
              <w:t>5,7</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sidRPr="002C224A">
              <w:rPr>
                <w:color w:val="000000"/>
                <w:sz w:val="18"/>
                <w:szCs w:val="18"/>
                <w:lang w:val="en-US"/>
              </w:rPr>
              <w:t>5,</w:t>
            </w:r>
            <w:r>
              <w:rPr>
                <w:color w:val="000000"/>
                <w:sz w:val="18"/>
                <w:szCs w:val="18"/>
                <w:lang w:val="en-US"/>
              </w:rPr>
              <w:t>5</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4,9</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8366D3" w:rsidRDefault="009A0402" w:rsidP="0061019B">
            <w:pPr>
              <w:jc w:val="left"/>
              <w:rPr>
                <w:color w:val="000000"/>
                <w:sz w:val="18"/>
                <w:szCs w:val="18"/>
              </w:rPr>
            </w:pPr>
            <w:r w:rsidRPr="002C224A">
              <w:rPr>
                <w:color w:val="000000"/>
                <w:sz w:val="18"/>
                <w:szCs w:val="18"/>
              </w:rPr>
              <w:t xml:space="preserve">Revolvingový efekt – zvýšení disponibilních prostředků OP PIK (mil. </w:t>
            </w:r>
            <w:r w:rsidRPr="008366D3">
              <w:rPr>
                <w:color w:val="000000"/>
                <w:sz w:val="18"/>
                <w:szCs w:val="18"/>
              </w:rPr>
              <w:t>Kč)</w:t>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8366D3">
            <w:pPr>
              <w:jc w:val="right"/>
              <w:rPr>
                <w:color w:val="000000"/>
                <w:sz w:val="18"/>
                <w:szCs w:val="18"/>
                <w:lang w:val="en-US"/>
              </w:rPr>
            </w:pPr>
            <w:r>
              <w:rPr>
                <w:color w:val="000000"/>
                <w:sz w:val="18"/>
                <w:szCs w:val="18"/>
                <w:lang w:val="en-US"/>
              </w:rPr>
              <w:t>297</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256</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color w:val="000000"/>
                <w:sz w:val="18"/>
                <w:szCs w:val="18"/>
                <w:lang w:val="en-US"/>
              </w:rPr>
            </w:pPr>
            <w:r>
              <w:rPr>
                <w:color w:val="000000"/>
                <w:sz w:val="18"/>
                <w:szCs w:val="18"/>
                <w:lang w:val="en-US"/>
              </w:rPr>
              <w:t>225</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Default="009A0402" w:rsidP="008366D3">
            <w:pPr>
              <w:jc w:val="right"/>
              <w:rPr>
                <w:color w:val="000000"/>
                <w:sz w:val="18"/>
                <w:szCs w:val="18"/>
                <w:lang w:val="en-US"/>
              </w:rPr>
            </w:pPr>
            <w:r>
              <w:rPr>
                <w:color w:val="000000"/>
                <w:sz w:val="18"/>
                <w:szCs w:val="18"/>
                <w:lang w:val="en-US"/>
              </w:rPr>
              <w:t>-</w:t>
            </w:r>
          </w:p>
        </w:tc>
      </w:tr>
      <w:tr w:rsidR="009A0402" w:rsidRPr="002C224A" w:rsidTr="008366D3">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rsidR="009A0402" w:rsidRPr="00A50943" w:rsidRDefault="009A0402" w:rsidP="0061019B">
            <w:pPr>
              <w:jc w:val="left"/>
              <w:rPr>
                <w:b/>
                <w:color w:val="000000"/>
                <w:sz w:val="18"/>
                <w:szCs w:val="18"/>
                <w:lang w:val="en-US"/>
              </w:rPr>
            </w:pPr>
            <w:r w:rsidRPr="002C224A">
              <w:rPr>
                <w:b/>
                <w:color w:val="000000"/>
                <w:sz w:val="18"/>
                <w:szCs w:val="18"/>
                <w:lang w:val="en-US"/>
              </w:rPr>
              <w:t xml:space="preserve">Podpořené projekty </w:t>
            </w:r>
            <w:r w:rsidRPr="002C224A">
              <w:rPr>
                <w:rStyle w:val="Znakapoznpodarou"/>
                <w:rFonts w:ascii="Calibri" w:hAnsi="Calibri"/>
                <w:b/>
                <w:color w:val="000000"/>
                <w:sz w:val="18"/>
                <w:szCs w:val="18"/>
                <w:lang w:val="en-US"/>
              </w:rPr>
              <w:footnoteReference w:id="66"/>
            </w:r>
          </w:p>
        </w:tc>
        <w:tc>
          <w:tcPr>
            <w:tcW w:w="1134" w:type="dxa"/>
            <w:tcBorders>
              <w:top w:val="single" w:sz="4" w:space="0" w:color="BFBFBF"/>
              <w:left w:val="single" w:sz="4" w:space="0" w:color="BFBFBF"/>
              <w:bottom w:val="single" w:sz="4" w:space="0" w:color="BFBFBF"/>
              <w:right w:val="single" w:sz="4" w:space="0" w:color="BFBFBF"/>
            </w:tcBorders>
            <w:noWrap/>
            <w:vAlign w:val="center"/>
          </w:tcPr>
          <w:p w:rsidR="009A0402" w:rsidRPr="002C224A" w:rsidRDefault="009A0402" w:rsidP="008366D3">
            <w:pPr>
              <w:jc w:val="right"/>
              <w:rPr>
                <w:b/>
                <w:color w:val="000000"/>
                <w:sz w:val="18"/>
                <w:szCs w:val="18"/>
                <w:lang w:val="en-US"/>
              </w:rPr>
            </w:pPr>
            <w:r>
              <w:rPr>
                <w:b/>
                <w:color w:val="000000"/>
                <w:sz w:val="18"/>
                <w:szCs w:val="18"/>
                <w:lang w:val="en-US"/>
              </w:rPr>
              <w:t>145</w:t>
            </w:r>
          </w:p>
        </w:tc>
        <w:tc>
          <w:tcPr>
            <w:tcW w:w="106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Pr>
                <w:b/>
                <w:color w:val="000000"/>
                <w:sz w:val="18"/>
                <w:szCs w:val="18"/>
                <w:lang w:val="en-US"/>
              </w:rPr>
              <w:t>136</w:t>
            </w:r>
          </w:p>
        </w:tc>
        <w:tc>
          <w:tcPr>
            <w:tcW w:w="1207" w:type="dxa"/>
            <w:tcBorders>
              <w:top w:val="single" w:sz="4" w:space="0" w:color="BFBFBF"/>
              <w:left w:val="single" w:sz="4" w:space="0" w:color="BFBFBF"/>
              <w:bottom w:val="single" w:sz="4" w:space="0" w:color="BFBFBF"/>
              <w:right w:val="single" w:sz="4" w:space="0" w:color="BFBFBF"/>
            </w:tcBorders>
            <w:vAlign w:val="center"/>
          </w:tcPr>
          <w:p w:rsidR="009A0402" w:rsidRPr="002C224A" w:rsidRDefault="009A0402" w:rsidP="008366D3">
            <w:pPr>
              <w:jc w:val="right"/>
              <w:rPr>
                <w:b/>
                <w:color w:val="000000"/>
                <w:sz w:val="18"/>
                <w:szCs w:val="18"/>
                <w:lang w:val="en-US"/>
              </w:rPr>
            </w:pPr>
            <w:r>
              <w:rPr>
                <w:b/>
                <w:color w:val="000000"/>
                <w:sz w:val="18"/>
                <w:szCs w:val="18"/>
                <w:lang w:val="en-US"/>
              </w:rPr>
              <w:t>125</w:t>
            </w:r>
          </w:p>
        </w:tc>
        <w:tc>
          <w:tcPr>
            <w:tcW w:w="1059" w:type="dxa"/>
            <w:tcBorders>
              <w:top w:val="single" w:sz="4" w:space="0" w:color="BFBFBF"/>
              <w:left w:val="single" w:sz="4" w:space="0" w:color="BFBFBF"/>
              <w:bottom w:val="single" w:sz="4" w:space="0" w:color="BFBFBF"/>
              <w:right w:val="single" w:sz="4" w:space="0" w:color="BFBFBF"/>
            </w:tcBorders>
            <w:vAlign w:val="center"/>
          </w:tcPr>
          <w:p w:rsidR="009A0402" w:rsidRPr="002C224A" w:rsidDel="009A0402" w:rsidRDefault="009A0402" w:rsidP="008366D3">
            <w:pPr>
              <w:jc w:val="right"/>
              <w:rPr>
                <w:b/>
                <w:color w:val="000000"/>
                <w:sz w:val="18"/>
                <w:szCs w:val="18"/>
                <w:lang w:val="en-US"/>
              </w:rPr>
            </w:pPr>
            <w:r>
              <w:rPr>
                <w:b/>
                <w:color w:val="000000"/>
                <w:sz w:val="18"/>
                <w:szCs w:val="18"/>
                <w:lang w:val="en-US"/>
              </w:rPr>
              <w:t>76</w:t>
            </w:r>
          </w:p>
        </w:tc>
      </w:tr>
    </w:tbl>
    <w:p w:rsidR="0037602C" w:rsidRDefault="0037602C" w:rsidP="0037602C"/>
    <w:p w:rsidR="0037602C" w:rsidRPr="002C224A" w:rsidRDefault="0037602C" w:rsidP="0037602C">
      <w:r>
        <w:t xml:space="preserve">V případě nevyužití revolvovaných prostředků v tomto období (Scénář 4) bude v primárním investičním cyklu navrhovanou alokací vyvoláno </w:t>
      </w:r>
      <w:smartTag w:uri="urn:schemas-microsoft-com:office:smarttags" w:element="metricconverter">
        <w:smartTagPr>
          <w:attr w:name="ProductID" w:val="930 mil"/>
        </w:smartTagPr>
        <w:r>
          <w:t>930 mil</w:t>
        </w:r>
      </w:smartTag>
      <w:r>
        <w:t>. investic s přidanou hodnotou 2,58.</w:t>
      </w:r>
    </w:p>
    <w:p w:rsidR="00BB7171" w:rsidRPr="002C224A" w:rsidRDefault="00BB7171" w:rsidP="00BB7171">
      <w:pPr>
        <w:rPr>
          <w:noProof/>
        </w:rPr>
      </w:pPr>
    </w:p>
    <w:p w:rsidR="00F005CE" w:rsidRPr="002C224A" w:rsidRDefault="00F005CE" w:rsidP="00F005CE">
      <w:pPr>
        <w:pStyle w:val="Nadpis4"/>
        <w:rPr>
          <w:rFonts w:ascii="Calibri" w:hAnsi="Calibri"/>
        </w:rPr>
      </w:pPr>
      <w:r w:rsidRPr="002C224A">
        <w:rPr>
          <w:rFonts w:ascii="Calibri" w:hAnsi="Calibri"/>
        </w:rPr>
        <w:t xml:space="preserve">Očekávané výsledky </w:t>
      </w:r>
    </w:p>
    <w:p w:rsidR="00F005CE" w:rsidRPr="00A50943" w:rsidRDefault="00F005CE" w:rsidP="00F005CE"/>
    <w:p w:rsidR="00A06533" w:rsidRPr="00360BA1" w:rsidRDefault="00A06533" w:rsidP="00A06533">
      <w:pPr>
        <w:pStyle w:val="Odstavecseseznamem2"/>
        <w:overflowPunct w:val="0"/>
        <w:autoSpaceDE w:val="0"/>
        <w:autoSpaceDN w:val="0"/>
        <w:adjustRightInd w:val="0"/>
        <w:spacing w:after="160"/>
        <w:ind w:left="0"/>
        <w:jc w:val="both"/>
        <w:textAlignment w:val="baseline"/>
      </w:pPr>
      <w:r>
        <w:lastRenderedPageBreak/>
        <w:t xml:space="preserve">Následující tabulka udává hlavní indikátory cílů SC </w:t>
      </w:r>
      <w:r w:rsidR="00087105">
        <w:t>3</w:t>
      </w:r>
      <w:r>
        <w:t>.1 definované v operačním programu.</w:t>
      </w:r>
    </w:p>
    <w:p w:rsidR="00A06533" w:rsidRDefault="00A06533" w:rsidP="00A06533">
      <w:pPr>
        <w:pStyle w:val="Titulek"/>
        <w:keepNext/>
      </w:pPr>
      <w:r>
        <w:t>Tabulka</w:t>
      </w:r>
      <w:r w:rsidR="004A4860">
        <w:rPr>
          <w:noProof/>
        </w:rPr>
        <w:t xml:space="preserve"> 123</w:t>
      </w:r>
      <w:r>
        <w:t xml:space="preserve">: Ukazatele výsledků SC </w:t>
      </w:r>
      <w:r w:rsidR="00087105">
        <w:t>3</w:t>
      </w:r>
      <w:r>
        <w:t>.1</w:t>
      </w:r>
    </w:p>
    <w:tbl>
      <w:tblPr>
        <w:tblW w:w="9186" w:type="dxa"/>
        <w:tblCellMar>
          <w:left w:w="57" w:type="dxa"/>
          <w:right w:w="57" w:type="dxa"/>
        </w:tblCellMar>
        <w:tblLook w:val="01E0" w:firstRow="1" w:lastRow="1" w:firstColumn="1" w:lastColumn="1" w:noHBand="0" w:noVBand="0"/>
      </w:tblPr>
      <w:tblGrid>
        <w:gridCol w:w="2170"/>
        <w:gridCol w:w="1033"/>
        <w:gridCol w:w="1200"/>
        <w:gridCol w:w="1104"/>
        <w:gridCol w:w="819"/>
        <w:gridCol w:w="890"/>
        <w:gridCol w:w="1008"/>
        <w:gridCol w:w="962"/>
      </w:tblGrid>
      <w:tr w:rsidR="00A06533" w:rsidRPr="00360BA1" w:rsidTr="00B86390">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Ukazatel</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Měrná jednotka</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Kategorie regionu</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Cílová hodnota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Default="00A06533" w:rsidP="00B86390">
            <w:pPr>
              <w:pStyle w:val="Tabulka"/>
              <w:keepNext/>
              <w:keepLines/>
              <w:rPr>
                <w:rFonts w:ascii="Calibri" w:hAnsi="Calibri" w:cs="Calibri"/>
                <w:b/>
              </w:rPr>
            </w:pPr>
            <w:r>
              <w:rPr>
                <w:rFonts w:ascii="Calibri" w:hAnsi="Calibri" w:cs="Calibri"/>
                <w:b/>
              </w:rPr>
              <w:t>Četnost podávání zpráv</w:t>
            </w:r>
          </w:p>
        </w:tc>
      </w:tr>
      <w:tr w:rsidR="00A06533" w:rsidRPr="00360BA1" w:rsidTr="00B86390">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087105" w:rsidRPr="00087105" w:rsidRDefault="00087105" w:rsidP="00087105">
            <w:pPr>
              <w:pStyle w:val="Tabulka"/>
              <w:rPr>
                <w:rFonts w:ascii="Calibri" w:hAnsi="Calibri" w:cs="Calibri"/>
              </w:rPr>
            </w:pPr>
            <w:r w:rsidRPr="00087105">
              <w:rPr>
                <w:rFonts w:ascii="Calibri" w:hAnsi="Calibri" w:cs="Calibri"/>
              </w:rPr>
              <w:t>Celkový</w:t>
            </w:r>
          </w:p>
          <w:p w:rsidR="00087105" w:rsidRPr="00087105" w:rsidRDefault="00087105" w:rsidP="00087105">
            <w:pPr>
              <w:pStyle w:val="Tabulka"/>
              <w:rPr>
                <w:rFonts w:ascii="Calibri" w:hAnsi="Calibri" w:cs="Calibri"/>
              </w:rPr>
            </w:pPr>
            <w:r w:rsidRPr="00087105">
              <w:rPr>
                <w:rFonts w:ascii="Calibri" w:hAnsi="Calibri" w:cs="Calibri"/>
              </w:rPr>
              <w:t>instalovaný</w:t>
            </w:r>
          </w:p>
          <w:p w:rsidR="00A06533" w:rsidRPr="00360BA1" w:rsidRDefault="00087105" w:rsidP="00087105">
            <w:pPr>
              <w:pStyle w:val="Tabulka"/>
              <w:rPr>
                <w:rFonts w:ascii="Calibri" w:hAnsi="Calibri" w:cs="Calibri"/>
              </w:rPr>
            </w:pPr>
            <w:r w:rsidRPr="00087105">
              <w:rPr>
                <w:rFonts w:ascii="Calibri" w:hAnsi="Calibri" w:cs="Calibri"/>
              </w:rPr>
              <w:t>výkon z OZE</w:t>
            </w:r>
          </w:p>
        </w:tc>
        <w:tc>
          <w:tcPr>
            <w:tcW w:w="1033"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087105" w:rsidP="00B86390">
            <w:pPr>
              <w:pStyle w:val="Tabulka"/>
              <w:rPr>
                <w:rFonts w:ascii="Calibri" w:hAnsi="Calibri" w:cs="Calibri"/>
              </w:rPr>
            </w:pPr>
            <w:r>
              <w:rPr>
                <w:rFonts w:ascii="Calibri" w:hAnsi="Calibri" w:cs="Calibri"/>
              </w:rPr>
              <w:t>MW</w:t>
            </w:r>
          </w:p>
        </w:tc>
        <w:tc>
          <w:tcPr>
            <w:tcW w:w="120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087105" w:rsidP="00B86390">
            <w:pPr>
              <w:pStyle w:val="Tabulka"/>
              <w:rPr>
                <w:rFonts w:ascii="Calibri" w:hAnsi="Calibri" w:cs="Calibri"/>
              </w:rPr>
            </w:pPr>
            <w:r>
              <w:rPr>
                <w:rFonts w:ascii="Calibri" w:hAnsi="Calibri" w:cs="Calibri"/>
              </w:rPr>
              <w:t>667,1</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Pr>
                <w:rFonts w:ascii="Calibri" w:hAnsi="Calibri" w:cs="Calibri"/>
              </w:rPr>
              <w:t>201</w:t>
            </w:r>
            <w:r w:rsidR="00087105">
              <w:rPr>
                <w:rFonts w:ascii="Calibri" w:hAnsi="Calibri" w:cs="Calibri"/>
              </w:rPr>
              <w:t>3</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087105" w:rsidP="00B86390">
            <w:pPr>
              <w:pStyle w:val="Tabulka"/>
              <w:rPr>
                <w:rFonts w:ascii="Calibri" w:hAnsi="Calibri" w:cs="Calibri"/>
              </w:rPr>
            </w:pPr>
            <w:r>
              <w:rPr>
                <w:rFonts w:ascii="Calibri" w:hAnsi="Calibri" w:cs="Calibri"/>
              </w:rPr>
              <w:t>720</w:t>
            </w:r>
          </w:p>
        </w:tc>
        <w:tc>
          <w:tcPr>
            <w:tcW w:w="1008"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2C224A">
            <w:pPr>
              <w:pStyle w:val="Tabulka"/>
              <w:rPr>
                <w:rFonts w:ascii="Calibri" w:hAnsi="Calibri" w:cs="Calibri"/>
              </w:rPr>
            </w:pPr>
            <w:r w:rsidRPr="00A52D1B">
              <w:rPr>
                <w:rFonts w:ascii="Calibri" w:hAnsi="Calibri" w:cs="Calibri"/>
              </w:rPr>
              <w:t xml:space="preserve">ŘO </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9A0402" w:rsidP="00B86390">
            <w:pPr>
              <w:pStyle w:val="Tabulka"/>
              <w:rPr>
                <w:rFonts w:ascii="Calibri" w:hAnsi="Calibri" w:cs="Calibri"/>
              </w:rPr>
            </w:pPr>
            <w:r>
              <w:rPr>
                <w:rFonts w:ascii="Calibri" w:hAnsi="Calibri" w:cs="Calibri"/>
              </w:rPr>
              <w:t>R</w:t>
            </w:r>
            <w:r w:rsidR="00A06533">
              <w:rPr>
                <w:rFonts w:ascii="Calibri" w:hAnsi="Calibri" w:cs="Calibri"/>
              </w:rPr>
              <w:t>očně</w:t>
            </w:r>
          </w:p>
        </w:tc>
      </w:tr>
    </w:tbl>
    <w:p w:rsidR="00A06533" w:rsidRDefault="00A06533" w:rsidP="00A06533">
      <w:pPr>
        <w:pStyle w:val="Odstavecseseznamem2"/>
        <w:overflowPunct w:val="0"/>
        <w:autoSpaceDE w:val="0"/>
        <w:autoSpaceDN w:val="0"/>
        <w:adjustRightInd w:val="0"/>
        <w:spacing w:after="160"/>
        <w:ind w:left="0"/>
        <w:jc w:val="both"/>
        <w:textAlignment w:val="baseline"/>
      </w:pPr>
    </w:p>
    <w:p w:rsidR="00A06533" w:rsidRDefault="00A06533" w:rsidP="00A06533">
      <w:pPr>
        <w:pStyle w:val="Odstavecseseznamem2"/>
        <w:overflowPunct w:val="0"/>
        <w:autoSpaceDE w:val="0"/>
        <w:autoSpaceDN w:val="0"/>
        <w:adjustRightInd w:val="0"/>
        <w:spacing w:after="160"/>
        <w:ind w:left="0"/>
        <w:jc w:val="both"/>
        <w:textAlignment w:val="baseline"/>
      </w:pPr>
      <w:r>
        <w:t>Finanční nástroje by se měly na naplnění těchto cílových hodnot podílet skrze dosažení cílových hodnot následujících ukazatelů, jejichž rámcová kvantifikace byla provedena na základě výše uvedených modelových scénářů.</w:t>
      </w:r>
    </w:p>
    <w:p w:rsidR="00165CE4" w:rsidRPr="002C224A" w:rsidRDefault="00165CE4" w:rsidP="00F005CE"/>
    <w:p w:rsidR="00971D98" w:rsidRPr="002C224A" w:rsidRDefault="00971D98" w:rsidP="00A50943">
      <w:pPr>
        <w:pStyle w:val="Titulek"/>
      </w:pPr>
      <w:r w:rsidRPr="002C224A">
        <w:t>Tabulka 1</w:t>
      </w:r>
      <w:r w:rsidR="004A4860">
        <w:t>24</w:t>
      </w:r>
      <w:r w:rsidRPr="002C224A">
        <w:t xml:space="preserve">: </w:t>
      </w:r>
      <w:r w:rsidR="00E70FB3">
        <w:t>Cílové hodnoty FN</w:t>
      </w:r>
    </w:p>
    <w:tbl>
      <w:tblPr>
        <w:tblW w:w="0" w:type="auto"/>
        <w:tblCellMar>
          <w:left w:w="57" w:type="dxa"/>
          <w:right w:w="57" w:type="dxa"/>
        </w:tblCellMar>
        <w:tblLook w:val="01E0" w:firstRow="1" w:lastRow="1" w:firstColumn="1" w:lastColumn="1" w:noHBand="0" w:noVBand="0"/>
      </w:tblPr>
      <w:tblGrid>
        <w:gridCol w:w="4357"/>
        <w:gridCol w:w="1321"/>
        <w:gridCol w:w="1750"/>
        <w:gridCol w:w="1634"/>
      </w:tblGrid>
      <w:tr w:rsidR="00033CBD" w:rsidRPr="002C224A" w:rsidTr="005B4E91">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71D98" w:rsidRPr="002C224A" w:rsidRDefault="00971D98" w:rsidP="005B4E91">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71D98" w:rsidRPr="002C224A" w:rsidRDefault="00971D98" w:rsidP="005B4E91">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71D98" w:rsidRPr="002C224A" w:rsidRDefault="00971D98" w:rsidP="005B4E91">
            <w:pPr>
              <w:pStyle w:val="Tabulka"/>
              <w:keepNext/>
              <w:keepLines/>
              <w:rPr>
                <w:rFonts w:ascii="Calibri" w:hAnsi="Calibri" w:cs="Calibri"/>
                <w:b/>
              </w:rPr>
            </w:pPr>
            <w:r w:rsidRPr="002C224A">
              <w:rPr>
                <w:rFonts w:ascii="Calibri" w:hAnsi="Calibri"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71D98" w:rsidRPr="002C224A" w:rsidRDefault="00971D98" w:rsidP="005B4E91">
            <w:pPr>
              <w:pStyle w:val="Tabulka"/>
              <w:keepNext/>
              <w:keepLines/>
              <w:rPr>
                <w:rFonts w:ascii="Calibri" w:hAnsi="Calibri" w:cs="Calibri"/>
                <w:b/>
              </w:rPr>
            </w:pPr>
            <w:r w:rsidRPr="002C224A">
              <w:rPr>
                <w:rFonts w:ascii="Calibri" w:hAnsi="Calibri" w:cs="Calibri"/>
                <w:b/>
              </w:rPr>
              <w:t>Cílová hodnota (2023)</w:t>
            </w:r>
          </w:p>
        </w:tc>
      </w:tr>
      <w:tr w:rsidR="00033CBD"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8D7D8A" w:rsidP="00A50943">
            <w:pPr>
              <w:pStyle w:val="Tabulka"/>
              <w:jc w:val="left"/>
              <w:rPr>
                <w:rFonts w:ascii="Calibri" w:hAnsi="Calibri" w:cs="Calibri"/>
              </w:rPr>
            </w:pPr>
            <w:r>
              <w:rPr>
                <w:rFonts w:ascii="Calibri" w:hAnsi="Calibri" w:cs="Calibri"/>
              </w:rPr>
              <w:t>Soustrojí MVE</w:t>
            </w:r>
          </w:p>
        </w:tc>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033CBD" w:rsidP="005B4E91">
            <w:pPr>
              <w:pStyle w:val="Tabulka"/>
              <w:rPr>
                <w:rFonts w:ascii="Calibri" w:hAnsi="Calibri" w:cs="Calibri"/>
              </w:rPr>
            </w:pPr>
            <w:r w:rsidRPr="002C224A">
              <w:rPr>
                <w:rFonts w:ascii="Calibri" w:hAnsi="Calibri" w:cs="Calibri"/>
              </w:rPr>
              <w:t>MVE</w:t>
            </w:r>
          </w:p>
        </w:tc>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971D98" w:rsidP="005B4E91">
            <w:pPr>
              <w:pStyle w:val="Tabulka"/>
              <w:rPr>
                <w:rFonts w:ascii="Calibri" w:hAnsi="Calibri" w:cs="Calibri"/>
              </w:rPr>
            </w:pPr>
            <w:r w:rsidRPr="002C224A">
              <w:rPr>
                <w:rFonts w:ascii="Calibri" w:hAnsi="Calibri"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38229A" w:rsidP="005B4E91">
            <w:pPr>
              <w:pStyle w:val="Tabulka"/>
              <w:rPr>
                <w:rFonts w:ascii="Calibri" w:hAnsi="Calibri" w:cs="Calibri"/>
              </w:rPr>
            </w:pPr>
            <w:r>
              <w:rPr>
                <w:rFonts w:ascii="Calibri" w:hAnsi="Calibri" w:cs="Calibri"/>
              </w:rPr>
              <w:t>7</w:t>
            </w:r>
            <w:r w:rsidR="00173B55">
              <w:rPr>
                <w:rFonts w:ascii="Calibri" w:hAnsi="Calibri" w:cs="Calibri"/>
              </w:rPr>
              <w:t>0</w:t>
            </w:r>
            <w:r w:rsidR="00033CBD" w:rsidRPr="002C224A">
              <w:rPr>
                <w:rFonts w:ascii="Calibri" w:hAnsi="Calibri" w:cs="Calibri"/>
              </w:rPr>
              <w:t>-</w:t>
            </w:r>
            <w:r>
              <w:rPr>
                <w:rFonts w:ascii="Calibri" w:hAnsi="Calibri" w:cs="Calibri"/>
              </w:rPr>
              <w:t>10</w:t>
            </w:r>
            <w:r w:rsidR="00173B55">
              <w:rPr>
                <w:rFonts w:ascii="Calibri" w:hAnsi="Calibri" w:cs="Calibri"/>
              </w:rPr>
              <w:t>0</w:t>
            </w:r>
          </w:p>
        </w:tc>
      </w:tr>
      <w:tr w:rsidR="00033CBD" w:rsidRPr="002C224A" w:rsidTr="005B4E91">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971D98" w:rsidP="005B4E91">
            <w:pPr>
              <w:pStyle w:val="Tabulka"/>
              <w:jc w:val="left"/>
              <w:rPr>
                <w:rFonts w:ascii="Calibri" w:hAnsi="Calibri" w:cs="Calibri"/>
              </w:rPr>
            </w:pPr>
            <w:r w:rsidRPr="002C224A">
              <w:rPr>
                <w:rFonts w:ascii="Calibri" w:hAnsi="Calibri"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971D98" w:rsidP="005B4E91">
            <w:pPr>
              <w:pStyle w:val="Tabulka"/>
              <w:rPr>
                <w:rFonts w:ascii="Calibri" w:hAnsi="Calibri" w:cs="Calibri"/>
              </w:rPr>
            </w:pPr>
            <w:r w:rsidRPr="002C224A">
              <w:rPr>
                <w:rFonts w:ascii="Calibri" w:hAnsi="Calibri" w:cs="Calibri"/>
              </w:rPr>
              <w:t>Mil. CZK</w:t>
            </w:r>
          </w:p>
        </w:tc>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971D98" w:rsidP="005B4E91">
            <w:pPr>
              <w:pStyle w:val="Tabulka"/>
              <w:rPr>
                <w:rFonts w:ascii="Calibri" w:hAnsi="Calibri" w:cs="Calibri"/>
              </w:rPr>
            </w:pPr>
            <w:r w:rsidRPr="002C224A">
              <w:rPr>
                <w:rFonts w:ascii="Calibri" w:hAnsi="Calibri"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971D98" w:rsidRPr="002C224A" w:rsidRDefault="00350D24" w:rsidP="00A50943">
            <w:pPr>
              <w:pStyle w:val="Tabulka"/>
              <w:rPr>
                <w:rFonts w:ascii="Calibri" w:hAnsi="Calibri" w:cs="Calibri"/>
              </w:rPr>
            </w:pPr>
            <w:r>
              <w:rPr>
                <w:rFonts w:ascii="Calibri" w:hAnsi="Calibri" w:cs="Calibri"/>
              </w:rPr>
              <w:t>8</w:t>
            </w:r>
            <w:r w:rsidR="00F000B2">
              <w:rPr>
                <w:rFonts w:ascii="Calibri" w:hAnsi="Calibri" w:cs="Calibri"/>
              </w:rPr>
              <w:t>00</w:t>
            </w:r>
            <w:r w:rsidR="00971D98" w:rsidRPr="002C224A">
              <w:rPr>
                <w:rFonts w:ascii="Calibri" w:hAnsi="Calibri" w:cs="Calibri"/>
              </w:rPr>
              <w:t>-1</w:t>
            </w:r>
            <w:r>
              <w:rPr>
                <w:rFonts w:ascii="Calibri" w:hAnsi="Calibri" w:cs="Calibri"/>
              </w:rPr>
              <w:t>2</w:t>
            </w:r>
            <w:r w:rsidR="00F000B2">
              <w:rPr>
                <w:rFonts w:ascii="Calibri" w:hAnsi="Calibri" w:cs="Calibri"/>
              </w:rPr>
              <w:t>00</w:t>
            </w:r>
          </w:p>
        </w:tc>
      </w:tr>
    </w:tbl>
    <w:p w:rsidR="00971D98" w:rsidRPr="00A50943" w:rsidRDefault="00971D98" w:rsidP="00F005CE"/>
    <w:p w:rsidR="00E46303" w:rsidRPr="00E46303" w:rsidRDefault="00E46303" w:rsidP="002C224A">
      <w:pPr>
        <w:pStyle w:val="Odstavecseseznamem2"/>
        <w:overflowPunct w:val="0"/>
        <w:autoSpaceDE w:val="0"/>
        <w:autoSpaceDN w:val="0"/>
        <w:adjustRightInd w:val="0"/>
        <w:spacing w:after="160"/>
        <w:ind w:left="0"/>
        <w:jc w:val="both"/>
        <w:textAlignment w:val="baseline"/>
      </w:pPr>
      <w:r w:rsidRPr="00E46303">
        <w:t>Následující indikátory budou sledovány za účelem monitorování příspěvku finančního nástroje k cílům OP (s hvězdičkou jsou uvedeny indikátory, které budou sledovány rovněž na úrovni projektů konečných příjemců) na základě Národního číselníku indikátorů MMR:</w:t>
      </w:r>
    </w:p>
    <w:p w:rsidR="00453AD2" w:rsidRPr="002C224A" w:rsidRDefault="00453AD2" w:rsidP="002C224A">
      <w:pPr>
        <w:numPr>
          <w:ilvl w:val="0"/>
          <w:numId w:val="90"/>
        </w:numPr>
      </w:pPr>
      <w:r w:rsidRPr="002C224A">
        <w:t>34610 Výroba elektrické energie z obnovitelných zdrojů celkem*</w:t>
      </w:r>
    </w:p>
    <w:p w:rsidR="00F005CE" w:rsidRPr="002C224A" w:rsidRDefault="00E70FB3" w:rsidP="002C224A">
      <w:pPr>
        <w:numPr>
          <w:ilvl w:val="0"/>
          <w:numId w:val="90"/>
        </w:numPr>
      </w:pPr>
      <w:r w:rsidRPr="002C224A">
        <w:t xml:space="preserve">36010 </w:t>
      </w:r>
      <w:r w:rsidR="00F005CE" w:rsidRPr="002C224A">
        <w:t>Odhadované roční snížení emisí skleníkových plynů</w:t>
      </w:r>
      <w:r w:rsidR="00B0503D" w:rsidRPr="002C224A">
        <w:t>*</w:t>
      </w:r>
    </w:p>
    <w:p w:rsidR="00F005CE" w:rsidRPr="002C224A" w:rsidRDefault="00E70FB3" w:rsidP="002C224A">
      <w:pPr>
        <w:numPr>
          <w:ilvl w:val="0"/>
          <w:numId w:val="90"/>
        </w:numPr>
      </w:pPr>
      <w:r w:rsidRPr="002C224A">
        <w:t xml:space="preserve">34601 </w:t>
      </w:r>
      <w:r w:rsidR="00F005CE" w:rsidRPr="002C224A">
        <w:t>Nová kapacita zařízení pro výrobu energie z obnovitelných zdrojů</w:t>
      </w:r>
      <w:r w:rsidR="00E46303" w:rsidRPr="002C224A">
        <w:t>*</w:t>
      </w:r>
    </w:p>
    <w:p w:rsidR="00F005CE" w:rsidRPr="002C224A" w:rsidRDefault="00E70FB3" w:rsidP="002C224A">
      <w:pPr>
        <w:numPr>
          <w:ilvl w:val="0"/>
          <w:numId w:val="90"/>
        </w:numPr>
      </w:pPr>
      <w:r w:rsidRPr="002C224A">
        <w:t xml:space="preserve">33902 </w:t>
      </w:r>
      <w:r w:rsidR="00F005CE" w:rsidRPr="002C224A">
        <w:t>Soustrojí MVE</w:t>
      </w:r>
      <w:r w:rsidR="00E46303" w:rsidRPr="002C224A">
        <w:t>*</w:t>
      </w:r>
    </w:p>
    <w:p w:rsidR="00EA5763" w:rsidRPr="002C224A" w:rsidRDefault="00EA5763" w:rsidP="002C224A">
      <w:pPr>
        <w:numPr>
          <w:ilvl w:val="0"/>
          <w:numId w:val="90"/>
        </w:numPr>
      </w:pPr>
      <w:r w:rsidRPr="002C224A">
        <w:rPr>
          <w:rFonts w:cs="Calibri"/>
        </w:rPr>
        <w:t>10103 Soukromé investice v projektech s veřejnou podporou (jiné než granty)</w:t>
      </w:r>
      <w:r w:rsidR="0019232C">
        <w:rPr>
          <w:rFonts w:cs="Calibri"/>
        </w:rPr>
        <w:t>*</w:t>
      </w:r>
    </w:p>
    <w:p w:rsidR="0019232C" w:rsidRPr="0019232C" w:rsidRDefault="0019232C" w:rsidP="002C224A">
      <w:pPr>
        <w:numPr>
          <w:ilvl w:val="0"/>
          <w:numId w:val="90"/>
        </w:numPr>
      </w:pPr>
      <w:r w:rsidRPr="0019232C">
        <w:t>10103 Počet podniků pobírajících jinou finanční podporu než granty</w:t>
      </w:r>
    </w:p>
    <w:p w:rsidR="00F005CE" w:rsidRPr="002C224A" w:rsidRDefault="0019232C" w:rsidP="002C224A">
      <w:pPr>
        <w:numPr>
          <w:ilvl w:val="0"/>
          <w:numId w:val="90"/>
        </w:numPr>
      </w:pPr>
      <w:r w:rsidRPr="0019232C">
        <w:rPr>
          <w:rFonts w:cs="Calibri"/>
        </w:rPr>
        <w:t>33902</w:t>
      </w:r>
      <w:r>
        <w:rPr>
          <w:rFonts w:cs="Calibri"/>
        </w:rPr>
        <w:t xml:space="preserve"> </w:t>
      </w:r>
      <w:r w:rsidR="00F005CE" w:rsidRPr="002C224A">
        <w:t>Zvýšení instalovaného elektrického výkonu u podpořených subjektů</w:t>
      </w:r>
      <w:r w:rsidR="00B0503D" w:rsidRPr="002C224A">
        <w:t>*</w:t>
      </w:r>
    </w:p>
    <w:p w:rsidR="00E70FB3" w:rsidRPr="002C224A" w:rsidRDefault="00E70FB3" w:rsidP="002C224A">
      <w:pPr>
        <w:numPr>
          <w:ilvl w:val="0"/>
          <w:numId w:val="90"/>
        </w:numPr>
        <w:rPr>
          <w:rFonts w:cs="Calibri"/>
        </w:rPr>
      </w:pPr>
      <w:r w:rsidRPr="002C224A">
        <w:rPr>
          <w:rFonts w:cs="Calibri"/>
        </w:rPr>
        <w:t>10000 Počet podniků pobírajících podporu</w:t>
      </w:r>
    </w:p>
    <w:p w:rsidR="00E70FB3" w:rsidRPr="002C224A" w:rsidRDefault="00E70FB3" w:rsidP="002C224A">
      <w:pPr>
        <w:numPr>
          <w:ilvl w:val="0"/>
          <w:numId w:val="90"/>
        </w:numPr>
        <w:rPr>
          <w:rFonts w:eastAsia="Calibri" w:cs="Calibri"/>
        </w:rPr>
      </w:pPr>
      <w:r w:rsidRPr="002C224A">
        <w:rPr>
          <w:rFonts w:cs="Calibri"/>
        </w:rPr>
        <w:t>34600 Nová kapacita zařízení pro výrobu energie z obnovitelných zdrojů</w:t>
      </w:r>
    </w:p>
    <w:p w:rsidR="00E70FB3" w:rsidRPr="002C224A" w:rsidRDefault="00E70FB3" w:rsidP="002C224A">
      <w:pPr>
        <w:numPr>
          <w:ilvl w:val="0"/>
          <w:numId w:val="90"/>
        </w:numPr>
        <w:rPr>
          <w:rFonts w:cs="Calibri"/>
        </w:rPr>
      </w:pPr>
      <w:r w:rsidRPr="002C224A">
        <w:rPr>
          <w:rFonts w:cs="Calibri"/>
        </w:rPr>
        <w:t>33900 Instalovaný výkon v ES ČR</w:t>
      </w:r>
    </w:p>
    <w:p w:rsidR="00E70FB3" w:rsidRPr="002C224A" w:rsidRDefault="00E70FB3" w:rsidP="002C224A">
      <w:pPr>
        <w:numPr>
          <w:ilvl w:val="0"/>
          <w:numId w:val="90"/>
        </w:numPr>
        <w:rPr>
          <w:rFonts w:cs="Calibri"/>
        </w:rPr>
      </w:pPr>
      <w:r w:rsidRPr="002C224A">
        <w:rPr>
          <w:rFonts w:cs="Calibri"/>
        </w:rPr>
        <w:t>33910 Celkový instalovaný výkon z OZE</w:t>
      </w:r>
    </w:p>
    <w:p w:rsidR="00E70FB3" w:rsidRPr="002C224A" w:rsidRDefault="00E70FB3" w:rsidP="002C224A">
      <w:pPr>
        <w:pStyle w:val="Default"/>
        <w:spacing w:after="120"/>
        <w:jc w:val="both"/>
        <w:rPr>
          <w:rFonts w:ascii="Calibri" w:hAnsi="Calibri"/>
          <w:color w:val="auto"/>
          <w:sz w:val="22"/>
          <w:szCs w:val="22"/>
        </w:rPr>
      </w:pPr>
    </w:p>
    <w:p w:rsidR="006D67F1" w:rsidRPr="002C224A" w:rsidRDefault="006D67F1" w:rsidP="00452FC6">
      <w:pPr>
        <w:pStyle w:val="Nadpis4"/>
        <w:rPr>
          <w:rFonts w:ascii="Calibri" w:hAnsi="Calibri"/>
        </w:rPr>
      </w:pPr>
      <w:r w:rsidRPr="002C224A">
        <w:rPr>
          <w:rFonts w:ascii="Calibri" w:hAnsi="Calibri"/>
        </w:rPr>
        <w:t>Dílčí shrnutí</w:t>
      </w:r>
    </w:p>
    <w:p w:rsidR="006D67F1" w:rsidRPr="002C224A" w:rsidRDefault="006D67F1" w:rsidP="00452FC6">
      <w:pPr>
        <w:pStyle w:val="CaptionIntroductionparagraph"/>
        <w:rPr>
          <w:rFonts w:ascii="Calibri" w:hAnsi="Calibri"/>
        </w:rPr>
      </w:pPr>
    </w:p>
    <w:bookmarkEnd w:id="1351"/>
    <w:bookmarkEnd w:id="1352"/>
    <w:p w:rsidR="006D67F1" w:rsidRPr="002C224A" w:rsidRDefault="006D67F1" w:rsidP="00CE3165">
      <w:pPr>
        <w:pStyle w:val="CaptionIntroductionparagraph"/>
        <w:rPr>
          <w:rFonts w:ascii="Calibri" w:hAnsi="Calibri"/>
        </w:rPr>
      </w:pPr>
      <w:r w:rsidRPr="002C224A">
        <w:rPr>
          <w:rFonts w:ascii="Calibri" w:hAnsi="Calibri"/>
        </w:rPr>
        <w:t xml:space="preserve">Úvěrový nástroj </w:t>
      </w:r>
    </w:p>
    <w:p w:rsidR="006D67F1" w:rsidRPr="00A50943" w:rsidRDefault="006D67F1"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1871"/>
        <w:gridCol w:w="7199"/>
      </w:tblGrid>
      <w:tr w:rsidR="006D67F1" w:rsidRPr="002C224A" w:rsidTr="00165EB0">
        <w:tc>
          <w:tcPr>
            <w:tcW w:w="1871" w:type="dxa"/>
            <w:shd w:val="clear" w:color="auto" w:fill="ECFFC3"/>
          </w:tcPr>
          <w:p w:rsidR="006D67F1" w:rsidRPr="002C224A" w:rsidRDefault="006D67F1" w:rsidP="00A47740">
            <w:pPr>
              <w:rPr>
                <w:b/>
              </w:rPr>
            </w:pPr>
          </w:p>
        </w:tc>
        <w:tc>
          <w:tcPr>
            <w:tcW w:w="7199" w:type="dxa"/>
            <w:shd w:val="clear" w:color="auto" w:fill="ECFFC3"/>
          </w:tcPr>
          <w:p w:rsidR="006D67F1" w:rsidRPr="002C224A" w:rsidRDefault="006D67F1" w:rsidP="00A47740">
            <w:pPr>
              <w:ind w:left="38"/>
              <w:rPr>
                <w:b/>
              </w:rPr>
            </w:pPr>
          </w:p>
        </w:tc>
      </w:tr>
      <w:tr w:rsidR="006D67F1" w:rsidRPr="002C224A" w:rsidTr="00165EB0">
        <w:tc>
          <w:tcPr>
            <w:tcW w:w="1871" w:type="dxa"/>
            <w:shd w:val="clear" w:color="auto" w:fill="92D400"/>
            <w:noWrap/>
          </w:tcPr>
          <w:p w:rsidR="006D67F1" w:rsidRPr="002C224A" w:rsidRDefault="006D67F1" w:rsidP="00A47740">
            <w:pPr>
              <w:rPr>
                <w:b/>
                <w:color w:val="FFFFFF"/>
              </w:rPr>
            </w:pPr>
            <w:r w:rsidRPr="002C224A">
              <w:rPr>
                <w:b/>
                <w:color w:val="FFFFFF"/>
              </w:rPr>
              <w:lastRenderedPageBreak/>
              <w:t>Cíle finančního nástroje</w:t>
            </w:r>
          </w:p>
        </w:tc>
        <w:tc>
          <w:tcPr>
            <w:tcW w:w="7199" w:type="dxa"/>
            <w:shd w:val="clear" w:color="auto" w:fill="FFFFFF"/>
            <w:noWrap/>
          </w:tcPr>
          <w:p w:rsidR="006D67F1" w:rsidRPr="002C224A" w:rsidRDefault="006D67F1" w:rsidP="00A47740">
            <w:r w:rsidRPr="002C224A">
              <w:t xml:space="preserve">Odstranit definovanou tržní mezeru v dostupnosti finančních prostředků pro konečného příjemce. Toho bude dosaženo poskytnutím zvýhodněného úvěru spolu s příspěvkem na úhradu zpracování energetického auditu. </w:t>
            </w:r>
          </w:p>
        </w:tc>
      </w:tr>
      <w:tr w:rsidR="006D67F1" w:rsidRPr="002C224A" w:rsidTr="00165EB0">
        <w:tc>
          <w:tcPr>
            <w:tcW w:w="1871" w:type="dxa"/>
            <w:shd w:val="clear" w:color="auto" w:fill="92D400"/>
            <w:noWrap/>
          </w:tcPr>
          <w:p w:rsidR="006D67F1" w:rsidRPr="002C224A" w:rsidRDefault="006D67F1" w:rsidP="00A47740">
            <w:pPr>
              <w:jc w:val="left"/>
              <w:rPr>
                <w:b/>
                <w:color w:val="FFFFFF"/>
              </w:rPr>
            </w:pPr>
            <w:r w:rsidRPr="002C224A">
              <w:rPr>
                <w:b/>
                <w:color w:val="FFFFFF"/>
              </w:rPr>
              <w:t>Definice a kritéria způsobilých projektů</w:t>
            </w:r>
          </w:p>
        </w:tc>
        <w:tc>
          <w:tcPr>
            <w:tcW w:w="7199" w:type="dxa"/>
            <w:shd w:val="clear" w:color="auto" w:fill="FFFFFF"/>
            <w:noWrap/>
          </w:tcPr>
          <w:p w:rsidR="006D67F1" w:rsidRPr="002C224A" w:rsidRDefault="006D67F1" w:rsidP="00C72C85">
            <w:r w:rsidRPr="002C224A">
              <w:t>Výstavba nových nebo rekonstrukce stávajících výroben elektřiny v podobě malých vodních elektráren (do 10 MW instalovaného výkonu)</w:t>
            </w:r>
          </w:p>
        </w:tc>
      </w:tr>
      <w:tr w:rsidR="006D67F1" w:rsidRPr="002C224A" w:rsidTr="00165EB0">
        <w:tc>
          <w:tcPr>
            <w:tcW w:w="1871" w:type="dxa"/>
            <w:shd w:val="clear" w:color="auto" w:fill="92D400"/>
            <w:noWrap/>
          </w:tcPr>
          <w:p w:rsidR="006D67F1" w:rsidRPr="002C224A" w:rsidRDefault="006D67F1" w:rsidP="00A47740">
            <w:pPr>
              <w:rPr>
                <w:b/>
                <w:color w:val="FFFFFF"/>
              </w:rPr>
            </w:pPr>
            <w:r w:rsidRPr="002C224A">
              <w:rPr>
                <w:b/>
                <w:color w:val="FFFFFF"/>
              </w:rPr>
              <w:t>Forma podpory</w:t>
            </w:r>
          </w:p>
        </w:tc>
        <w:tc>
          <w:tcPr>
            <w:tcW w:w="7199" w:type="dxa"/>
            <w:shd w:val="clear" w:color="auto" w:fill="FFFFFF"/>
            <w:noWrap/>
          </w:tcPr>
          <w:p w:rsidR="006D67F1" w:rsidRPr="002C224A" w:rsidRDefault="006D67F1" w:rsidP="008E4E77">
            <w:pPr>
              <w:spacing w:after="120"/>
              <w:rPr>
                <w:rFonts w:cs="Calibri"/>
                <w:szCs w:val="22"/>
              </w:rPr>
            </w:pPr>
            <w:r w:rsidRPr="002C224A">
              <w:rPr>
                <w:rFonts w:cs="Calibri"/>
                <w:szCs w:val="22"/>
              </w:rPr>
              <w:t>Kombinovaná podpora</w:t>
            </w:r>
          </w:p>
          <w:p w:rsidR="006D67F1" w:rsidRPr="002C224A" w:rsidRDefault="006D67F1" w:rsidP="008E4E77">
            <w:pPr>
              <w:spacing w:after="120"/>
              <w:rPr>
                <w:rFonts w:cs="Calibri"/>
                <w:szCs w:val="22"/>
              </w:rPr>
            </w:pPr>
            <w:r w:rsidRPr="002C224A">
              <w:rPr>
                <w:rFonts w:cs="Calibri"/>
                <w:szCs w:val="22"/>
              </w:rPr>
              <w:t>Zvýhodněný úvěr se sníženou úrokovou sazbou a delší dobou splatnosti</w:t>
            </w:r>
          </w:p>
          <w:p w:rsidR="006D67F1" w:rsidRPr="002C224A" w:rsidRDefault="006D67F1" w:rsidP="008E4E77">
            <w:pPr>
              <w:spacing w:after="120"/>
              <w:rPr>
                <w:rFonts w:cs="Calibri"/>
                <w:szCs w:val="22"/>
              </w:rPr>
            </w:pPr>
            <w:r w:rsidRPr="002C224A">
              <w:rPr>
                <w:rFonts w:cs="Calibri"/>
                <w:szCs w:val="22"/>
              </w:rPr>
              <w:t>Finanční příspěvek na úhradu úroků (subvence úrokové sazby – finanční příspěvek) za podmínky dosažení požadovaných výsledků</w:t>
            </w:r>
          </w:p>
          <w:p w:rsidR="006D67F1" w:rsidRPr="002C224A" w:rsidRDefault="006D67F1">
            <w:pPr>
              <w:rPr>
                <w:b/>
                <w:color w:val="FF0000"/>
              </w:rPr>
            </w:pPr>
            <w:r w:rsidRPr="002C224A">
              <w:rPr>
                <w:rFonts w:cs="Calibri"/>
                <w:szCs w:val="22"/>
              </w:rPr>
              <w:t>Úhrada nákladů na energetický audit a ověření úspory (finanční příspěvek)</w:t>
            </w:r>
          </w:p>
        </w:tc>
      </w:tr>
      <w:tr w:rsidR="006D67F1" w:rsidRPr="002C224A" w:rsidTr="00165EB0">
        <w:tc>
          <w:tcPr>
            <w:tcW w:w="1871" w:type="dxa"/>
            <w:shd w:val="clear" w:color="auto" w:fill="92D400"/>
            <w:noWrap/>
          </w:tcPr>
          <w:p w:rsidR="006D67F1" w:rsidRPr="002C224A" w:rsidRDefault="006D67F1" w:rsidP="00A47740">
            <w:pPr>
              <w:rPr>
                <w:b/>
                <w:color w:val="FFFFFF"/>
              </w:rPr>
            </w:pPr>
            <w:r w:rsidRPr="002C224A">
              <w:rPr>
                <w:b/>
                <w:color w:val="FFFFFF"/>
              </w:rPr>
              <w:t>Výše podpory</w:t>
            </w:r>
          </w:p>
        </w:tc>
        <w:tc>
          <w:tcPr>
            <w:tcW w:w="7199" w:type="dxa"/>
            <w:shd w:val="clear" w:color="auto" w:fill="FFFFFF"/>
            <w:noWrap/>
          </w:tcPr>
          <w:p w:rsidR="006D67F1" w:rsidRPr="002C224A" w:rsidRDefault="006D67F1" w:rsidP="00A47740">
            <w:r w:rsidRPr="002C224A">
              <w:t xml:space="preserve">Úvěr a subvence úrokové sazby se budou pohybovat v rozpětí 0,5 – </w:t>
            </w:r>
            <w:smartTag w:uri="urn:schemas-microsoft-com:office:smarttags" w:element="metricconverter">
              <w:smartTagPr>
                <w:attr w:name="ProductID" w:val="250 mil"/>
              </w:smartTagPr>
              <w:r w:rsidRPr="002C224A">
                <w:t>250 mil</w:t>
              </w:r>
            </w:smartTag>
            <w:r w:rsidRPr="002C224A">
              <w:t>. Kč.</w:t>
            </w:r>
          </w:p>
        </w:tc>
      </w:tr>
      <w:tr w:rsidR="006D67F1" w:rsidRPr="002C224A" w:rsidTr="00165EB0">
        <w:tc>
          <w:tcPr>
            <w:tcW w:w="1871" w:type="dxa"/>
            <w:shd w:val="clear" w:color="auto" w:fill="92D400"/>
            <w:noWrap/>
          </w:tcPr>
          <w:p w:rsidR="006D67F1" w:rsidRPr="002C224A" w:rsidRDefault="006D67F1" w:rsidP="00A47740">
            <w:pPr>
              <w:rPr>
                <w:b/>
                <w:color w:val="FFFFFF"/>
              </w:rPr>
            </w:pPr>
            <w:r w:rsidRPr="002C224A">
              <w:rPr>
                <w:b/>
                <w:color w:val="FFFFFF"/>
              </w:rPr>
              <w:t>Základní parametry poskytované podpory</w:t>
            </w:r>
          </w:p>
        </w:tc>
        <w:tc>
          <w:tcPr>
            <w:tcW w:w="7199" w:type="dxa"/>
            <w:shd w:val="clear" w:color="auto" w:fill="FFFFFF"/>
            <w:noWrap/>
          </w:tcPr>
          <w:p w:rsidR="006D67F1" w:rsidRPr="002C224A" w:rsidRDefault="006D67F1" w:rsidP="00A47740">
            <w:r w:rsidRPr="002C224A">
              <w:t>Doporučujeme snížení úrokové míry pro konečného příjemce na polovinu tržní úrokové míry formou zapojení finančního nástroje i úvěru soukromé úvěrující instituce. Pro dosažené takto nízké sazby je nezbytné, aby úroková sazba fondu byla co nejnižší.</w:t>
            </w:r>
          </w:p>
          <w:p w:rsidR="00166B80" w:rsidRPr="002C224A" w:rsidRDefault="00166B80" w:rsidP="00A47740"/>
          <w:p w:rsidR="00166B80" w:rsidRPr="002C224A" w:rsidRDefault="00166B80" w:rsidP="00166B80">
            <w:r w:rsidRPr="002C224A">
              <w:t>Zvýhodněný úvěr by měl být poskytován spolu s komerčním úvěrem soukromé úvěrující instituce a spolufinancováním konečného příjemce. Podíl komerčního úvěru je doporučen na úrovni 50-100 % zvýhodněného úvěru.</w:t>
            </w:r>
          </w:p>
          <w:p w:rsidR="00166B80" w:rsidRPr="002C224A" w:rsidRDefault="00166B80" w:rsidP="00A47740"/>
        </w:tc>
      </w:tr>
      <w:tr w:rsidR="006D67F1" w:rsidRPr="002C224A" w:rsidTr="00165EB0">
        <w:tc>
          <w:tcPr>
            <w:tcW w:w="1871" w:type="dxa"/>
            <w:shd w:val="clear" w:color="auto" w:fill="92D400"/>
            <w:noWrap/>
          </w:tcPr>
          <w:p w:rsidR="006D67F1" w:rsidRPr="002C224A" w:rsidRDefault="006D67F1" w:rsidP="00A47740">
            <w:pPr>
              <w:rPr>
                <w:b/>
                <w:color w:val="FFFFFF"/>
              </w:rPr>
            </w:pPr>
            <w:r w:rsidRPr="002C224A">
              <w:rPr>
                <w:b/>
                <w:color w:val="FFFFFF"/>
              </w:rPr>
              <w:t>Kroky k aktivizaci soukromých finančních zdrojů</w:t>
            </w:r>
          </w:p>
        </w:tc>
        <w:tc>
          <w:tcPr>
            <w:tcW w:w="7199" w:type="dxa"/>
            <w:shd w:val="clear" w:color="auto" w:fill="FFFFFF"/>
            <w:noWrap/>
          </w:tcPr>
          <w:p w:rsidR="006D67F1" w:rsidRPr="002C224A" w:rsidRDefault="00506489" w:rsidP="006F771D">
            <w:r w:rsidRPr="002C224A">
              <w:t>Preferenční odměňování není vhodné. Soukromé úvěrující instituce budou zapojeny za tržních podmínek, nástroj zvýhodněného úvěru bude disponovat sekundárním zástavním právem a umožní tak další komerční úvěrování.</w:t>
            </w:r>
          </w:p>
        </w:tc>
      </w:tr>
      <w:tr w:rsidR="006D67F1" w:rsidRPr="002C224A" w:rsidTr="00165EB0">
        <w:tc>
          <w:tcPr>
            <w:tcW w:w="1871" w:type="dxa"/>
            <w:shd w:val="clear" w:color="auto" w:fill="92D400"/>
            <w:noWrap/>
          </w:tcPr>
          <w:p w:rsidR="006D67F1" w:rsidRPr="002C224A" w:rsidRDefault="006D67F1" w:rsidP="00A47740">
            <w:pPr>
              <w:rPr>
                <w:b/>
                <w:color w:val="FFFFFF"/>
              </w:rPr>
            </w:pPr>
            <w:r w:rsidRPr="002C224A">
              <w:rPr>
                <w:b/>
                <w:color w:val="FFFFFF"/>
              </w:rPr>
              <w:t>Očekávaná alokace</w:t>
            </w:r>
          </w:p>
        </w:tc>
        <w:tc>
          <w:tcPr>
            <w:tcW w:w="7199" w:type="dxa"/>
            <w:shd w:val="clear" w:color="auto" w:fill="FFFFFF"/>
            <w:noWrap/>
          </w:tcPr>
          <w:p w:rsidR="006D67F1" w:rsidRPr="002C224A" w:rsidRDefault="00EE7F44" w:rsidP="00A47740">
            <w:r w:rsidRPr="002C224A">
              <w:t>Doporučujeme využití FN v rozmezí 400-</w:t>
            </w:r>
            <w:smartTag w:uri="urn:schemas-microsoft-com:office:smarttags" w:element="metricconverter">
              <w:smartTagPr>
                <w:attr w:name="ProductID" w:val="600 mil"/>
              </w:smartTagPr>
              <w:r w:rsidRPr="002C224A">
                <w:t>600 mil</w:t>
              </w:r>
            </w:smartTag>
            <w:r w:rsidRPr="002C224A">
              <w:t>. Kč na podporu MVE.</w:t>
            </w:r>
          </w:p>
          <w:p w:rsidR="00EE7F44" w:rsidRPr="002C224A" w:rsidRDefault="00EE7F44" w:rsidP="00A47740"/>
          <w:p w:rsidR="006D67F1" w:rsidRPr="002C224A" w:rsidRDefault="006D67F1" w:rsidP="00A47740"/>
          <w:p w:rsidR="006D67F1" w:rsidRPr="002C224A" w:rsidRDefault="006D67F1" w:rsidP="007D6939">
            <w:r w:rsidRPr="002C224A">
              <w:t>V případě realizovatelné kombinovatelnosti zvýhodněného úvěru s</w:t>
            </w:r>
            <w:r w:rsidR="00EE7F44" w:rsidRPr="002C224A">
              <w:t xml:space="preserve"> dotační podporou do limitu veřejné podpory </w:t>
            </w:r>
            <w:r w:rsidRPr="002C224A">
              <w:t xml:space="preserve">je možné alokaci FN zvýšit </w:t>
            </w:r>
            <w:r w:rsidR="00EE7F44" w:rsidRPr="002C224A">
              <w:t>a zapojit i pro oblast BPS a biomasy.</w:t>
            </w:r>
          </w:p>
        </w:tc>
      </w:tr>
    </w:tbl>
    <w:p w:rsidR="006D67F1" w:rsidRPr="002C224A" w:rsidRDefault="00623293" w:rsidP="00623293">
      <w:pPr>
        <w:pStyle w:val="Titulek"/>
      </w:pPr>
      <w:r w:rsidRPr="002C224A">
        <w:t xml:space="preserve">Tabulka </w:t>
      </w:r>
      <w:r w:rsidR="00AC6EB9">
        <w:t>125</w:t>
      </w:r>
      <w:r w:rsidRPr="002C224A">
        <w:t xml:space="preserve">: </w:t>
      </w:r>
      <w:r w:rsidR="00DA3038" w:rsidRPr="002C224A">
        <w:t>Shrnutí FN SC 3.5</w:t>
      </w:r>
    </w:p>
    <w:p w:rsidR="006D67F1" w:rsidRPr="002C224A" w:rsidRDefault="006D67F1" w:rsidP="006F771D">
      <w:pPr>
        <w:pStyle w:val="Nadpis3"/>
        <w:rPr>
          <w:rFonts w:ascii="Calibri" w:hAnsi="Calibri"/>
        </w:rPr>
      </w:pPr>
      <w:bookmarkStart w:id="1353" w:name="_Toc416909659"/>
      <w:bookmarkStart w:id="1354" w:name="_Toc417545042"/>
      <w:bookmarkStart w:id="1355" w:name="_Toc416800507"/>
      <w:bookmarkStart w:id="1356" w:name="_Toc421534329"/>
      <w:bookmarkEnd w:id="1353"/>
      <w:bookmarkEnd w:id="1354"/>
      <w:r w:rsidRPr="002C224A">
        <w:rPr>
          <w:rFonts w:ascii="Calibri" w:hAnsi="Calibri"/>
        </w:rPr>
        <w:t>Specifický cíl 3.2</w:t>
      </w:r>
      <w:bookmarkEnd w:id="1355"/>
      <w:bookmarkEnd w:id="1356"/>
    </w:p>
    <w:p w:rsidR="006D67F1" w:rsidRPr="002C224A" w:rsidRDefault="006D67F1" w:rsidP="00F87888">
      <w:pPr>
        <w:pStyle w:val="Nadpis4"/>
        <w:rPr>
          <w:rFonts w:ascii="Calibri" w:hAnsi="Calibri"/>
        </w:rPr>
      </w:pPr>
      <w:bookmarkStart w:id="1357" w:name="_Toc416800508"/>
      <w:r w:rsidRPr="002C224A">
        <w:rPr>
          <w:rFonts w:ascii="Calibri" w:hAnsi="Calibri"/>
        </w:rPr>
        <w:t>Formy finančních nástrojů a výše alokace</w:t>
      </w:r>
    </w:p>
    <w:p w:rsidR="006D67F1" w:rsidRPr="00A50943" w:rsidRDefault="006D67F1" w:rsidP="00D67A40"/>
    <w:bookmarkEnd w:id="1357"/>
    <w:p w:rsidR="006D67F1" w:rsidRPr="002C224A" w:rsidRDefault="006D67F1" w:rsidP="00D67A40">
      <w:r w:rsidRPr="002C224A">
        <w:t xml:space="preserve">Z rozhovorů se zainteresovanými subjekty vyplynulo, že mechanismy financování investic do snížení energetické náročnosti jsou poměrně vyspělé a efektivní, </w:t>
      </w:r>
      <w:r w:rsidR="00894EE7" w:rsidRPr="002C224A">
        <w:t>pro soukromý sektor však přetrvávají významné bariéry</w:t>
      </w:r>
      <w:r w:rsidRPr="002C224A">
        <w:t xml:space="preserve">. </w:t>
      </w:r>
      <w:r w:rsidR="00894EE7" w:rsidRPr="002C224A">
        <w:t>Tržní selhání je identifikováno v oblasti nedostatečné preference úsporných projektů v podnikovém plánu a v dlouhé době návratnosti. Pro významnou část MSP platí obtížnější přístup k financování, překážkou jsou výrazně vyšší finanční náklady oproti velkým společnostem.</w:t>
      </w:r>
    </w:p>
    <w:p w:rsidR="006D67F1" w:rsidRPr="002C224A" w:rsidRDefault="006D67F1" w:rsidP="00D67A40"/>
    <w:p w:rsidR="00894EE7" w:rsidRPr="002C224A" w:rsidRDefault="006D67F1" w:rsidP="00D67A40">
      <w:r w:rsidRPr="002C224A">
        <w:t>Vzhledem k</w:t>
      </w:r>
      <w:r w:rsidR="00894EE7" w:rsidRPr="002C224A">
        <w:t> vysokému rozptylu doby návratnosti energeticko-úsporných opatření navrhujeme</w:t>
      </w:r>
      <w:r w:rsidR="009D1B1E" w:rsidRPr="002C224A">
        <w:t xml:space="preserve"> pro část projektů z oblasti energetické účinnosti aplikovat </w:t>
      </w:r>
      <w:r w:rsidR="009D1B1E" w:rsidRPr="002C224A">
        <w:rPr>
          <w:b/>
        </w:rPr>
        <w:t>podporu formou zvýhodněných úvěrů.</w:t>
      </w:r>
    </w:p>
    <w:p w:rsidR="009D1B1E" w:rsidRPr="002C224A" w:rsidRDefault="009D1B1E" w:rsidP="00D67A40"/>
    <w:p w:rsidR="009D1B1E" w:rsidRPr="002C224A" w:rsidRDefault="009D1B1E" w:rsidP="00D67A40">
      <w:r w:rsidRPr="002C224A">
        <w:t xml:space="preserve">Navrhovaná podpora by měla formu </w:t>
      </w:r>
      <w:r w:rsidRPr="002C224A">
        <w:rPr>
          <w:b/>
        </w:rPr>
        <w:t xml:space="preserve">kombinace zvýhodněného úvěru s delší dobou splatnosti, případně odkladem splácení, příspěvku na přípravu projektu (energetický audit) a podmíněného příspěvku na </w:t>
      </w:r>
      <w:r w:rsidR="0084318A" w:rsidRPr="002C224A">
        <w:rPr>
          <w:b/>
        </w:rPr>
        <w:t>úhradu</w:t>
      </w:r>
      <w:r w:rsidRPr="002C224A">
        <w:rPr>
          <w:b/>
        </w:rPr>
        <w:t xml:space="preserve"> úroků</w:t>
      </w:r>
      <w:r w:rsidRPr="002C224A">
        <w:t xml:space="preserve">. Úvěrový nástroj je návratnou formou podpory, částečně nenávratnou se </w:t>
      </w:r>
      <w:r w:rsidRPr="002C224A">
        <w:lastRenderedPageBreak/>
        <w:t xml:space="preserve">stává pouze v případě defaultu úvěru. </w:t>
      </w:r>
      <w:r w:rsidRPr="002C224A">
        <w:rPr>
          <w:lang w:eastAsia="en-US"/>
        </w:rPr>
        <w:t>Rámcové parametry a implementace jsou navrhovány ve shodě s úvěry SC 2.1</w:t>
      </w:r>
      <w:r w:rsidR="0084318A" w:rsidRPr="002C224A">
        <w:rPr>
          <w:lang w:eastAsia="en-US"/>
        </w:rPr>
        <w:t>.</w:t>
      </w:r>
    </w:p>
    <w:p w:rsidR="00894EE7" w:rsidRPr="002C224A" w:rsidRDefault="00894EE7" w:rsidP="00D67A40"/>
    <w:p w:rsidR="0084318A" w:rsidRPr="002C224A" w:rsidRDefault="006D67F1" w:rsidP="00D67A40">
      <w:r w:rsidRPr="002C224A">
        <w:t>Z</w:t>
      </w:r>
      <w:r w:rsidR="0084318A" w:rsidRPr="002C224A">
        <w:t xml:space="preserve"> důvodu identifikované </w:t>
      </w:r>
      <w:r w:rsidRPr="002C224A">
        <w:t>příliš vysoké návratnosti množství projektů, které by měly být v SC 3.2 podpořeny, se jeví jako účelné</w:t>
      </w:r>
      <w:r w:rsidR="0084318A" w:rsidRPr="002C224A">
        <w:t xml:space="preserve"> ponechat větší část alokace SC 3.2 v dotačním režimu.</w:t>
      </w:r>
      <w:r w:rsidR="00BC5707" w:rsidRPr="002C224A">
        <w:t xml:space="preserve"> Pro část těchto projektů by bylo možné využití kombinované podpory formou dotací i zvýhodněného úvěru do limitu veřejné podpory. Technická proveditelnost této varianty však musí být v případě volby této cesty podrobena další analýze a je třeba zvážit náklady takové cesty a administrativní komplikace pro ŘO i konečného příjemce. </w:t>
      </w:r>
      <w:r w:rsidR="00BC5707" w:rsidRPr="002C224A">
        <w:rPr>
          <w:b/>
        </w:rPr>
        <w:t>Jako nejvhodnější cestu navrhujeme v SC 3.2 paralelní oddělené fungování dotací i zvýhodněných úvěrů.</w:t>
      </w:r>
    </w:p>
    <w:p w:rsidR="006D67F1" w:rsidRPr="002C224A" w:rsidRDefault="006D67F1" w:rsidP="00D67A40"/>
    <w:p w:rsidR="006D67F1" w:rsidRPr="002C224A" w:rsidRDefault="006D67F1" w:rsidP="00D67A40">
      <w:r w:rsidRPr="002C224A">
        <w:rPr>
          <w:b/>
        </w:rPr>
        <w:t>Pro účelné oddělení projektů podporovaných dotačně a finančním nástrojem, je v takovém případě nutné zavést jasná dělící kritéria. Jednou z možností je klíč v podobě doby návratnosti, resp. vnitřního výnosového procenta (IRR) plánované investice</w:t>
      </w:r>
      <w:r w:rsidRPr="002C224A">
        <w:t xml:space="preserve">. Projektům s IRR &gt; x % by byla nabídnuta možnost podpory skrze úvěrový finanční nástroj, zatímco projektům s IRR &lt; x % by byla nabídnuta možnost financování klasickou formou dotace. Tento návrh je pouze rámcovou variantou možného klíče. Kritéria musí být precizována v dalším postupu na základě kritického hodnocení přínosů, omezení a rizik. Kritérium IRR vychází z tržní reality, kdy se projekty energetických úspor s návratností cca nad </w:t>
      </w:r>
      <w:r w:rsidR="00BC5707" w:rsidRPr="002C224A">
        <w:t>6</w:t>
      </w:r>
      <w:r w:rsidRPr="002C224A">
        <w:t xml:space="preserve"> let v podnikatelském prostředí stávají neakceptovatelnými. S návratností se často pojí i komplexnost opatření a výše dosažených úspor, rozdělení tedy bude postaveno na principu vyšší podpory pro více komplexní a déle návratné projekty a může z tohoto pohledu motivovat ke komplexnějším úsporám.</w:t>
      </w:r>
    </w:p>
    <w:p w:rsidR="003D618E" w:rsidRPr="002C224A" w:rsidRDefault="003D618E" w:rsidP="00D67A40"/>
    <w:p w:rsidR="003D618E" w:rsidRPr="002C224A" w:rsidRDefault="003D618E" w:rsidP="003D618E">
      <w:pPr>
        <w:rPr>
          <w:b/>
        </w:rPr>
      </w:pPr>
      <w:r w:rsidRPr="002C224A">
        <w:rPr>
          <w:b/>
        </w:rPr>
        <w:t>Alokace</w:t>
      </w:r>
    </w:p>
    <w:p w:rsidR="003D618E" w:rsidRPr="002C224A" w:rsidRDefault="003D618E" w:rsidP="003D618E">
      <w:r w:rsidRPr="002C224A">
        <w:t xml:space="preserve">V pilotní fázi navrhujeme alokovat na FN </w:t>
      </w:r>
      <w:r w:rsidRPr="002C224A">
        <w:rPr>
          <w:b/>
        </w:rPr>
        <w:t>550-</w:t>
      </w:r>
      <w:smartTag w:uri="urn:schemas-microsoft-com:office:smarttags" w:element="metricconverter">
        <w:smartTagPr>
          <w:attr w:name="ProductID" w:val="1000 mil"/>
        </w:smartTagPr>
        <w:r w:rsidRPr="002C224A">
          <w:rPr>
            <w:b/>
          </w:rPr>
          <w:t>1000 mil</w:t>
        </w:r>
      </w:smartTag>
      <w:r w:rsidRPr="002C224A">
        <w:rPr>
          <w:b/>
        </w:rPr>
        <w:t>. Kč, v případě úspěšného čerpání je možné tuto alokaci výrazně navýšit, až na dvojnásobek.</w:t>
      </w:r>
      <w:r w:rsidRPr="00A50943">
        <w:t xml:space="preserve"> </w:t>
      </w:r>
      <w:r w:rsidRPr="002C224A">
        <w:t xml:space="preserve">I relativně malá část alokace SC 3.2 může díky pákovému efektu </w:t>
      </w:r>
      <w:r w:rsidR="00935ECC" w:rsidRPr="002C224A">
        <w:t xml:space="preserve">podpořit poměrně značnou část cílových investic. Jak </w:t>
      </w:r>
      <w:r w:rsidR="00C673D8" w:rsidRPr="002C224A">
        <w:t>ukazují různé odhady absorpční kapacity</w:t>
      </w:r>
      <w:r w:rsidR="00935ECC" w:rsidRPr="002C224A">
        <w:t>, celkové alokované zdroje na SC 3.2 (</w:t>
      </w:r>
      <w:smartTag w:uri="urn:schemas-microsoft-com:office:smarttags" w:element="metricconverter">
        <w:smartTagPr>
          <w:attr w:name="ProductID" w:val="20ﾠ500 mil"/>
        </w:smartTagPr>
        <w:r w:rsidR="00935ECC" w:rsidRPr="002C224A">
          <w:t>20 500 mil</w:t>
        </w:r>
      </w:smartTag>
      <w:r w:rsidR="00935ECC" w:rsidRPr="002C224A">
        <w:t xml:space="preserve">. Kč) jsou </w:t>
      </w:r>
      <w:r w:rsidR="00C673D8" w:rsidRPr="002C224A">
        <w:t xml:space="preserve">k odhadované absorpci </w:t>
      </w:r>
      <w:r w:rsidR="00935ECC" w:rsidRPr="002C224A">
        <w:t xml:space="preserve">relativně nejvyšší </w:t>
      </w:r>
      <w:r w:rsidR="00C673D8" w:rsidRPr="002C224A">
        <w:t>ze</w:t>
      </w:r>
      <w:r w:rsidR="001B0C96" w:rsidRPr="002C224A">
        <w:t xml:space="preserve"> všech analyzovaných cílů OP PIK</w:t>
      </w:r>
      <w:r w:rsidR="00935ECC" w:rsidRPr="002C224A">
        <w:t>.</w:t>
      </w:r>
      <w:r w:rsidR="001B0C96" w:rsidRPr="002C224A">
        <w:t xml:space="preserve"> </w:t>
      </w:r>
      <w:r w:rsidR="00C673D8" w:rsidRPr="002C224A">
        <w:t xml:space="preserve">Lze tedy doporučit operativní úpravy alokace dle </w:t>
      </w:r>
      <w:r w:rsidR="006B6F2A" w:rsidRPr="002C224A">
        <w:t>výsledné</w:t>
      </w:r>
      <w:r w:rsidR="00C673D8" w:rsidRPr="002C224A">
        <w:t xml:space="preserve"> poptávky</w:t>
      </w:r>
      <w:r w:rsidR="006B6F2A" w:rsidRPr="002C224A">
        <w:t xml:space="preserve"> k co nejefektivnějšímu čerpání</w:t>
      </w:r>
      <w:r w:rsidR="00C673D8" w:rsidRPr="002C224A">
        <w:t>.</w:t>
      </w:r>
    </w:p>
    <w:p w:rsidR="003D618E" w:rsidRPr="002C224A" w:rsidRDefault="003D618E" w:rsidP="00D67A40"/>
    <w:p w:rsidR="006D67F1" w:rsidRPr="002C224A" w:rsidRDefault="006D67F1" w:rsidP="00F87888">
      <w:pPr>
        <w:pStyle w:val="Nadpis4"/>
        <w:rPr>
          <w:rFonts w:ascii="Calibri" w:hAnsi="Calibri"/>
        </w:rPr>
      </w:pPr>
      <w:bookmarkStart w:id="1358" w:name="_Toc416800509"/>
      <w:r w:rsidRPr="002C224A">
        <w:rPr>
          <w:rFonts w:ascii="Calibri" w:hAnsi="Calibri"/>
        </w:rPr>
        <w:t>Nejvhodnější možnosti implementace</w:t>
      </w:r>
    </w:p>
    <w:bookmarkEnd w:id="1358"/>
    <w:p w:rsidR="006D67F1" w:rsidRPr="00A50943" w:rsidRDefault="006D67F1" w:rsidP="00D67A40">
      <w:pPr>
        <w:rPr>
          <w:b/>
          <w:color w:val="00A1DE"/>
          <w:sz w:val="24"/>
          <w:szCs w:val="22"/>
        </w:rPr>
      </w:pPr>
    </w:p>
    <w:p w:rsidR="006D67F1" w:rsidRPr="00A50943" w:rsidRDefault="007A3F34" w:rsidP="00E572F2">
      <w:pPr>
        <w:rPr>
          <w:b/>
          <w:color w:val="00A1DE"/>
          <w:sz w:val="24"/>
          <w:szCs w:val="22"/>
        </w:rPr>
      </w:pPr>
      <w:r>
        <w:rPr>
          <w:noProof/>
        </w:rPr>
        <w:lastRenderedPageBreak/>
        <w:drawing>
          <wp:inline distT="0" distB="0" distL="0" distR="0" wp14:anchorId="299EC7BA" wp14:editId="4B60E517">
            <wp:extent cx="5248275" cy="3971925"/>
            <wp:effectExtent l="0" t="0" r="9525" b="9525"/>
            <wp:docPr id="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5248275" cy="3971925"/>
                    </a:xfrm>
                    <a:prstGeom prst="rect">
                      <a:avLst/>
                    </a:prstGeom>
                    <a:noFill/>
                    <a:ln>
                      <a:noFill/>
                    </a:ln>
                  </pic:spPr>
                </pic:pic>
              </a:graphicData>
            </a:graphic>
          </wp:inline>
        </w:drawing>
      </w:r>
    </w:p>
    <w:p w:rsidR="006D67F1" w:rsidRPr="002C224A" w:rsidRDefault="00623293" w:rsidP="00623293">
      <w:pPr>
        <w:pStyle w:val="Titulek"/>
      </w:pPr>
      <w:r w:rsidRPr="002C224A">
        <w:t xml:space="preserve">Obrázek </w:t>
      </w:r>
      <w:r w:rsidR="00162D8A">
        <w:t>54</w:t>
      </w:r>
      <w:r w:rsidRPr="002C224A">
        <w:t xml:space="preserve">: </w:t>
      </w:r>
      <w:r w:rsidR="00BC5707" w:rsidRPr="002C224A">
        <w:t>Rámcové schéma nástroje zvýhodněných úvěrů</w:t>
      </w:r>
    </w:p>
    <w:p w:rsidR="006D67F1" w:rsidRPr="00A50943" w:rsidRDefault="006D67F1" w:rsidP="002433DA">
      <w:pPr>
        <w:rPr>
          <w:b/>
        </w:rPr>
      </w:pPr>
    </w:p>
    <w:p w:rsidR="006D67F1" w:rsidRPr="002C224A" w:rsidRDefault="006D67F1" w:rsidP="00CA1AC6">
      <w:pPr>
        <w:pStyle w:val="Nadpis4"/>
        <w:rPr>
          <w:rFonts w:ascii="Calibri" w:hAnsi="Calibri"/>
        </w:rPr>
      </w:pPr>
      <w:bookmarkStart w:id="1359" w:name="_Toc416800510"/>
      <w:r w:rsidRPr="002C224A">
        <w:rPr>
          <w:rFonts w:ascii="Calibri" w:hAnsi="Calibri"/>
        </w:rPr>
        <w:t>Modelové scénáře vývoje portfolií, počet investic a revolvingový efekt</w:t>
      </w:r>
    </w:p>
    <w:p w:rsidR="00CC715F" w:rsidRPr="002C224A" w:rsidRDefault="00CC715F" w:rsidP="00CC715F">
      <w:r w:rsidRPr="002C224A">
        <w:t>Níže jsou prezentovány výsledky modelování potenciálních efektů využití navrhované části alokace specifického cíle na finanční nástroj, vč. specifikace výchozích atributů, na kterých je model postaven. Jedná se o modelové příklady, které slouží jako vodítko a měly by být rámcově respektovány při implementaci FN, nicméně nemohou být považovány za závazné s ohledem na dále prezentované předpoklady.</w:t>
      </w:r>
    </w:p>
    <w:p w:rsidR="006D67F1" w:rsidRPr="00A50943" w:rsidRDefault="006D67F1" w:rsidP="00452FC6"/>
    <w:p w:rsidR="00CB12A4" w:rsidRPr="002C224A" w:rsidRDefault="00CB12A4" w:rsidP="00CB12A4">
      <w:pPr>
        <w:pStyle w:val="Neslovannadpisy"/>
        <w:rPr>
          <w:b w:val="0"/>
        </w:rPr>
      </w:pPr>
      <w:r w:rsidRPr="002C224A">
        <w:t>Úvěrový nástroj</w:t>
      </w:r>
    </w:p>
    <w:p w:rsidR="00196271" w:rsidRDefault="00196271" w:rsidP="008366D3">
      <w:pPr>
        <w:rPr>
          <w:noProof/>
        </w:rPr>
      </w:pPr>
      <w:r w:rsidRPr="002C224A">
        <w:t xml:space="preserve">V úvěrovém modelovém příkladu bylo pro zjednodušení abstrahováno od započítání úrokového zisku a poplatků za správu spolufinancujícího subjektu s předpokladem jejich částečné vzájemné kompenzace. Model zobrazuje scénáře pro různé úrovně předpokládaných ztrát a scénář pro příspěvky na subvenci úhrady úroků a přípravu projektu. </w:t>
      </w:r>
      <w:r w:rsidRPr="00E4336B">
        <w:rPr>
          <w:b/>
        </w:rPr>
        <w:t xml:space="preserve">V modelové </w:t>
      </w:r>
      <w:r>
        <w:rPr>
          <w:b/>
        </w:rPr>
        <w:t>kalkulaci</w:t>
      </w:r>
      <w:r w:rsidRPr="00E4336B">
        <w:rPr>
          <w:b/>
        </w:rPr>
        <w:t xml:space="preserve"> není započítán odklad splátek</w:t>
      </w:r>
      <w:r w:rsidRPr="002C224A">
        <w:t>. V případě jeho využití je tedy třeba počítat s částečným omezením revolvingu a tedy i počtu poskytnutých úvěrů pro toto programovací období</w:t>
      </w:r>
      <w:r>
        <w:t xml:space="preserve"> - revolvingové efekty budou posunuty do dalšího období (při pětiletém odkladu by splácení prvních úvěrů začalo až po roce 2020).</w:t>
      </w:r>
      <w:r w:rsidR="00DD59C7" w:rsidRPr="00DD59C7">
        <w:rPr>
          <w:noProof/>
        </w:rPr>
        <w:t xml:space="preserve"> </w:t>
      </w:r>
    </w:p>
    <w:p w:rsidR="00CB12A4" w:rsidRPr="002C224A" w:rsidRDefault="007A3F34" w:rsidP="008366D3">
      <w:r w:rsidRPr="003428AF">
        <w:rPr>
          <w:noProof/>
        </w:rPr>
        <w:lastRenderedPageBreak/>
        <w:drawing>
          <wp:inline distT="0" distB="0" distL="0" distR="0" wp14:anchorId="5F4177DF" wp14:editId="6DA0A204">
            <wp:extent cx="4377055" cy="2940050"/>
            <wp:effectExtent l="0" t="0" r="4445" b="12700"/>
            <wp:docPr id="9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B12A4" w:rsidRPr="002C224A" w:rsidRDefault="00CB12A4" w:rsidP="00CB12A4">
      <w:pPr>
        <w:pStyle w:val="Titulek"/>
        <w:rPr>
          <w:noProof/>
          <w:lang w:eastAsia="cs-CZ"/>
        </w:rPr>
      </w:pPr>
      <w:r w:rsidRPr="002C224A">
        <w:t xml:space="preserve">Graf </w:t>
      </w:r>
      <w:r w:rsidR="00162D8A">
        <w:t>55</w:t>
      </w:r>
      <w:r w:rsidRPr="002C224A">
        <w:t>: Potenciální efekty využití FN (</w:t>
      </w:r>
      <w:r w:rsidR="004250CB" w:rsidRPr="002C224A">
        <w:t xml:space="preserve">Scénář 1, </w:t>
      </w:r>
      <w:r w:rsidRPr="002C224A">
        <w:t xml:space="preserve">ztráty 10 %, bez příspěvku) </w:t>
      </w:r>
    </w:p>
    <w:p w:rsidR="00CB12A4" w:rsidRPr="002C224A" w:rsidRDefault="00CB12A4" w:rsidP="00CB12A4">
      <w:pPr>
        <w:pStyle w:val="BodyText1"/>
        <w:jc w:val="both"/>
        <w:rPr>
          <w:rFonts w:ascii="Calibri" w:hAnsi="Calibri"/>
        </w:rPr>
      </w:pPr>
    </w:p>
    <w:p w:rsidR="00CB12A4" w:rsidRPr="002C224A" w:rsidRDefault="00DD59C7" w:rsidP="00CB12A4">
      <w:pPr>
        <w:pStyle w:val="CaptionIntroductionparagraph"/>
        <w:rPr>
          <w:rFonts w:ascii="Calibri" w:hAnsi="Calibri"/>
        </w:rPr>
      </w:pPr>
      <w:r w:rsidRPr="00DD59C7">
        <w:rPr>
          <w:noProof/>
        </w:rPr>
        <w:t xml:space="preserve"> </w:t>
      </w:r>
      <w:r w:rsidR="007A3F34" w:rsidRPr="003428AF">
        <w:rPr>
          <w:noProof/>
          <w:lang w:eastAsia="cs-CZ"/>
        </w:rPr>
        <w:drawing>
          <wp:inline distT="0" distB="0" distL="0" distR="0" wp14:anchorId="467464E5" wp14:editId="7A4F7F54">
            <wp:extent cx="4377055" cy="2940050"/>
            <wp:effectExtent l="0" t="0" r="4445" b="12700"/>
            <wp:docPr id="9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B12A4" w:rsidRPr="00A50943" w:rsidRDefault="00CB12A4" w:rsidP="00CB12A4">
      <w:pPr>
        <w:rPr>
          <w:noProof/>
        </w:rPr>
      </w:pPr>
    </w:p>
    <w:p w:rsidR="00CB12A4" w:rsidRPr="002C224A" w:rsidRDefault="00CB12A4" w:rsidP="00CB12A4">
      <w:pPr>
        <w:pStyle w:val="Titulek"/>
        <w:rPr>
          <w:noProof/>
          <w:lang w:eastAsia="cs-CZ"/>
        </w:rPr>
      </w:pPr>
      <w:r w:rsidRPr="002C224A">
        <w:t xml:space="preserve">Graf </w:t>
      </w:r>
      <w:r w:rsidR="00162D8A">
        <w:t>56</w:t>
      </w:r>
      <w:r w:rsidRPr="002C224A">
        <w:t>: Potenciální efekty využití FN (</w:t>
      </w:r>
      <w:r w:rsidR="004250CB" w:rsidRPr="002C224A">
        <w:t xml:space="preserve">Scénář 2, </w:t>
      </w:r>
      <w:r w:rsidRPr="002C224A">
        <w:t xml:space="preserve">ztráty 20 %, bez příspěvku) </w:t>
      </w:r>
    </w:p>
    <w:p w:rsidR="00CB12A4" w:rsidRPr="00A50943" w:rsidRDefault="00CB12A4" w:rsidP="00CB12A4">
      <w:pPr>
        <w:rPr>
          <w:noProof/>
        </w:rPr>
      </w:pPr>
    </w:p>
    <w:p w:rsidR="00CB12A4" w:rsidRPr="00A50943" w:rsidRDefault="00DD59C7" w:rsidP="00CB12A4">
      <w:pPr>
        <w:rPr>
          <w:noProof/>
        </w:rPr>
      </w:pPr>
      <w:r w:rsidRPr="00DD59C7">
        <w:rPr>
          <w:noProof/>
        </w:rPr>
        <w:lastRenderedPageBreak/>
        <w:t xml:space="preserve"> </w:t>
      </w:r>
      <w:r w:rsidR="007A3F34" w:rsidRPr="003428AF">
        <w:rPr>
          <w:noProof/>
        </w:rPr>
        <w:drawing>
          <wp:inline distT="0" distB="0" distL="0" distR="0" wp14:anchorId="56D4A70F" wp14:editId="3719D9DE">
            <wp:extent cx="4377055" cy="2940050"/>
            <wp:effectExtent l="0" t="0" r="4445" b="12700"/>
            <wp:docPr id="9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B12A4" w:rsidRPr="002C224A" w:rsidRDefault="00CB12A4" w:rsidP="00CB12A4">
      <w:pPr>
        <w:pStyle w:val="Titulek"/>
        <w:rPr>
          <w:noProof/>
          <w:lang w:eastAsia="cs-CZ"/>
        </w:rPr>
      </w:pPr>
      <w:r w:rsidRPr="002C224A">
        <w:t xml:space="preserve">Graf </w:t>
      </w:r>
      <w:r w:rsidR="00162D8A">
        <w:t>57</w:t>
      </w:r>
      <w:r w:rsidRPr="002C224A">
        <w:t>: Potenciální efekty využití FN (</w:t>
      </w:r>
      <w:r w:rsidR="004250CB" w:rsidRPr="002C224A">
        <w:t xml:space="preserve">Scénář 3, </w:t>
      </w:r>
      <w:r w:rsidRPr="002C224A">
        <w:t xml:space="preserve">ztráty 10 %, s příspěvkem) </w:t>
      </w:r>
    </w:p>
    <w:p w:rsidR="00CB12A4" w:rsidRPr="00A50943" w:rsidRDefault="00CB12A4" w:rsidP="00CB12A4">
      <w:pPr>
        <w:rPr>
          <w:noProof/>
        </w:rPr>
      </w:pPr>
    </w:p>
    <w:p w:rsidR="00CB12A4" w:rsidRPr="002C224A" w:rsidRDefault="00CB12A4" w:rsidP="00CB12A4">
      <w:r w:rsidRPr="002C224A">
        <w:t xml:space="preserve">Legenda: </w:t>
      </w:r>
    </w:p>
    <w:p w:rsidR="00CB12A4" w:rsidRPr="002C224A" w:rsidRDefault="00CB12A4" w:rsidP="00CB12A4">
      <w:pPr>
        <w:pStyle w:val="Odstavecseseznamem1"/>
        <w:numPr>
          <w:ilvl w:val="0"/>
          <w:numId w:val="43"/>
        </w:numPr>
        <w:overflowPunct/>
        <w:autoSpaceDE/>
        <w:autoSpaceDN/>
        <w:adjustRightInd/>
        <w:contextualSpacing w:val="0"/>
        <w:textAlignment w:val="auto"/>
      </w:pPr>
      <w:r w:rsidRPr="002C224A">
        <w:t>Modré sloupce representují zvýhodněné úvěry poskytnuté z OP PIK v jednotlivých letech</w:t>
      </w:r>
    </w:p>
    <w:p w:rsidR="00CB12A4" w:rsidRPr="002C224A" w:rsidRDefault="00DD59C7" w:rsidP="00CB12A4">
      <w:pPr>
        <w:pStyle w:val="Odstavecseseznamem1"/>
        <w:numPr>
          <w:ilvl w:val="0"/>
          <w:numId w:val="43"/>
        </w:numPr>
        <w:overflowPunct/>
        <w:autoSpaceDE/>
        <w:autoSpaceDN/>
        <w:adjustRightInd/>
        <w:contextualSpacing w:val="0"/>
        <w:textAlignment w:val="auto"/>
      </w:pPr>
      <w:r>
        <w:t>Zelená</w:t>
      </w:r>
      <w:r w:rsidRPr="002C224A">
        <w:t xml:space="preserve"> </w:t>
      </w:r>
      <w:r w:rsidR="00CB12A4" w:rsidRPr="002C224A">
        <w:t>křivka je kumulovaným součtem těchto úvěrů</w:t>
      </w:r>
    </w:p>
    <w:p w:rsidR="00CB12A4" w:rsidRPr="002C224A" w:rsidRDefault="00623293" w:rsidP="00623293">
      <w:pPr>
        <w:pStyle w:val="Titulek"/>
        <w:rPr>
          <w:noProof/>
        </w:rPr>
      </w:pPr>
      <w:r w:rsidRPr="002C224A">
        <w:rPr>
          <w:noProof/>
        </w:rPr>
        <w:t xml:space="preserve">Tabulka </w:t>
      </w:r>
      <w:r w:rsidR="00AC6EB9">
        <w:rPr>
          <w:noProof/>
        </w:rPr>
        <w:t>126</w:t>
      </w:r>
      <w:r w:rsidRPr="002C224A">
        <w:rPr>
          <w:noProof/>
        </w:rPr>
        <w:t xml:space="preserve">: </w:t>
      </w:r>
      <w:r w:rsidR="004250CB" w:rsidRPr="002C224A">
        <w:rPr>
          <w:noProof/>
        </w:rPr>
        <w:t>Parametry modelu</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4250CB" w:rsidRPr="002C224A" w:rsidTr="00C94A24">
        <w:trPr>
          <w:trHeight w:val="240"/>
          <w:jc w:val="center"/>
        </w:trPr>
        <w:tc>
          <w:tcPr>
            <w:tcW w:w="4252" w:type="dxa"/>
            <w:noWrap/>
            <w:vAlign w:val="center"/>
          </w:tcPr>
          <w:p w:rsidR="004250CB" w:rsidRPr="00A50943" w:rsidRDefault="004250CB" w:rsidP="004250CB">
            <w:pPr>
              <w:jc w:val="left"/>
              <w:rPr>
                <w:color w:val="000000"/>
                <w:sz w:val="18"/>
                <w:szCs w:val="18"/>
              </w:rPr>
            </w:pPr>
            <w:r w:rsidRPr="00A50943">
              <w:rPr>
                <w:color w:val="000000"/>
                <w:sz w:val="18"/>
                <w:szCs w:val="18"/>
              </w:rPr>
              <w:t xml:space="preserve">Alokace OP PIK </w:t>
            </w:r>
          </w:p>
        </w:tc>
        <w:tc>
          <w:tcPr>
            <w:tcW w:w="1417" w:type="dxa"/>
            <w:noWrap/>
            <w:vAlign w:val="center"/>
          </w:tcPr>
          <w:p w:rsidR="004250CB" w:rsidRPr="002C224A" w:rsidRDefault="004B1124" w:rsidP="004250CB">
            <w:pPr>
              <w:jc w:val="right"/>
              <w:rPr>
                <w:color w:val="000000"/>
                <w:sz w:val="18"/>
                <w:szCs w:val="18"/>
              </w:rPr>
            </w:pPr>
            <w:smartTag w:uri="urn:schemas-microsoft-com:office:smarttags" w:element="metricconverter">
              <w:smartTagPr>
                <w:attr w:name="ProductID" w:val="550 mil"/>
              </w:smartTagPr>
              <w:r>
                <w:rPr>
                  <w:color w:val="000000"/>
                  <w:sz w:val="18"/>
                  <w:szCs w:val="18"/>
                </w:rPr>
                <w:t>550</w:t>
              </w:r>
              <w:r w:rsidRPr="002C224A">
                <w:rPr>
                  <w:color w:val="000000"/>
                  <w:sz w:val="18"/>
                  <w:szCs w:val="18"/>
                </w:rPr>
                <w:t xml:space="preserve"> </w:t>
              </w:r>
              <w:r w:rsidR="004250CB" w:rsidRPr="002C224A">
                <w:rPr>
                  <w:color w:val="000000"/>
                  <w:sz w:val="18"/>
                  <w:szCs w:val="18"/>
                </w:rPr>
                <w:t>mil</w:t>
              </w:r>
            </w:smartTag>
            <w:r w:rsidR="004250CB" w:rsidRPr="002C224A">
              <w:rPr>
                <w:color w:val="000000"/>
                <w:sz w:val="18"/>
                <w:szCs w:val="18"/>
              </w:rPr>
              <w:t>. Kč</w:t>
            </w:r>
          </w:p>
        </w:tc>
      </w:tr>
      <w:tr w:rsidR="004250CB" w:rsidRPr="002C224A" w:rsidTr="00C94A24">
        <w:trPr>
          <w:trHeight w:val="240"/>
          <w:jc w:val="center"/>
        </w:trPr>
        <w:tc>
          <w:tcPr>
            <w:tcW w:w="4252" w:type="dxa"/>
            <w:noWrap/>
            <w:vAlign w:val="center"/>
          </w:tcPr>
          <w:p w:rsidR="004250CB" w:rsidRPr="002C224A" w:rsidRDefault="004250CB" w:rsidP="004250CB">
            <w:pPr>
              <w:jc w:val="left"/>
              <w:rPr>
                <w:color w:val="000000"/>
                <w:sz w:val="18"/>
                <w:szCs w:val="18"/>
              </w:rPr>
            </w:pPr>
            <w:r w:rsidRPr="002C224A">
              <w:rPr>
                <w:color w:val="000000"/>
                <w:sz w:val="18"/>
                <w:szCs w:val="18"/>
              </w:rPr>
              <w:t>Úrok zdrojů poskytovaných z OP PIK</w:t>
            </w:r>
          </w:p>
        </w:tc>
        <w:tc>
          <w:tcPr>
            <w:tcW w:w="1417" w:type="dxa"/>
            <w:noWrap/>
            <w:vAlign w:val="center"/>
          </w:tcPr>
          <w:p w:rsidR="004250CB" w:rsidRPr="002C224A" w:rsidRDefault="004250CB" w:rsidP="004250CB">
            <w:pPr>
              <w:jc w:val="right"/>
              <w:rPr>
                <w:color w:val="000000"/>
                <w:sz w:val="18"/>
                <w:szCs w:val="18"/>
              </w:rPr>
            </w:pPr>
            <w:r w:rsidRPr="002C224A">
              <w:rPr>
                <w:color w:val="000000"/>
                <w:sz w:val="18"/>
                <w:szCs w:val="18"/>
              </w:rPr>
              <w:t>0,50 %</w:t>
            </w:r>
          </w:p>
        </w:tc>
      </w:tr>
      <w:tr w:rsidR="004250CB" w:rsidRPr="002C224A" w:rsidTr="00C94A24">
        <w:trPr>
          <w:trHeight w:val="240"/>
          <w:jc w:val="center"/>
        </w:trPr>
        <w:tc>
          <w:tcPr>
            <w:tcW w:w="4252" w:type="dxa"/>
            <w:noWrap/>
            <w:vAlign w:val="center"/>
          </w:tcPr>
          <w:p w:rsidR="004250CB" w:rsidRPr="002C224A" w:rsidRDefault="004250CB" w:rsidP="004250CB">
            <w:pPr>
              <w:jc w:val="left"/>
              <w:rPr>
                <w:color w:val="000000"/>
                <w:sz w:val="18"/>
                <w:szCs w:val="18"/>
              </w:rPr>
            </w:pPr>
            <w:r w:rsidRPr="002C224A">
              <w:rPr>
                <w:color w:val="000000"/>
                <w:sz w:val="18"/>
                <w:szCs w:val="18"/>
              </w:rPr>
              <w:t>Požadovaný úrok spolufinancujícího subjektu</w:t>
            </w:r>
          </w:p>
        </w:tc>
        <w:tc>
          <w:tcPr>
            <w:tcW w:w="1417" w:type="dxa"/>
            <w:noWrap/>
            <w:vAlign w:val="center"/>
          </w:tcPr>
          <w:p w:rsidR="004250CB" w:rsidRPr="002C224A" w:rsidRDefault="004250CB" w:rsidP="004250CB">
            <w:pPr>
              <w:jc w:val="right"/>
              <w:rPr>
                <w:color w:val="000000"/>
                <w:sz w:val="18"/>
                <w:szCs w:val="18"/>
              </w:rPr>
            </w:pPr>
            <w:r w:rsidRPr="002C224A">
              <w:rPr>
                <w:color w:val="000000"/>
                <w:sz w:val="18"/>
                <w:szCs w:val="18"/>
              </w:rPr>
              <w:t>3,50 %</w:t>
            </w:r>
          </w:p>
        </w:tc>
      </w:tr>
      <w:tr w:rsidR="004250CB" w:rsidRPr="002C224A" w:rsidTr="00C94A24">
        <w:trPr>
          <w:trHeight w:val="240"/>
          <w:jc w:val="center"/>
        </w:trPr>
        <w:tc>
          <w:tcPr>
            <w:tcW w:w="4252" w:type="dxa"/>
            <w:noWrap/>
            <w:vAlign w:val="center"/>
          </w:tcPr>
          <w:p w:rsidR="004250CB" w:rsidRPr="002C224A" w:rsidRDefault="004250CB" w:rsidP="004250CB">
            <w:pPr>
              <w:jc w:val="left"/>
              <w:rPr>
                <w:color w:val="000000"/>
                <w:sz w:val="18"/>
                <w:szCs w:val="18"/>
              </w:rPr>
            </w:pPr>
            <w:r w:rsidRPr="002C224A">
              <w:rPr>
                <w:color w:val="000000"/>
                <w:sz w:val="18"/>
                <w:szCs w:val="18"/>
              </w:rPr>
              <w:t>Limit výše výsledné úrokové míry úvěru příjemci</w:t>
            </w:r>
          </w:p>
        </w:tc>
        <w:tc>
          <w:tcPr>
            <w:tcW w:w="1417" w:type="dxa"/>
            <w:noWrap/>
            <w:vAlign w:val="center"/>
          </w:tcPr>
          <w:p w:rsidR="004250CB" w:rsidRPr="002C224A" w:rsidRDefault="004250CB" w:rsidP="004250CB">
            <w:pPr>
              <w:jc w:val="right"/>
              <w:rPr>
                <w:color w:val="000000"/>
                <w:sz w:val="18"/>
                <w:szCs w:val="18"/>
              </w:rPr>
            </w:pPr>
            <w:r w:rsidRPr="002C224A">
              <w:rPr>
                <w:color w:val="000000"/>
                <w:sz w:val="18"/>
                <w:szCs w:val="18"/>
              </w:rPr>
              <w:t>2,00 %</w:t>
            </w:r>
          </w:p>
        </w:tc>
      </w:tr>
      <w:tr w:rsidR="004250CB" w:rsidRPr="002C224A" w:rsidTr="00C94A24">
        <w:trPr>
          <w:trHeight w:val="240"/>
          <w:jc w:val="center"/>
        </w:trPr>
        <w:tc>
          <w:tcPr>
            <w:tcW w:w="4252" w:type="dxa"/>
            <w:noWrap/>
            <w:vAlign w:val="center"/>
          </w:tcPr>
          <w:p w:rsidR="004250CB" w:rsidRPr="002C224A" w:rsidRDefault="004250CB" w:rsidP="004250CB">
            <w:pPr>
              <w:jc w:val="left"/>
              <w:rPr>
                <w:color w:val="000000"/>
                <w:sz w:val="18"/>
                <w:szCs w:val="18"/>
                <w:lang w:val="en-US"/>
              </w:rPr>
            </w:pPr>
            <w:r w:rsidRPr="002C224A">
              <w:rPr>
                <w:color w:val="000000"/>
                <w:sz w:val="18"/>
                <w:szCs w:val="18"/>
                <w:lang w:val="en-US"/>
              </w:rPr>
              <w:t xml:space="preserve">Vlastní zdroje žadatelů </w:t>
            </w:r>
          </w:p>
        </w:tc>
        <w:tc>
          <w:tcPr>
            <w:tcW w:w="1417" w:type="dxa"/>
            <w:noWrap/>
            <w:vAlign w:val="center"/>
          </w:tcPr>
          <w:p w:rsidR="004250CB" w:rsidRPr="002C224A" w:rsidRDefault="004250CB" w:rsidP="004250CB">
            <w:pPr>
              <w:jc w:val="right"/>
              <w:rPr>
                <w:color w:val="000000"/>
                <w:sz w:val="18"/>
                <w:szCs w:val="18"/>
                <w:lang w:val="en-US"/>
              </w:rPr>
            </w:pPr>
            <w:r w:rsidRPr="002C224A">
              <w:rPr>
                <w:color w:val="000000"/>
                <w:sz w:val="18"/>
                <w:szCs w:val="18"/>
                <w:lang w:val="en-US"/>
              </w:rPr>
              <w:t>20,00 %</w:t>
            </w:r>
          </w:p>
        </w:tc>
      </w:tr>
      <w:tr w:rsidR="004250CB" w:rsidRPr="002C224A" w:rsidTr="00C94A24">
        <w:trPr>
          <w:trHeight w:val="240"/>
          <w:jc w:val="center"/>
        </w:trPr>
        <w:tc>
          <w:tcPr>
            <w:tcW w:w="4252" w:type="dxa"/>
            <w:noWrap/>
            <w:vAlign w:val="center"/>
          </w:tcPr>
          <w:p w:rsidR="004250CB" w:rsidRPr="002C224A" w:rsidRDefault="004250CB" w:rsidP="004250CB">
            <w:pPr>
              <w:jc w:val="left"/>
              <w:rPr>
                <w:color w:val="000000"/>
                <w:sz w:val="18"/>
                <w:szCs w:val="18"/>
              </w:rPr>
            </w:pPr>
            <w:r w:rsidRPr="002C224A">
              <w:rPr>
                <w:color w:val="000000"/>
                <w:sz w:val="18"/>
                <w:szCs w:val="18"/>
              </w:rPr>
              <w:t>Míra zapojení spolufinancujícího subjektu</w:t>
            </w:r>
          </w:p>
        </w:tc>
        <w:tc>
          <w:tcPr>
            <w:tcW w:w="1417" w:type="dxa"/>
            <w:noWrap/>
            <w:vAlign w:val="center"/>
          </w:tcPr>
          <w:p w:rsidR="004250CB" w:rsidRPr="002C224A" w:rsidRDefault="004250CB" w:rsidP="004250CB">
            <w:pPr>
              <w:jc w:val="right"/>
              <w:rPr>
                <w:color w:val="000000"/>
                <w:sz w:val="18"/>
                <w:szCs w:val="18"/>
              </w:rPr>
            </w:pPr>
            <w:r w:rsidRPr="002C224A">
              <w:rPr>
                <w:color w:val="000000"/>
                <w:sz w:val="18"/>
                <w:szCs w:val="18"/>
              </w:rPr>
              <w:t>40,00 %</w:t>
            </w:r>
          </w:p>
        </w:tc>
      </w:tr>
      <w:tr w:rsidR="004250CB" w:rsidRPr="002C224A" w:rsidTr="00C94A24">
        <w:trPr>
          <w:trHeight w:val="240"/>
          <w:jc w:val="center"/>
        </w:trPr>
        <w:tc>
          <w:tcPr>
            <w:tcW w:w="4252" w:type="dxa"/>
            <w:noWrap/>
            <w:vAlign w:val="center"/>
          </w:tcPr>
          <w:p w:rsidR="004250CB" w:rsidRPr="002C224A" w:rsidRDefault="004250CB" w:rsidP="004250CB">
            <w:pPr>
              <w:jc w:val="left"/>
              <w:rPr>
                <w:color w:val="000000"/>
                <w:sz w:val="18"/>
                <w:szCs w:val="18"/>
              </w:rPr>
            </w:pPr>
            <w:r w:rsidRPr="002C224A">
              <w:rPr>
                <w:color w:val="000000"/>
                <w:sz w:val="18"/>
                <w:szCs w:val="18"/>
              </w:rPr>
              <w:t>Splatnost úvěru</w:t>
            </w:r>
          </w:p>
        </w:tc>
        <w:tc>
          <w:tcPr>
            <w:tcW w:w="1417" w:type="dxa"/>
            <w:noWrap/>
            <w:vAlign w:val="center"/>
          </w:tcPr>
          <w:p w:rsidR="004250CB" w:rsidRPr="002C224A" w:rsidRDefault="004250CB" w:rsidP="004250CB">
            <w:pPr>
              <w:jc w:val="right"/>
              <w:rPr>
                <w:color w:val="000000"/>
                <w:sz w:val="18"/>
                <w:szCs w:val="18"/>
              </w:rPr>
            </w:pPr>
            <w:r w:rsidRPr="002C224A">
              <w:rPr>
                <w:color w:val="000000"/>
                <w:sz w:val="18"/>
                <w:szCs w:val="18"/>
              </w:rPr>
              <w:t>8</w:t>
            </w:r>
          </w:p>
        </w:tc>
      </w:tr>
    </w:tbl>
    <w:p w:rsidR="004250CB" w:rsidRPr="002C224A" w:rsidRDefault="004250CB" w:rsidP="00623293">
      <w:pPr>
        <w:pStyle w:val="Titulek"/>
      </w:pPr>
    </w:p>
    <w:p w:rsidR="00CB12A4" w:rsidRPr="002C224A" w:rsidRDefault="00623293" w:rsidP="00623293">
      <w:pPr>
        <w:pStyle w:val="Titulek"/>
      </w:pPr>
      <w:r w:rsidRPr="002C224A">
        <w:t xml:space="preserve">Tabulka </w:t>
      </w:r>
      <w:r w:rsidR="00AC6EB9">
        <w:t>127</w:t>
      </w:r>
      <w:r w:rsidRPr="002C224A">
        <w:t xml:space="preserve">: </w:t>
      </w:r>
      <w:r w:rsidR="004250CB" w:rsidRPr="002C224A">
        <w:t>Výsledky modelu</w:t>
      </w:r>
    </w:p>
    <w:tbl>
      <w:tblPr>
        <w:tblW w:w="987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180"/>
        <w:gridCol w:w="1372"/>
        <w:gridCol w:w="1372"/>
      </w:tblGrid>
      <w:tr w:rsidR="004B1124" w:rsidRPr="002C224A" w:rsidTr="004B1124">
        <w:trPr>
          <w:trHeight w:val="240"/>
          <w:jc w:val="center"/>
        </w:trPr>
        <w:tc>
          <w:tcPr>
            <w:tcW w:w="4821" w:type="dxa"/>
            <w:noWrap/>
            <w:vAlign w:val="center"/>
          </w:tcPr>
          <w:p w:rsidR="004B1124" w:rsidRPr="00A50943" w:rsidRDefault="004B1124" w:rsidP="004250CB">
            <w:pPr>
              <w:jc w:val="left"/>
              <w:rPr>
                <w:color w:val="000000"/>
                <w:sz w:val="18"/>
                <w:szCs w:val="18"/>
              </w:rPr>
            </w:pPr>
          </w:p>
        </w:tc>
        <w:tc>
          <w:tcPr>
            <w:tcW w:w="1134" w:type="dxa"/>
            <w:noWrap/>
            <w:vAlign w:val="center"/>
          </w:tcPr>
          <w:p w:rsidR="004B1124" w:rsidRPr="002C224A" w:rsidRDefault="004B1124" w:rsidP="004250CB">
            <w:pPr>
              <w:jc w:val="right"/>
              <w:rPr>
                <w:color w:val="000000"/>
                <w:sz w:val="18"/>
                <w:szCs w:val="18"/>
              </w:rPr>
            </w:pPr>
            <w:r w:rsidRPr="002C224A">
              <w:rPr>
                <w:color w:val="000000"/>
                <w:sz w:val="18"/>
                <w:szCs w:val="18"/>
              </w:rPr>
              <w:t>Scénář 1</w:t>
            </w:r>
          </w:p>
        </w:tc>
        <w:tc>
          <w:tcPr>
            <w:tcW w:w="1180" w:type="dxa"/>
          </w:tcPr>
          <w:p w:rsidR="004B1124" w:rsidRPr="002C224A" w:rsidRDefault="004B1124" w:rsidP="004250CB">
            <w:pPr>
              <w:jc w:val="right"/>
              <w:rPr>
                <w:color w:val="000000"/>
                <w:sz w:val="18"/>
                <w:szCs w:val="18"/>
              </w:rPr>
            </w:pPr>
            <w:r w:rsidRPr="002C224A">
              <w:rPr>
                <w:color w:val="000000"/>
                <w:sz w:val="18"/>
                <w:szCs w:val="18"/>
              </w:rPr>
              <w:t>Scénář 2</w:t>
            </w:r>
          </w:p>
        </w:tc>
        <w:tc>
          <w:tcPr>
            <w:tcW w:w="1372" w:type="dxa"/>
          </w:tcPr>
          <w:p w:rsidR="004B1124" w:rsidRPr="002C224A" w:rsidRDefault="004B1124" w:rsidP="004250CB">
            <w:pPr>
              <w:jc w:val="right"/>
              <w:rPr>
                <w:color w:val="000000"/>
                <w:sz w:val="18"/>
                <w:szCs w:val="18"/>
              </w:rPr>
            </w:pPr>
            <w:r w:rsidRPr="002C224A">
              <w:rPr>
                <w:color w:val="000000"/>
                <w:sz w:val="18"/>
                <w:szCs w:val="18"/>
              </w:rPr>
              <w:t>Scénář 3</w:t>
            </w:r>
          </w:p>
        </w:tc>
        <w:tc>
          <w:tcPr>
            <w:tcW w:w="1372" w:type="dxa"/>
          </w:tcPr>
          <w:p w:rsidR="004B1124" w:rsidRPr="002C224A" w:rsidRDefault="004B1124" w:rsidP="008366D3">
            <w:pPr>
              <w:jc w:val="right"/>
              <w:rPr>
                <w:color w:val="000000"/>
                <w:sz w:val="18"/>
                <w:szCs w:val="18"/>
              </w:rPr>
            </w:pPr>
            <w:r w:rsidRPr="002C224A">
              <w:rPr>
                <w:color w:val="000000"/>
                <w:sz w:val="18"/>
                <w:szCs w:val="18"/>
              </w:rPr>
              <w:t xml:space="preserve">Scénář </w:t>
            </w:r>
            <w:r>
              <w:rPr>
                <w:color w:val="000000"/>
                <w:sz w:val="18"/>
                <w:szCs w:val="18"/>
              </w:rPr>
              <w:t>4</w:t>
            </w:r>
            <w:r w:rsidR="00074EC1">
              <w:rPr>
                <w:rStyle w:val="Znakapoznpodarou"/>
                <w:color w:val="000000"/>
                <w:szCs w:val="18"/>
              </w:rPr>
              <w:footnoteReference w:id="67"/>
            </w:r>
          </w:p>
        </w:tc>
      </w:tr>
      <w:tr w:rsidR="004B1124" w:rsidRPr="002C224A" w:rsidTr="008366D3">
        <w:trPr>
          <w:trHeight w:val="240"/>
          <w:jc w:val="center"/>
        </w:trPr>
        <w:tc>
          <w:tcPr>
            <w:tcW w:w="4821" w:type="dxa"/>
            <w:noWrap/>
            <w:vAlign w:val="center"/>
          </w:tcPr>
          <w:p w:rsidR="004B1124" w:rsidRPr="002C224A" w:rsidRDefault="004B1124" w:rsidP="004250CB">
            <w:pPr>
              <w:jc w:val="left"/>
              <w:rPr>
                <w:color w:val="000000"/>
                <w:sz w:val="18"/>
                <w:szCs w:val="18"/>
              </w:rPr>
            </w:pPr>
            <w:r w:rsidRPr="002C224A">
              <w:rPr>
                <w:color w:val="000000"/>
                <w:sz w:val="18"/>
                <w:szCs w:val="18"/>
              </w:rPr>
              <w:t>Celkem proinvestováno - milník rok 2018 (mil. Kč)</w:t>
            </w:r>
          </w:p>
        </w:tc>
        <w:tc>
          <w:tcPr>
            <w:tcW w:w="1134" w:type="dxa"/>
            <w:noWrap/>
          </w:tcPr>
          <w:p w:rsidR="004B1124" w:rsidRPr="002C224A" w:rsidRDefault="004B1124" w:rsidP="004250CB">
            <w:pPr>
              <w:jc w:val="right"/>
              <w:rPr>
                <w:color w:val="000000"/>
                <w:sz w:val="18"/>
                <w:szCs w:val="18"/>
              </w:rPr>
            </w:pPr>
            <w:r>
              <w:rPr>
                <w:sz w:val="18"/>
                <w:szCs w:val="18"/>
              </w:rPr>
              <w:t>1 031</w:t>
            </w:r>
          </w:p>
        </w:tc>
        <w:tc>
          <w:tcPr>
            <w:tcW w:w="1180" w:type="dxa"/>
          </w:tcPr>
          <w:p w:rsidR="004B1124" w:rsidRPr="002C224A" w:rsidRDefault="004B1124" w:rsidP="004250CB">
            <w:pPr>
              <w:jc w:val="right"/>
              <w:rPr>
                <w:color w:val="000000"/>
                <w:sz w:val="18"/>
                <w:szCs w:val="18"/>
              </w:rPr>
            </w:pPr>
            <w:r>
              <w:rPr>
                <w:sz w:val="18"/>
                <w:szCs w:val="18"/>
              </w:rPr>
              <w:t>1 031</w:t>
            </w:r>
          </w:p>
        </w:tc>
        <w:tc>
          <w:tcPr>
            <w:tcW w:w="1372" w:type="dxa"/>
            <w:vAlign w:val="bottom"/>
          </w:tcPr>
          <w:p w:rsidR="004B1124" w:rsidRPr="002C224A" w:rsidRDefault="004B1124" w:rsidP="004250CB">
            <w:pPr>
              <w:jc w:val="right"/>
              <w:rPr>
                <w:color w:val="000000"/>
                <w:sz w:val="18"/>
                <w:szCs w:val="18"/>
              </w:rPr>
            </w:pPr>
            <w:r>
              <w:rPr>
                <w:rFonts w:cs="Arial"/>
                <w:bCs/>
                <w:color w:val="000000"/>
                <w:sz w:val="18"/>
                <w:szCs w:val="18"/>
              </w:rPr>
              <w:t>980</w:t>
            </w:r>
          </w:p>
        </w:tc>
        <w:tc>
          <w:tcPr>
            <w:tcW w:w="1372" w:type="dxa"/>
            <w:vAlign w:val="bottom"/>
          </w:tcPr>
          <w:p w:rsidR="004B1124" w:rsidRPr="002C224A" w:rsidDel="00774476" w:rsidRDefault="004B1124" w:rsidP="004250CB">
            <w:pPr>
              <w:jc w:val="right"/>
              <w:rPr>
                <w:rFonts w:cs="Arial"/>
                <w:bCs/>
                <w:color w:val="000000"/>
                <w:sz w:val="18"/>
                <w:szCs w:val="18"/>
              </w:rPr>
            </w:pPr>
            <w:r>
              <w:rPr>
                <w:rFonts w:cs="Arial"/>
                <w:bCs/>
                <w:color w:val="000000"/>
                <w:sz w:val="18"/>
                <w:szCs w:val="18"/>
              </w:rPr>
              <w:t>980</w:t>
            </w:r>
          </w:p>
        </w:tc>
      </w:tr>
      <w:tr w:rsidR="004B1124" w:rsidRPr="002C224A" w:rsidTr="008366D3">
        <w:trPr>
          <w:trHeight w:val="240"/>
          <w:jc w:val="center"/>
        </w:trPr>
        <w:tc>
          <w:tcPr>
            <w:tcW w:w="4821" w:type="dxa"/>
            <w:noWrap/>
            <w:vAlign w:val="center"/>
          </w:tcPr>
          <w:p w:rsidR="004B1124" w:rsidRPr="002C224A" w:rsidRDefault="004B1124" w:rsidP="004250CB">
            <w:pPr>
              <w:jc w:val="left"/>
              <w:rPr>
                <w:b/>
                <w:color w:val="000000"/>
                <w:sz w:val="18"/>
                <w:szCs w:val="18"/>
              </w:rPr>
            </w:pPr>
            <w:r w:rsidRPr="002C224A">
              <w:rPr>
                <w:b/>
                <w:color w:val="000000"/>
                <w:sz w:val="18"/>
                <w:szCs w:val="18"/>
              </w:rPr>
              <w:t>Celkem proinvestováno - konec období rok 2023 (mil. Kč)</w:t>
            </w:r>
          </w:p>
        </w:tc>
        <w:tc>
          <w:tcPr>
            <w:tcW w:w="1134" w:type="dxa"/>
            <w:noWrap/>
          </w:tcPr>
          <w:p w:rsidR="004B1124" w:rsidRPr="002C224A" w:rsidRDefault="004B1124" w:rsidP="004250CB">
            <w:pPr>
              <w:jc w:val="right"/>
              <w:rPr>
                <w:b/>
                <w:color w:val="000000"/>
                <w:sz w:val="18"/>
                <w:szCs w:val="18"/>
              </w:rPr>
            </w:pPr>
            <w:r>
              <w:rPr>
                <w:b/>
                <w:sz w:val="18"/>
                <w:szCs w:val="18"/>
              </w:rPr>
              <w:t>2 384</w:t>
            </w:r>
          </w:p>
        </w:tc>
        <w:tc>
          <w:tcPr>
            <w:tcW w:w="1180" w:type="dxa"/>
          </w:tcPr>
          <w:p w:rsidR="004B1124" w:rsidRPr="002C224A" w:rsidRDefault="004B1124" w:rsidP="004250CB">
            <w:pPr>
              <w:jc w:val="right"/>
              <w:rPr>
                <w:b/>
                <w:color w:val="000000"/>
                <w:sz w:val="18"/>
                <w:szCs w:val="18"/>
              </w:rPr>
            </w:pPr>
            <w:r>
              <w:rPr>
                <w:b/>
                <w:sz w:val="18"/>
                <w:szCs w:val="18"/>
              </w:rPr>
              <w:t>2 256</w:t>
            </w:r>
          </w:p>
        </w:tc>
        <w:tc>
          <w:tcPr>
            <w:tcW w:w="1372" w:type="dxa"/>
            <w:vAlign w:val="bottom"/>
          </w:tcPr>
          <w:p w:rsidR="004B1124" w:rsidRPr="002C224A" w:rsidRDefault="004B1124" w:rsidP="004250CB">
            <w:pPr>
              <w:jc w:val="right"/>
              <w:rPr>
                <w:b/>
                <w:color w:val="000000"/>
                <w:sz w:val="18"/>
                <w:szCs w:val="18"/>
              </w:rPr>
            </w:pPr>
            <w:r>
              <w:rPr>
                <w:rFonts w:cs="Arial"/>
                <w:b/>
                <w:bCs/>
                <w:color w:val="000000"/>
                <w:sz w:val="18"/>
                <w:szCs w:val="18"/>
              </w:rPr>
              <w:t>2 197</w:t>
            </w:r>
          </w:p>
        </w:tc>
        <w:tc>
          <w:tcPr>
            <w:tcW w:w="1372" w:type="dxa"/>
            <w:vAlign w:val="bottom"/>
          </w:tcPr>
          <w:p w:rsidR="004B1124" w:rsidRDefault="004B1124" w:rsidP="004250CB">
            <w:pPr>
              <w:jc w:val="right"/>
              <w:rPr>
                <w:rFonts w:cs="Arial"/>
                <w:b/>
                <w:bCs/>
                <w:color w:val="000000"/>
                <w:sz w:val="18"/>
                <w:szCs w:val="18"/>
              </w:rPr>
            </w:pPr>
            <w:r>
              <w:rPr>
                <w:rFonts w:cs="Arial"/>
                <w:b/>
                <w:bCs/>
                <w:color w:val="000000"/>
                <w:sz w:val="18"/>
                <w:szCs w:val="18"/>
              </w:rPr>
              <w:t>1 279</w:t>
            </w:r>
          </w:p>
        </w:tc>
      </w:tr>
      <w:tr w:rsidR="004B1124" w:rsidRPr="002C224A" w:rsidTr="008366D3">
        <w:trPr>
          <w:trHeight w:val="240"/>
          <w:jc w:val="center"/>
        </w:trPr>
        <w:tc>
          <w:tcPr>
            <w:tcW w:w="4821" w:type="dxa"/>
            <w:noWrap/>
            <w:vAlign w:val="center"/>
          </w:tcPr>
          <w:p w:rsidR="004B1124" w:rsidRPr="002C224A" w:rsidRDefault="004B1124" w:rsidP="004250CB">
            <w:pPr>
              <w:jc w:val="left"/>
              <w:rPr>
                <w:b/>
                <w:color w:val="000000"/>
                <w:sz w:val="18"/>
                <w:szCs w:val="18"/>
              </w:rPr>
            </w:pPr>
            <w:r w:rsidRPr="002C224A">
              <w:rPr>
                <w:b/>
                <w:color w:val="000000"/>
                <w:sz w:val="18"/>
                <w:szCs w:val="18"/>
              </w:rPr>
              <w:t>Přidaná hodnota</w:t>
            </w:r>
          </w:p>
        </w:tc>
        <w:tc>
          <w:tcPr>
            <w:tcW w:w="1134" w:type="dxa"/>
            <w:noWrap/>
            <w:vAlign w:val="center"/>
          </w:tcPr>
          <w:p w:rsidR="004B1124" w:rsidRPr="002C224A" w:rsidRDefault="004B1124" w:rsidP="004250CB">
            <w:pPr>
              <w:jc w:val="right"/>
              <w:rPr>
                <w:b/>
                <w:color w:val="000000"/>
                <w:sz w:val="18"/>
                <w:szCs w:val="18"/>
              </w:rPr>
            </w:pPr>
            <w:r w:rsidRPr="002C224A">
              <w:rPr>
                <w:b/>
                <w:sz w:val="18"/>
                <w:szCs w:val="18"/>
              </w:rPr>
              <w:t>4,33</w:t>
            </w:r>
          </w:p>
        </w:tc>
        <w:tc>
          <w:tcPr>
            <w:tcW w:w="1180" w:type="dxa"/>
            <w:vAlign w:val="center"/>
          </w:tcPr>
          <w:p w:rsidR="004B1124" w:rsidRPr="002C224A" w:rsidRDefault="004B1124" w:rsidP="004250CB">
            <w:pPr>
              <w:jc w:val="right"/>
              <w:rPr>
                <w:b/>
                <w:color w:val="000000"/>
                <w:sz w:val="18"/>
                <w:szCs w:val="18"/>
              </w:rPr>
            </w:pPr>
            <w:r w:rsidRPr="002C224A">
              <w:rPr>
                <w:b/>
                <w:sz w:val="18"/>
                <w:szCs w:val="18"/>
              </w:rPr>
              <w:t>4,10</w:t>
            </w:r>
          </w:p>
        </w:tc>
        <w:tc>
          <w:tcPr>
            <w:tcW w:w="1372" w:type="dxa"/>
            <w:vAlign w:val="center"/>
          </w:tcPr>
          <w:p w:rsidR="004B1124" w:rsidRPr="002C224A" w:rsidRDefault="004B1124" w:rsidP="008366D3">
            <w:pPr>
              <w:jc w:val="right"/>
              <w:rPr>
                <w:b/>
                <w:color w:val="000000"/>
                <w:sz w:val="18"/>
                <w:szCs w:val="18"/>
              </w:rPr>
            </w:pPr>
            <w:r w:rsidRPr="002C224A">
              <w:rPr>
                <w:b/>
                <w:color w:val="000000"/>
                <w:sz w:val="18"/>
                <w:szCs w:val="18"/>
              </w:rPr>
              <w:t>4,</w:t>
            </w:r>
            <w:r>
              <w:rPr>
                <w:b/>
                <w:color w:val="000000"/>
                <w:sz w:val="18"/>
                <w:szCs w:val="18"/>
              </w:rPr>
              <w:t>44</w:t>
            </w:r>
          </w:p>
        </w:tc>
        <w:tc>
          <w:tcPr>
            <w:tcW w:w="1372" w:type="dxa"/>
            <w:vAlign w:val="center"/>
          </w:tcPr>
          <w:p w:rsidR="004B1124" w:rsidRPr="002C224A" w:rsidRDefault="004B1124" w:rsidP="00774476">
            <w:pPr>
              <w:jc w:val="right"/>
              <w:rPr>
                <w:b/>
                <w:color w:val="000000"/>
                <w:sz w:val="18"/>
                <w:szCs w:val="18"/>
              </w:rPr>
            </w:pPr>
            <w:r>
              <w:rPr>
                <w:b/>
                <w:color w:val="000000"/>
                <w:sz w:val="18"/>
                <w:szCs w:val="18"/>
              </w:rPr>
              <w:t>2,58</w:t>
            </w:r>
          </w:p>
        </w:tc>
      </w:tr>
      <w:tr w:rsidR="004B1124" w:rsidRPr="002C224A" w:rsidTr="008366D3">
        <w:trPr>
          <w:trHeight w:val="240"/>
          <w:jc w:val="center"/>
        </w:trPr>
        <w:tc>
          <w:tcPr>
            <w:tcW w:w="4821" w:type="dxa"/>
            <w:noWrap/>
            <w:vAlign w:val="center"/>
          </w:tcPr>
          <w:p w:rsidR="004B1124" w:rsidRPr="002C224A" w:rsidRDefault="004B1124" w:rsidP="004250CB">
            <w:pPr>
              <w:jc w:val="left"/>
              <w:rPr>
                <w:b/>
                <w:color w:val="000000"/>
                <w:sz w:val="18"/>
                <w:szCs w:val="18"/>
              </w:rPr>
            </w:pPr>
            <w:r w:rsidRPr="002C224A">
              <w:rPr>
                <w:b/>
                <w:color w:val="000000"/>
                <w:sz w:val="18"/>
                <w:szCs w:val="18"/>
              </w:rPr>
              <w:t>Pákový efekt</w:t>
            </w:r>
          </w:p>
        </w:tc>
        <w:tc>
          <w:tcPr>
            <w:tcW w:w="1134" w:type="dxa"/>
            <w:noWrap/>
            <w:vAlign w:val="center"/>
          </w:tcPr>
          <w:p w:rsidR="004B1124" w:rsidRPr="002C224A" w:rsidRDefault="004B1124" w:rsidP="004250CB">
            <w:pPr>
              <w:jc w:val="right"/>
              <w:rPr>
                <w:b/>
                <w:color w:val="000000"/>
                <w:sz w:val="18"/>
                <w:szCs w:val="18"/>
              </w:rPr>
            </w:pPr>
            <w:r w:rsidRPr="002C224A">
              <w:rPr>
                <w:b/>
                <w:sz w:val="18"/>
                <w:szCs w:val="18"/>
              </w:rPr>
              <w:t>2,00</w:t>
            </w:r>
          </w:p>
        </w:tc>
        <w:tc>
          <w:tcPr>
            <w:tcW w:w="1180" w:type="dxa"/>
            <w:vAlign w:val="center"/>
          </w:tcPr>
          <w:p w:rsidR="004B1124" w:rsidRPr="002C224A" w:rsidRDefault="004B1124" w:rsidP="004250CB">
            <w:pPr>
              <w:jc w:val="right"/>
              <w:rPr>
                <w:b/>
                <w:color w:val="000000"/>
                <w:sz w:val="18"/>
                <w:szCs w:val="18"/>
              </w:rPr>
            </w:pPr>
            <w:r w:rsidRPr="002C224A">
              <w:rPr>
                <w:b/>
                <w:sz w:val="18"/>
                <w:szCs w:val="18"/>
              </w:rPr>
              <w:t>2,00</w:t>
            </w:r>
          </w:p>
        </w:tc>
        <w:tc>
          <w:tcPr>
            <w:tcW w:w="1372" w:type="dxa"/>
            <w:vAlign w:val="center"/>
          </w:tcPr>
          <w:p w:rsidR="004B1124" w:rsidRPr="002C224A" w:rsidRDefault="004B1124" w:rsidP="004250CB">
            <w:pPr>
              <w:jc w:val="right"/>
              <w:rPr>
                <w:b/>
                <w:color w:val="000000"/>
                <w:sz w:val="18"/>
                <w:szCs w:val="18"/>
              </w:rPr>
            </w:pPr>
            <w:r w:rsidRPr="002C224A">
              <w:rPr>
                <w:b/>
                <w:color w:val="000000"/>
                <w:sz w:val="18"/>
                <w:szCs w:val="18"/>
              </w:rPr>
              <w:t>2,00</w:t>
            </w:r>
          </w:p>
        </w:tc>
        <w:tc>
          <w:tcPr>
            <w:tcW w:w="1372" w:type="dxa"/>
            <w:vAlign w:val="center"/>
          </w:tcPr>
          <w:p w:rsidR="004B1124" w:rsidRPr="002C224A" w:rsidRDefault="004B1124" w:rsidP="004250CB">
            <w:pPr>
              <w:jc w:val="right"/>
              <w:rPr>
                <w:b/>
                <w:color w:val="000000"/>
                <w:sz w:val="18"/>
                <w:szCs w:val="18"/>
              </w:rPr>
            </w:pPr>
            <w:r>
              <w:rPr>
                <w:color w:val="000000"/>
                <w:sz w:val="18"/>
                <w:szCs w:val="18"/>
              </w:rPr>
              <w:t>2,00</w:t>
            </w:r>
          </w:p>
        </w:tc>
      </w:tr>
      <w:tr w:rsidR="004B1124" w:rsidRPr="002C224A" w:rsidTr="008366D3">
        <w:trPr>
          <w:trHeight w:val="240"/>
          <w:jc w:val="center"/>
        </w:trPr>
        <w:tc>
          <w:tcPr>
            <w:tcW w:w="4821" w:type="dxa"/>
            <w:noWrap/>
            <w:vAlign w:val="center"/>
          </w:tcPr>
          <w:p w:rsidR="004B1124" w:rsidRPr="002C224A" w:rsidRDefault="004B1124" w:rsidP="004250CB">
            <w:pPr>
              <w:jc w:val="left"/>
              <w:rPr>
                <w:color w:val="000000"/>
                <w:sz w:val="18"/>
                <w:szCs w:val="18"/>
              </w:rPr>
            </w:pPr>
            <w:r w:rsidRPr="002C224A">
              <w:rPr>
                <w:color w:val="000000"/>
                <w:sz w:val="18"/>
                <w:szCs w:val="18"/>
              </w:rPr>
              <w:t>Celková výše vyplacených management fee (prostá – mil. Kč)</w:t>
            </w:r>
          </w:p>
        </w:tc>
        <w:tc>
          <w:tcPr>
            <w:tcW w:w="1134" w:type="dxa"/>
            <w:noWrap/>
            <w:vAlign w:val="center"/>
          </w:tcPr>
          <w:p w:rsidR="004B1124" w:rsidRPr="002C224A" w:rsidDel="0013658D" w:rsidRDefault="004B1124" w:rsidP="004250CB">
            <w:pPr>
              <w:jc w:val="right"/>
              <w:rPr>
                <w:color w:val="000000"/>
                <w:sz w:val="18"/>
                <w:szCs w:val="18"/>
              </w:rPr>
            </w:pPr>
            <w:r>
              <w:rPr>
                <w:color w:val="000000"/>
                <w:sz w:val="18"/>
                <w:szCs w:val="18"/>
              </w:rPr>
              <w:t>32</w:t>
            </w:r>
          </w:p>
        </w:tc>
        <w:tc>
          <w:tcPr>
            <w:tcW w:w="1180" w:type="dxa"/>
            <w:vAlign w:val="center"/>
          </w:tcPr>
          <w:p w:rsidR="004B1124" w:rsidRPr="002C224A" w:rsidRDefault="004B1124" w:rsidP="004250CB">
            <w:pPr>
              <w:jc w:val="right"/>
              <w:rPr>
                <w:color w:val="000000"/>
                <w:sz w:val="18"/>
                <w:szCs w:val="18"/>
              </w:rPr>
            </w:pPr>
            <w:r>
              <w:rPr>
                <w:color w:val="000000"/>
                <w:sz w:val="18"/>
                <w:szCs w:val="18"/>
              </w:rPr>
              <w:t>31</w:t>
            </w:r>
          </w:p>
        </w:tc>
        <w:tc>
          <w:tcPr>
            <w:tcW w:w="1372" w:type="dxa"/>
            <w:vAlign w:val="center"/>
          </w:tcPr>
          <w:p w:rsidR="004B1124" w:rsidRPr="002C224A" w:rsidRDefault="004B1124" w:rsidP="004250CB">
            <w:pPr>
              <w:jc w:val="right"/>
              <w:rPr>
                <w:color w:val="000000"/>
                <w:sz w:val="18"/>
                <w:szCs w:val="18"/>
              </w:rPr>
            </w:pPr>
            <w:r>
              <w:rPr>
                <w:color w:val="000000"/>
                <w:sz w:val="18"/>
                <w:szCs w:val="18"/>
              </w:rPr>
              <w:t>31</w:t>
            </w:r>
          </w:p>
        </w:tc>
        <w:tc>
          <w:tcPr>
            <w:tcW w:w="1372" w:type="dxa"/>
            <w:vAlign w:val="center"/>
          </w:tcPr>
          <w:p w:rsidR="004B1124" w:rsidRPr="002C224A" w:rsidDel="00774476" w:rsidRDefault="004B1124" w:rsidP="004250CB">
            <w:pPr>
              <w:jc w:val="right"/>
              <w:rPr>
                <w:color w:val="000000"/>
                <w:sz w:val="18"/>
                <w:szCs w:val="18"/>
              </w:rPr>
            </w:pPr>
            <w:r>
              <w:rPr>
                <w:color w:val="000000"/>
                <w:sz w:val="18"/>
                <w:szCs w:val="18"/>
              </w:rPr>
              <w:t>27</w:t>
            </w:r>
          </w:p>
        </w:tc>
      </w:tr>
      <w:tr w:rsidR="004B1124" w:rsidRPr="002C224A" w:rsidTr="008366D3">
        <w:trPr>
          <w:trHeight w:val="240"/>
          <w:jc w:val="center"/>
        </w:trPr>
        <w:tc>
          <w:tcPr>
            <w:tcW w:w="4821" w:type="dxa"/>
            <w:noWrap/>
            <w:vAlign w:val="center"/>
          </w:tcPr>
          <w:p w:rsidR="004B1124" w:rsidRPr="002C224A" w:rsidRDefault="004B1124" w:rsidP="004250CB">
            <w:pPr>
              <w:jc w:val="left"/>
              <w:rPr>
                <w:color w:val="000000"/>
                <w:sz w:val="18"/>
                <w:szCs w:val="18"/>
              </w:rPr>
            </w:pPr>
            <w:r w:rsidRPr="002C224A">
              <w:rPr>
                <w:color w:val="000000"/>
                <w:sz w:val="18"/>
                <w:szCs w:val="18"/>
              </w:rPr>
              <w:t>Podíl vyplacených správních poplatků na alokaci fondu</w:t>
            </w:r>
            <w:r>
              <w:rPr>
                <w:color w:val="000000"/>
                <w:sz w:val="18"/>
                <w:szCs w:val="18"/>
              </w:rPr>
              <w:t xml:space="preserve"> (%)</w:t>
            </w:r>
          </w:p>
        </w:tc>
        <w:tc>
          <w:tcPr>
            <w:tcW w:w="1134" w:type="dxa"/>
            <w:noWrap/>
            <w:vAlign w:val="center"/>
          </w:tcPr>
          <w:p w:rsidR="004B1124" w:rsidRPr="002C224A" w:rsidDel="0013658D" w:rsidRDefault="004B1124" w:rsidP="004250CB">
            <w:pPr>
              <w:jc w:val="right"/>
              <w:rPr>
                <w:color w:val="000000"/>
                <w:sz w:val="18"/>
                <w:szCs w:val="18"/>
              </w:rPr>
            </w:pPr>
            <w:r w:rsidRPr="002C224A">
              <w:rPr>
                <w:color w:val="000000"/>
                <w:sz w:val="18"/>
                <w:szCs w:val="18"/>
              </w:rPr>
              <w:t>5,7</w:t>
            </w:r>
          </w:p>
        </w:tc>
        <w:tc>
          <w:tcPr>
            <w:tcW w:w="1180" w:type="dxa"/>
            <w:vAlign w:val="center"/>
          </w:tcPr>
          <w:p w:rsidR="004B1124" w:rsidRPr="002C224A" w:rsidRDefault="004B1124" w:rsidP="004250CB">
            <w:pPr>
              <w:jc w:val="right"/>
              <w:rPr>
                <w:color w:val="000000"/>
                <w:sz w:val="18"/>
                <w:szCs w:val="18"/>
              </w:rPr>
            </w:pPr>
            <w:r w:rsidRPr="002C224A">
              <w:rPr>
                <w:color w:val="000000"/>
                <w:sz w:val="18"/>
                <w:szCs w:val="18"/>
              </w:rPr>
              <w:t>5,</w:t>
            </w:r>
            <w:r>
              <w:rPr>
                <w:color w:val="000000"/>
                <w:sz w:val="18"/>
                <w:szCs w:val="18"/>
              </w:rPr>
              <w:t>7</w:t>
            </w:r>
          </w:p>
        </w:tc>
        <w:tc>
          <w:tcPr>
            <w:tcW w:w="1372" w:type="dxa"/>
            <w:vAlign w:val="center"/>
          </w:tcPr>
          <w:p w:rsidR="004B1124" w:rsidRPr="002C224A" w:rsidRDefault="004B1124" w:rsidP="004250CB">
            <w:pPr>
              <w:jc w:val="right"/>
              <w:rPr>
                <w:color w:val="000000"/>
                <w:sz w:val="18"/>
                <w:szCs w:val="18"/>
              </w:rPr>
            </w:pPr>
            <w:r w:rsidRPr="002C224A">
              <w:rPr>
                <w:color w:val="000000"/>
                <w:sz w:val="18"/>
                <w:szCs w:val="18"/>
              </w:rPr>
              <w:t>5,6</w:t>
            </w:r>
          </w:p>
        </w:tc>
        <w:tc>
          <w:tcPr>
            <w:tcW w:w="1372" w:type="dxa"/>
            <w:vAlign w:val="center"/>
          </w:tcPr>
          <w:p w:rsidR="004B1124" w:rsidRPr="002C224A" w:rsidRDefault="004B1124" w:rsidP="004250CB">
            <w:pPr>
              <w:jc w:val="right"/>
              <w:rPr>
                <w:color w:val="000000"/>
                <w:sz w:val="18"/>
                <w:szCs w:val="18"/>
              </w:rPr>
            </w:pPr>
            <w:r>
              <w:rPr>
                <w:sz w:val="18"/>
                <w:szCs w:val="18"/>
              </w:rPr>
              <w:t>4,9</w:t>
            </w:r>
          </w:p>
        </w:tc>
      </w:tr>
      <w:tr w:rsidR="004B1124" w:rsidRPr="002C224A" w:rsidTr="008366D3">
        <w:trPr>
          <w:trHeight w:val="240"/>
          <w:jc w:val="center"/>
        </w:trPr>
        <w:tc>
          <w:tcPr>
            <w:tcW w:w="4821" w:type="dxa"/>
            <w:noWrap/>
            <w:vAlign w:val="center"/>
          </w:tcPr>
          <w:p w:rsidR="004B1124" w:rsidRPr="002C224A" w:rsidRDefault="004B1124" w:rsidP="004250CB">
            <w:pPr>
              <w:jc w:val="left"/>
              <w:rPr>
                <w:color w:val="000000"/>
                <w:sz w:val="18"/>
                <w:szCs w:val="18"/>
              </w:rPr>
            </w:pPr>
            <w:r w:rsidRPr="002C224A">
              <w:rPr>
                <w:color w:val="000000"/>
                <w:sz w:val="18"/>
                <w:szCs w:val="18"/>
              </w:rPr>
              <w:t>Revolvingový efekt – zvýšení disponibilních prostředků OP PIK (mil. Kč)</w:t>
            </w:r>
          </w:p>
        </w:tc>
        <w:tc>
          <w:tcPr>
            <w:tcW w:w="1134" w:type="dxa"/>
            <w:noWrap/>
            <w:vAlign w:val="center"/>
          </w:tcPr>
          <w:p w:rsidR="004B1124" w:rsidRPr="002C224A" w:rsidRDefault="004B1124" w:rsidP="004250CB">
            <w:pPr>
              <w:jc w:val="right"/>
              <w:rPr>
                <w:color w:val="000000"/>
                <w:sz w:val="18"/>
                <w:szCs w:val="18"/>
              </w:rPr>
            </w:pPr>
            <w:r>
              <w:rPr>
                <w:sz w:val="18"/>
                <w:szCs w:val="18"/>
              </w:rPr>
              <w:t>404</w:t>
            </w:r>
          </w:p>
        </w:tc>
        <w:tc>
          <w:tcPr>
            <w:tcW w:w="1180" w:type="dxa"/>
            <w:vAlign w:val="center"/>
          </w:tcPr>
          <w:p w:rsidR="004B1124" w:rsidRPr="002C224A" w:rsidRDefault="004B1124" w:rsidP="004250CB">
            <w:pPr>
              <w:jc w:val="right"/>
              <w:rPr>
                <w:color w:val="000000"/>
                <w:sz w:val="18"/>
                <w:szCs w:val="18"/>
              </w:rPr>
            </w:pPr>
            <w:r>
              <w:rPr>
                <w:sz w:val="18"/>
                <w:szCs w:val="18"/>
              </w:rPr>
              <w:t>352</w:t>
            </w:r>
          </w:p>
        </w:tc>
        <w:tc>
          <w:tcPr>
            <w:tcW w:w="1372" w:type="dxa"/>
            <w:vAlign w:val="center"/>
          </w:tcPr>
          <w:p w:rsidR="004B1124" w:rsidRPr="002C224A" w:rsidRDefault="004B1124" w:rsidP="004250CB">
            <w:pPr>
              <w:jc w:val="right"/>
              <w:rPr>
                <w:color w:val="000000"/>
                <w:sz w:val="18"/>
                <w:szCs w:val="18"/>
              </w:rPr>
            </w:pPr>
            <w:r>
              <w:rPr>
                <w:sz w:val="18"/>
                <w:szCs w:val="18"/>
              </w:rPr>
              <w:t>360</w:t>
            </w:r>
          </w:p>
        </w:tc>
        <w:tc>
          <w:tcPr>
            <w:tcW w:w="1372" w:type="dxa"/>
            <w:vAlign w:val="center"/>
          </w:tcPr>
          <w:p w:rsidR="004B1124" w:rsidRDefault="00C33E19" w:rsidP="004250CB">
            <w:pPr>
              <w:jc w:val="right"/>
              <w:rPr>
                <w:sz w:val="18"/>
                <w:szCs w:val="18"/>
              </w:rPr>
            </w:pPr>
            <w:r>
              <w:rPr>
                <w:b/>
                <w:color w:val="000000"/>
                <w:sz w:val="18"/>
                <w:szCs w:val="18"/>
                <w:lang w:val="en-US"/>
              </w:rPr>
              <w:t>-</w:t>
            </w:r>
          </w:p>
        </w:tc>
      </w:tr>
      <w:tr w:rsidR="004B1124" w:rsidRPr="002C224A" w:rsidTr="004B1124">
        <w:trPr>
          <w:trHeight w:val="240"/>
          <w:jc w:val="center"/>
        </w:trPr>
        <w:tc>
          <w:tcPr>
            <w:tcW w:w="4821" w:type="dxa"/>
            <w:noWrap/>
            <w:vAlign w:val="center"/>
          </w:tcPr>
          <w:p w:rsidR="004B1124" w:rsidRPr="00A50943" w:rsidRDefault="004B1124" w:rsidP="004250CB">
            <w:pPr>
              <w:jc w:val="left"/>
              <w:rPr>
                <w:b/>
                <w:color w:val="000000"/>
                <w:sz w:val="18"/>
                <w:szCs w:val="18"/>
                <w:lang w:val="en-US"/>
              </w:rPr>
            </w:pPr>
            <w:r w:rsidRPr="002C224A">
              <w:rPr>
                <w:b/>
                <w:color w:val="000000"/>
                <w:sz w:val="18"/>
                <w:szCs w:val="18"/>
                <w:lang w:val="en-US"/>
              </w:rPr>
              <w:t>Podpořené projekty</w:t>
            </w:r>
            <w:r w:rsidRPr="002C224A">
              <w:rPr>
                <w:rStyle w:val="Znakapoznpodarou"/>
                <w:rFonts w:ascii="Calibri" w:hAnsi="Calibri"/>
                <w:b/>
                <w:color w:val="000000"/>
                <w:szCs w:val="18"/>
                <w:lang w:val="en-US"/>
              </w:rPr>
              <w:footnoteReference w:id="68"/>
            </w:r>
          </w:p>
        </w:tc>
        <w:tc>
          <w:tcPr>
            <w:tcW w:w="1134" w:type="dxa"/>
            <w:noWrap/>
            <w:vAlign w:val="center"/>
          </w:tcPr>
          <w:p w:rsidR="004B1124" w:rsidRPr="002C224A" w:rsidRDefault="004B1124" w:rsidP="004250CB">
            <w:pPr>
              <w:jc w:val="right"/>
              <w:rPr>
                <w:b/>
                <w:color w:val="000000"/>
                <w:szCs w:val="22"/>
                <w:lang w:val="en-US"/>
              </w:rPr>
            </w:pPr>
            <w:r>
              <w:rPr>
                <w:b/>
                <w:color w:val="000000"/>
                <w:sz w:val="18"/>
                <w:szCs w:val="18"/>
                <w:lang w:val="en-US"/>
              </w:rPr>
              <w:t>367</w:t>
            </w:r>
          </w:p>
        </w:tc>
        <w:tc>
          <w:tcPr>
            <w:tcW w:w="1180" w:type="dxa"/>
            <w:vAlign w:val="center"/>
          </w:tcPr>
          <w:p w:rsidR="004B1124" w:rsidRPr="002C224A" w:rsidRDefault="004B1124" w:rsidP="004250CB">
            <w:pPr>
              <w:jc w:val="right"/>
              <w:rPr>
                <w:b/>
                <w:color w:val="000000"/>
                <w:szCs w:val="22"/>
                <w:lang w:val="en-US"/>
              </w:rPr>
            </w:pPr>
            <w:r>
              <w:rPr>
                <w:b/>
                <w:color w:val="000000"/>
                <w:sz w:val="18"/>
                <w:szCs w:val="18"/>
                <w:lang w:val="en-US"/>
              </w:rPr>
              <w:t>347</w:t>
            </w:r>
          </w:p>
        </w:tc>
        <w:tc>
          <w:tcPr>
            <w:tcW w:w="1372" w:type="dxa"/>
            <w:vAlign w:val="center"/>
          </w:tcPr>
          <w:p w:rsidR="004B1124" w:rsidRPr="002C224A" w:rsidRDefault="004B1124" w:rsidP="004250CB">
            <w:pPr>
              <w:jc w:val="right"/>
              <w:rPr>
                <w:b/>
                <w:color w:val="000000"/>
                <w:szCs w:val="22"/>
                <w:lang w:val="en-US"/>
              </w:rPr>
            </w:pPr>
            <w:r>
              <w:rPr>
                <w:b/>
                <w:color w:val="000000"/>
                <w:sz w:val="18"/>
                <w:szCs w:val="18"/>
                <w:lang w:val="en-US"/>
              </w:rPr>
              <w:t>338</w:t>
            </w:r>
          </w:p>
        </w:tc>
        <w:tc>
          <w:tcPr>
            <w:tcW w:w="1372" w:type="dxa"/>
          </w:tcPr>
          <w:p w:rsidR="004B1124" w:rsidRPr="002C224A" w:rsidDel="00774476" w:rsidRDefault="00C33E19" w:rsidP="004250CB">
            <w:pPr>
              <w:jc w:val="right"/>
              <w:rPr>
                <w:b/>
                <w:color w:val="000000"/>
                <w:sz w:val="18"/>
                <w:szCs w:val="18"/>
                <w:lang w:val="en-US"/>
              </w:rPr>
            </w:pPr>
            <w:r>
              <w:rPr>
                <w:b/>
                <w:color w:val="000000"/>
                <w:sz w:val="18"/>
                <w:szCs w:val="18"/>
                <w:lang w:val="en-US"/>
              </w:rPr>
              <w:t>197</w:t>
            </w:r>
          </w:p>
        </w:tc>
      </w:tr>
    </w:tbl>
    <w:p w:rsidR="00774476" w:rsidRDefault="00774476" w:rsidP="00774476"/>
    <w:p w:rsidR="00774476" w:rsidRPr="002C224A" w:rsidRDefault="00774476" w:rsidP="00774476">
      <w:r>
        <w:t xml:space="preserve">V případě nevyužití revolvovaných prostředků v tomto období (Scénář 4) bude v primárním investičním cyklu navrhovanou alokací vyvoláno </w:t>
      </w:r>
      <w:smartTag w:uri="urn:schemas-microsoft-com:office:smarttags" w:element="metricconverter">
        <w:smartTagPr>
          <w:attr w:name="ProductID" w:val="1 279 mil"/>
        </w:smartTagPr>
        <w:r w:rsidR="00043B95">
          <w:t>1 279</w:t>
        </w:r>
        <w:r>
          <w:t xml:space="preserve"> mil</w:t>
        </w:r>
      </w:smartTag>
      <w:r>
        <w:t>. investic s přidanou hodnotou 2,58.</w:t>
      </w:r>
    </w:p>
    <w:p w:rsidR="004250CB" w:rsidRPr="002C224A" w:rsidRDefault="004250CB" w:rsidP="004250CB"/>
    <w:p w:rsidR="006D67F1" w:rsidRPr="002C224A" w:rsidRDefault="006D67F1" w:rsidP="00452FC6">
      <w:pPr>
        <w:pStyle w:val="Nadpis4"/>
        <w:rPr>
          <w:rFonts w:ascii="Calibri" w:hAnsi="Calibri"/>
        </w:rPr>
      </w:pPr>
      <w:r w:rsidRPr="002C224A">
        <w:rPr>
          <w:rFonts w:ascii="Calibri" w:hAnsi="Calibri"/>
        </w:rPr>
        <w:t xml:space="preserve">Očekávané výsledky </w:t>
      </w:r>
    </w:p>
    <w:p w:rsidR="006D67F1" w:rsidRPr="00A50943" w:rsidRDefault="006D67F1" w:rsidP="00452FC6"/>
    <w:p w:rsidR="00A06533" w:rsidRPr="00360BA1" w:rsidRDefault="00A06533" w:rsidP="00A06533">
      <w:pPr>
        <w:pStyle w:val="Odstavecseseznamem2"/>
        <w:overflowPunct w:val="0"/>
        <w:autoSpaceDE w:val="0"/>
        <w:autoSpaceDN w:val="0"/>
        <w:adjustRightInd w:val="0"/>
        <w:spacing w:after="160"/>
        <w:ind w:left="0"/>
        <w:jc w:val="both"/>
        <w:textAlignment w:val="baseline"/>
      </w:pPr>
      <w:r>
        <w:t xml:space="preserve">Následující tabulka udává hlavní indikátory cílů SC </w:t>
      </w:r>
      <w:r w:rsidR="004E50C9">
        <w:t>3</w:t>
      </w:r>
      <w:r>
        <w:t>.</w:t>
      </w:r>
      <w:r w:rsidR="004E50C9">
        <w:t>2</w:t>
      </w:r>
      <w:r>
        <w:t xml:space="preserve"> definované v operačním programu.</w:t>
      </w:r>
    </w:p>
    <w:p w:rsidR="00A06533" w:rsidRDefault="00A06533" w:rsidP="00A06533">
      <w:pPr>
        <w:pStyle w:val="Titulek"/>
        <w:keepNext/>
      </w:pPr>
      <w:r>
        <w:lastRenderedPageBreak/>
        <w:t>Tabulka</w:t>
      </w:r>
      <w:r w:rsidR="00AC6EB9">
        <w:t xml:space="preserve"> 128:</w:t>
      </w:r>
      <w:r>
        <w:t xml:space="preserve"> Ukazatele výsledků SC </w:t>
      </w:r>
      <w:r w:rsidR="004E50C9">
        <w:t>3</w:t>
      </w:r>
      <w:r>
        <w:t>.</w:t>
      </w:r>
      <w:r w:rsidR="004E50C9">
        <w:t>2</w:t>
      </w:r>
    </w:p>
    <w:tbl>
      <w:tblPr>
        <w:tblW w:w="9186" w:type="dxa"/>
        <w:tblCellMar>
          <w:left w:w="57" w:type="dxa"/>
          <w:right w:w="57" w:type="dxa"/>
        </w:tblCellMar>
        <w:tblLook w:val="01E0" w:firstRow="1" w:lastRow="1" w:firstColumn="1" w:lastColumn="1" w:noHBand="0" w:noVBand="0"/>
      </w:tblPr>
      <w:tblGrid>
        <w:gridCol w:w="2170"/>
        <w:gridCol w:w="1033"/>
        <w:gridCol w:w="1200"/>
        <w:gridCol w:w="1104"/>
        <w:gridCol w:w="819"/>
        <w:gridCol w:w="890"/>
        <w:gridCol w:w="1008"/>
        <w:gridCol w:w="962"/>
      </w:tblGrid>
      <w:tr w:rsidR="00A06533" w:rsidRPr="00360BA1" w:rsidTr="00B86390">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Ukazatel</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Měrná jednotka</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Kategorie regionu</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Cílová hodnota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Default="00A06533" w:rsidP="00B86390">
            <w:pPr>
              <w:pStyle w:val="Tabulka"/>
              <w:keepNext/>
              <w:keepLines/>
              <w:rPr>
                <w:rFonts w:ascii="Calibri" w:hAnsi="Calibri" w:cs="Calibri"/>
                <w:b/>
              </w:rPr>
            </w:pPr>
            <w:r>
              <w:rPr>
                <w:rFonts w:ascii="Calibri" w:hAnsi="Calibri" w:cs="Calibri"/>
                <w:b/>
              </w:rPr>
              <w:t>Četnost podávání zpráv</w:t>
            </w:r>
          </w:p>
        </w:tc>
      </w:tr>
      <w:tr w:rsidR="00A06533" w:rsidRPr="00360BA1" w:rsidTr="002C224A">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4E50C9" w:rsidRPr="004E50C9" w:rsidRDefault="004E50C9" w:rsidP="002C224A">
            <w:pPr>
              <w:overflowPunct/>
              <w:autoSpaceDE/>
              <w:autoSpaceDN/>
              <w:adjustRightInd/>
              <w:jc w:val="center"/>
              <w:textAlignment w:val="auto"/>
              <w:rPr>
                <w:rFonts w:cs="Calibri"/>
                <w:szCs w:val="22"/>
              </w:rPr>
            </w:pPr>
            <w:r w:rsidRPr="004E50C9">
              <w:rPr>
                <w:rFonts w:cs="Calibri"/>
                <w:szCs w:val="22"/>
              </w:rPr>
              <w:t>Čistá</w:t>
            </w:r>
            <w:r>
              <w:rPr>
                <w:rFonts w:cs="Calibri"/>
                <w:szCs w:val="22"/>
              </w:rPr>
              <w:t xml:space="preserve"> </w:t>
            </w:r>
            <w:r w:rsidRPr="004E50C9">
              <w:rPr>
                <w:rFonts w:cs="Calibri"/>
                <w:szCs w:val="22"/>
              </w:rPr>
              <w:t>konečná</w:t>
            </w:r>
          </w:p>
          <w:p w:rsidR="00A06533" w:rsidRPr="00360BA1" w:rsidRDefault="004E50C9" w:rsidP="002C224A">
            <w:pPr>
              <w:overflowPunct/>
              <w:autoSpaceDE/>
              <w:autoSpaceDN/>
              <w:adjustRightInd/>
              <w:jc w:val="center"/>
              <w:textAlignment w:val="auto"/>
              <w:rPr>
                <w:rFonts w:cs="Calibri"/>
              </w:rPr>
            </w:pPr>
            <w:r>
              <w:rPr>
                <w:rFonts w:cs="Calibri"/>
                <w:szCs w:val="22"/>
              </w:rPr>
              <w:t>s</w:t>
            </w:r>
            <w:r w:rsidRPr="004E50C9">
              <w:rPr>
                <w:rFonts w:cs="Calibri"/>
                <w:szCs w:val="22"/>
              </w:rPr>
              <w:t>potřeba</w:t>
            </w:r>
            <w:r>
              <w:rPr>
                <w:rFonts w:cs="Calibri"/>
                <w:szCs w:val="22"/>
              </w:rPr>
              <w:t xml:space="preserve"> </w:t>
            </w:r>
            <w:r w:rsidRPr="004E50C9">
              <w:rPr>
                <w:rFonts w:cs="Calibri"/>
                <w:szCs w:val="22"/>
              </w:rPr>
              <w:t>energie v</w:t>
            </w:r>
            <w:r>
              <w:rPr>
                <w:rFonts w:cs="Calibri"/>
                <w:szCs w:val="22"/>
              </w:rPr>
              <w:t xml:space="preserve"> </w:t>
            </w:r>
            <w:r w:rsidRPr="004E50C9">
              <w:rPr>
                <w:rFonts w:cs="Calibri"/>
                <w:szCs w:val="22"/>
              </w:rPr>
              <w:t>průmyslu</w:t>
            </w:r>
          </w:p>
        </w:tc>
        <w:tc>
          <w:tcPr>
            <w:tcW w:w="1033"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4E50C9" w:rsidP="002C224A">
            <w:pPr>
              <w:pStyle w:val="Tabulka"/>
              <w:rPr>
                <w:rFonts w:ascii="Calibri" w:hAnsi="Calibri" w:cs="Calibri"/>
              </w:rPr>
            </w:pPr>
            <w:r>
              <w:rPr>
                <w:rFonts w:ascii="Calibri" w:hAnsi="Calibri" w:cs="Calibri"/>
              </w:rPr>
              <w:t>TJ</w:t>
            </w:r>
          </w:p>
        </w:tc>
        <w:tc>
          <w:tcPr>
            <w:tcW w:w="120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2C224A">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4E50C9" w:rsidP="002C224A">
            <w:pPr>
              <w:jc w:val="center"/>
              <w:rPr>
                <w:rFonts w:cs="Calibri"/>
              </w:rPr>
            </w:pPr>
            <w:r>
              <w:t>306 252</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2C224A">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4E50C9" w:rsidP="002C224A">
            <w:pPr>
              <w:jc w:val="center"/>
            </w:pPr>
            <w:r>
              <w:t>316 528</w:t>
            </w:r>
          </w:p>
        </w:tc>
        <w:tc>
          <w:tcPr>
            <w:tcW w:w="1008"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E70BC7" w:rsidP="002C224A">
            <w:pPr>
              <w:pStyle w:val="Tabulka"/>
              <w:rPr>
                <w:rFonts w:ascii="Calibri" w:hAnsi="Calibri" w:cs="Calibri"/>
              </w:rPr>
            </w:pPr>
            <w:r>
              <w:rPr>
                <w:rFonts w:ascii="Calibri" w:hAnsi="Calibri" w:cs="Calibri"/>
              </w:rPr>
              <w:t>ČSÚ</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E70BC7" w:rsidP="002C224A">
            <w:pPr>
              <w:pStyle w:val="Tabulka"/>
              <w:rPr>
                <w:rFonts w:ascii="Calibri" w:hAnsi="Calibri" w:cs="Calibri"/>
              </w:rPr>
            </w:pPr>
            <w:r>
              <w:rPr>
                <w:rFonts w:ascii="Calibri" w:hAnsi="Calibri" w:cs="Calibri"/>
              </w:rPr>
              <w:t>ročně</w:t>
            </w:r>
          </w:p>
        </w:tc>
      </w:tr>
      <w:tr w:rsidR="00A06533" w:rsidRPr="00360BA1" w:rsidTr="002C224A">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4E50C9" w:rsidRPr="004E50C9" w:rsidRDefault="004E50C9" w:rsidP="002C224A">
            <w:pPr>
              <w:pStyle w:val="Tabulka"/>
              <w:rPr>
                <w:rFonts w:ascii="Calibri" w:hAnsi="Calibri" w:cs="Calibri"/>
              </w:rPr>
            </w:pPr>
            <w:r w:rsidRPr="004E50C9">
              <w:rPr>
                <w:rFonts w:ascii="Calibri" w:hAnsi="Calibri" w:cs="Calibri"/>
              </w:rPr>
              <w:t>Čistá</w:t>
            </w:r>
            <w:r>
              <w:rPr>
                <w:rFonts w:ascii="Calibri" w:hAnsi="Calibri" w:cs="Calibri"/>
              </w:rPr>
              <w:t xml:space="preserve"> </w:t>
            </w:r>
            <w:r w:rsidRPr="004E50C9">
              <w:rPr>
                <w:rFonts w:ascii="Calibri" w:hAnsi="Calibri" w:cs="Calibri"/>
              </w:rPr>
              <w:t>konečná</w:t>
            </w:r>
          </w:p>
          <w:p w:rsidR="00A06533" w:rsidRPr="00360BA1" w:rsidRDefault="004E50C9" w:rsidP="002C224A">
            <w:pPr>
              <w:pStyle w:val="Tabulka"/>
              <w:rPr>
                <w:rFonts w:ascii="Calibri" w:hAnsi="Calibri" w:cs="Calibri"/>
              </w:rPr>
            </w:pPr>
            <w:r>
              <w:rPr>
                <w:rFonts w:ascii="Calibri" w:hAnsi="Calibri" w:cs="Calibri"/>
              </w:rPr>
              <w:t>s</w:t>
            </w:r>
            <w:r w:rsidRPr="004E50C9">
              <w:rPr>
                <w:rFonts w:ascii="Calibri" w:hAnsi="Calibri" w:cs="Calibri"/>
              </w:rPr>
              <w:t>potřeba</w:t>
            </w:r>
            <w:r>
              <w:rPr>
                <w:rFonts w:ascii="Calibri" w:hAnsi="Calibri" w:cs="Calibri"/>
              </w:rPr>
              <w:t xml:space="preserve"> </w:t>
            </w:r>
            <w:r w:rsidRPr="004E50C9">
              <w:rPr>
                <w:rFonts w:ascii="Calibri" w:hAnsi="Calibri" w:cs="Calibri"/>
              </w:rPr>
              <w:t>energie ve</w:t>
            </w:r>
            <w:r>
              <w:rPr>
                <w:rFonts w:ascii="Calibri" w:hAnsi="Calibri" w:cs="Calibri"/>
              </w:rPr>
              <w:t xml:space="preserve"> </w:t>
            </w:r>
            <w:r w:rsidRPr="004E50C9">
              <w:rPr>
                <w:rFonts w:ascii="Calibri" w:hAnsi="Calibri" w:cs="Calibri"/>
              </w:rPr>
              <w:t>službách</w:t>
            </w:r>
          </w:p>
        </w:tc>
        <w:tc>
          <w:tcPr>
            <w:tcW w:w="1033"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4E50C9" w:rsidP="002C224A">
            <w:pPr>
              <w:pStyle w:val="Tabulka"/>
              <w:rPr>
                <w:rFonts w:ascii="Calibri" w:hAnsi="Calibri" w:cs="Calibri"/>
              </w:rPr>
            </w:pPr>
            <w:r>
              <w:rPr>
                <w:rFonts w:ascii="Calibri" w:hAnsi="Calibri" w:cs="Calibri"/>
              </w:rPr>
              <w:t>TJ</w:t>
            </w:r>
          </w:p>
        </w:tc>
        <w:tc>
          <w:tcPr>
            <w:tcW w:w="120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2C224A">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4E50C9" w:rsidP="002C224A">
            <w:pPr>
              <w:pStyle w:val="Tabulka"/>
              <w:rPr>
                <w:rFonts w:ascii="Calibri" w:hAnsi="Calibri" w:cs="Calibri"/>
              </w:rPr>
            </w:pPr>
            <w:r w:rsidRPr="004E50C9">
              <w:rPr>
                <w:rFonts w:ascii="Calibri" w:hAnsi="Calibri" w:cs="Calibri"/>
              </w:rPr>
              <w:t>142 067</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2C224A">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4E50C9" w:rsidP="002C224A">
            <w:pPr>
              <w:pStyle w:val="Tabulka"/>
              <w:rPr>
                <w:rFonts w:ascii="Calibri" w:hAnsi="Calibri" w:cs="Calibri"/>
              </w:rPr>
            </w:pPr>
            <w:r w:rsidRPr="004E50C9">
              <w:rPr>
                <w:rFonts w:ascii="Calibri" w:hAnsi="Calibri" w:cs="Calibri"/>
              </w:rPr>
              <w:t>168 573</w:t>
            </w:r>
          </w:p>
        </w:tc>
        <w:tc>
          <w:tcPr>
            <w:tcW w:w="1008"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2C224A">
            <w:pPr>
              <w:pStyle w:val="Tabulka"/>
              <w:rPr>
                <w:rFonts w:ascii="Calibri" w:hAnsi="Calibri" w:cs="Calibri"/>
              </w:rPr>
            </w:pPr>
            <w:r w:rsidRPr="00A52D1B">
              <w:rPr>
                <w:rFonts w:ascii="Calibri" w:hAnsi="Calibri" w:cs="Calibri"/>
              </w:rPr>
              <w:t>ČSÚ</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E70BC7" w:rsidP="002C224A">
            <w:pPr>
              <w:pStyle w:val="Tabulka"/>
              <w:rPr>
                <w:rFonts w:ascii="Calibri" w:hAnsi="Calibri" w:cs="Calibri"/>
              </w:rPr>
            </w:pPr>
            <w:r>
              <w:rPr>
                <w:rFonts w:ascii="Calibri" w:hAnsi="Calibri" w:cs="Calibri"/>
              </w:rPr>
              <w:t>ročně</w:t>
            </w:r>
          </w:p>
        </w:tc>
      </w:tr>
    </w:tbl>
    <w:p w:rsidR="00A06533" w:rsidRDefault="00A06533" w:rsidP="00A06533">
      <w:pPr>
        <w:pStyle w:val="Odstavecseseznamem2"/>
        <w:overflowPunct w:val="0"/>
        <w:autoSpaceDE w:val="0"/>
        <w:autoSpaceDN w:val="0"/>
        <w:adjustRightInd w:val="0"/>
        <w:spacing w:after="160"/>
        <w:ind w:left="0"/>
        <w:jc w:val="both"/>
        <w:textAlignment w:val="baseline"/>
      </w:pPr>
    </w:p>
    <w:p w:rsidR="00A06533" w:rsidRDefault="00A06533" w:rsidP="00A06533">
      <w:pPr>
        <w:pStyle w:val="Odstavecseseznamem2"/>
        <w:overflowPunct w:val="0"/>
        <w:autoSpaceDE w:val="0"/>
        <w:autoSpaceDN w:val="0"/>
        <w:adjustRightInd w:val="0"/>
        <w:spacing w:after="160"/>
        <w:ind w:left="0"/>
        <w:jc w:val="both"/>
        <w:textAlignment w:val="baseline"/>
      </w:pPr>
      <w:r>
        <w:t>Finanční nástroje by se měly na naplnění těchto cílových hodnot podílet skrze dosažení cílových hodnot následujících ukazatelů, jejichž rámcová kvantifikace byla provedena na základě výše uvedených modelových scénářů.</w:t>
      </w:r>
    </w:p>
    <w:p w:rsidR="006D67F1" w:rsidRPr="00A50943" w:rsidRDefault="00623293" w:rsidP="00A50943">
      <w:pPr>
        <w:pStyle w:val="Titulek"/>
      </w:pPr>
      <w:r w:rsidRPr="00A50943">
        <w:t xml:space="preserve">Tabulka </w:t>
      </w:r>
      <w:r w:rsidR="00AC6EB9">
        <w:t>129</w:t>
      </w:r>
      <w:r w:rsidRPr="00A50943">
        <w:t xml:space="preserve">: </w:t>
      </w:r>
      <w:r w:rsidR="00A06533">
        <w:t>Cílové hodnoty FN</w:t>
      </w:r>
    </w:p>
    <w:tbl>
      <w:tblPr>
        <w:tblW w:w="0" w:type="auto"/>
        <w:tblCellMar>
          <w:left w:w="57" w:type="dxa"/>
          <w:right w:w="57" w:type="dxa"/>
        </w:tblCellMar>
        <w:tblLook w:val="01E0" w:firstRow="1" w:lastRow="1" w:firstColumn="1" w:lastColumn="1" w:noHBand="0" w:noVBand="0"/>
      </w:tblPr>
      <w:tblGrid>
        <w:gridCol w:w="4357"/>
        <w:gridCol w:w="1321"/>
        <w:gridCol w:w="1750"/>
        <w:gridCol w:w="1634"/>
      </w:tblGrid>
      <w:tr w:rsidR="002571B0" w:rsidRPr="002C224A" w:rsidTr="006D5135">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2571B0" w:rsidRPr="002C224A" w:rsidRDefault="002571B0" w:rsidP="006D5135">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2571B0" w:rsidRPr="002C224A" w:rsidRDefault="002571B0" w:rsidP="006D5135">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2571B0" w:rsidRPr="002C224A" w:rsidRDefault="002571B0" w:rsidP="006D5135">
            <w:pPr>
              <w:pStyle w:val="Tabulka"/>
              <w:keepNext/>
              <w:keepLines/>
              <w:rPr>
                <w:rFonts w:ascii="Calibri" w:hAnsi="Calibri" w:cs="Calibri"/>
                <w:b/>
              </w:rPr>
            </w:pPr>
            <w:r w:rsidRPr="002C224A">
              <w:rPr>
                <w:rFonts w:ascii="Calibri" w:hAnsi="Calibri"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2571B0" w:rsidRPr="002C224A" w:rsidRDefault="002571B0" w:rsidP="006D5135">
            <w:pPr>
              <w:pStyle w:val="Tabulka"/>
              <w:keepNext/>
              <w:keepLines/>
              <w:rPr>
                <w:rFonts w:ascii="Calibri" w:hAnsi="Calibri" w:cs="Calibri"/>
                <w:b/>
              </w:rPr>
            </w:pPr>
            <w:r w:rsidRPr="002C224A">
              <w:rPr>
                <w:rFonts w:ascii="Calibri" w:hAnsi="Calibri" w:cs="Calibri"/>
                <w:b/>
              </w:rPr>
              <w:t>Cílová hodnota (2023)</w:t>
            </w:r>
          </w:p>
        </w:tc>
      </w:tr>
      <w:tr w:rsidR="002571B0"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2571B0" w:rsidP="006D5135">
            <w:pPr>
              <w:pStyle w:val="Tabulka"/>
              <w:jc w:val="left"/>
              <w:rPr>
                <w:rFonts w:ascii="Calibri" w:hAnsi="Calibri" w:cs="Calibri"/>
              </w:rPr>
            </w:pPr>
            <w:r w:rsidRPr="002C224A">
              <w:rPr>
                <w:rFonts w:ascii="Calibri" w:hAnsi="Calibri"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2571B0" w:rsidP="006D5135">
            <w:pPr>
              <w:pStyle w:val="Tabulka"/>
              <w:rPr>
                <w:rFonts w:ascii="Calibri" w:hAnsi="Calibri" w:cs="Calibri"/>
              </w:rPr>
            </w:pPr>
            <w:r w:rsidRPr="002C224A">
              <w:rPr>
                <w:rFonts w:ascii="Calibri" w:hAnsi="Calibri"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2571B0" w:rsidP="006D5135">
            <w:pPr>
              <w:pStyle w:val="Tabulka"/>
              <w:rPr>
                <w:rFonts w:ascii="Calibri" w:hAnsi="Calibri" w:cs="Calibri"/>
              </w:rPr>
            </w:pPr>
            <w:r w:rsidRPr="002C224A">
              <w:rPr>
                <w:rFonts w:ascii="Calibri" w:hAnsi="Calibri"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B1773A" w:rsidP="008366D3">
            <w:pPr>
              <w:pStyle w:val="Tabulka"/>
              <w:rPr>
                <w:rFonts w:ascii="Calibri" w:hAnsi="Calibri" w:cs="Calibri"/>
              </w:rPr>
            </w:pPr>
            <w:r>
              <w:rPr>
                <w:rFonts w:ascii="Calibri" w:hAnsi="Calibri" w:cs="Calibri"/>
              </w:rPr>
              <w:t>120</w:t>
            </w:r>
            <w:r w:rsidR="002571B0" w:rsidRPr="002C224A">
              <w:rPr>
                <w:rFonts w:ascii="Calibri" w:hAnsi="Calibri" w:cs="Calibri"/>
              </w:rPr>
              <w:t>-</w:t>
            </w:r>
            <w:r>
              <w:rPr>
                <w:rFonts w:ascii="Calibri" w:hAnsi="Calibri" w:cs="Calibri"/>
              </w:rPr>
              <w:t>180</w:t>
            </w:r>
          </w:p>
        </w:tc>
      </w:tr>
      <w:tr w:rsidR="002571B0"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2571B0" w:rsidP="006D5135">
            <w:pPr>
              <w:pStyle w:val="Tabulka"/>
              <w:jc w:val="left"/>
              <w:rPr>
                <w:rFonts w:ascii="Calibri" w:hAnsi="Calibri" w:cs="Calibri"/>
              </w:rPr>
            </w:pPr>
            <w:r w:rsidRPr="002C224A">
              <w:rPr>
                <w:rFonts w:ascii="Calibri" w:hAnsi="Calibri"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2571B0" w:rsidP="006D5135">
            <w:pPr>
              <w:pStyle w:val="Tabulka"/>
              <w:rPr>
                <w:rFonts w:ascii="Calibri" w:hAnsi="Calibri" w:cs="Calibri"/>
              </w:rPr>
            </w:pPr>
            <w:r w:rsidRPr="002C224A">
              <w:rPr>
                <w:rFonts w:ascii="Calibri" w:hAnsi="Calibri" w:cs="Calibri"/>
              </w:rPr>
              <w:t>Mil. CZK</w:t>
            </w:r>
          </w:p>
        </w:tc>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2571B0" w:rsidP="006D5135">
            <w:pPr>
              <w:pStyle w:val="Tabulka"/>
              <w:rPr>
                <w:rFonts w:ascii="Calibri" w:hAnsi="Calibri" w:cs="Calibri"/>
              </w:rPr>
            </w:pPr>
            <w:r w:rsidRPr="002C224A">
              <w:rPr>
                <w:rFonts w:ascii="Calibri" w:hAnsi="Calibri"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571B0" w:rsidRPr="002C224A" w:rsidRDefault="0065634E" w:rsidP="002C224A">
            <w:pPr>
              <w:pStyle w:val="Tabulka"/>
              <w:rPr>
                <w:rFonts w:ascii="Calibri" w:hAnsi="Calibri" w:cs="Calibri"/>
              </w:rPr>
            </w:pPr>
            <w:r>
              <w:rPr>
                <w:rFonts w:ascii="Calibri" w:hAnsi="Calibri" w:cs="Calibri"/>
              </w:rPr>
              <w:t>1</w:t>
            </w:r>
            <w:r w:rsidR="00B1773A">
              <w:rPr>
                <w:rFonts w:ascii="Calibri" w:hAnsi="Calibri" w:cs="Calibri"/>
              </w:rPr>
              <w:t>2</w:t>
            </w:r>
            <w:r>
              <w:rPr>
                <w:rFonts w:ascii="Calibri" w:hAnsi="Calibri" w:cs="Calibri"/>
              </w:rPr>
              <w:t>00</w:t>
            </w:r>
            <w:r w:rsidR="002571B0" w:rsidRPr="002C224A">
              <w:rPr>
                <w:rFonts w:ascii="Calibri" w:hAnsi="Calibri" w:cs="Calibri"/>
              </w:rPr>
              <w:t>-</w:t>
            </w:r>
            <w:r>
              <w:rPr>
                <w:rFonts w:ascii="Calibri" w:hAnsi="Calibri" w:cs="Calibri"/>
              </w:rPr>
              <w:t>1</w:t>
            </w:r>
            <w:r w:rsidR="00B1773A">
              <w:rPr>
                <w:rFonts w:ascii="Calibri" w:hAnsi="Calibri" w:cs="Calibri"/>
              </w:rPr>
              <w:t>5</w:t>
            </w:r>
            <w:r>
              <w:rPr>
                <w:rFonts w:ascii="Calibri" w:hAnsi="Calibri" w:cs="Calibri"/>
              </w:rPr>
              <w:t>00</w:t>
            </w:r>
          </w:p>
        </w:tc>
      </w:tr>
    </w:tbl>
    <w:p w:rsidR="006D67F1" w:rsidRPr="00A50943" w:rsidRDefault="006D67F1" w:rsidP="00452FC6"/>
    <w:p w:rsidR="00E46303" w:rsidRPr="00E46303" w:rsidRDefault="00E46303" w:rsidP="00E46303">
      <w:pPr>
        <w:pStyle w:val="Odstavecseseznamem2"/>
        <w:overflowPunct w:val="0"/>
        <w:autoSpaceDE w:val="0"/>
        <w:autoSpaceDN w:val="0"/>
        <w:adjustRightInd w:val="0"/>
        <w:spacing w:after="160"/>
        <w:ind w:left="0"/>
        <w:jc w:val="both"/>
        <w:textAlignment w:val="baseline"/>
      </w:pPr>
      <w:r w:rsidRPr="00E46303">
        <w:t>Následující indikátory budou sledovány za účelem monitorování příspěvku finančního nástroje k cílům OP (s hvězdičkou jsou uvedeny indikátory, které budou sledovány rovněž na úrovni projektů konečných příjemců) na základě Národního číselníku indikátorů MMR:</w:t>
      </w:r>
    </w:p>
    <w:p w:rsidR="00F005CE" w:rsidRPr="002C224A" w:rsidRDefault="00F005CE" w:rsidP="00F005CE">
      <w:pPr>
        <w:pStyle w:val="Odstavecseseznamem2"/>
        <w:overflowPunct w:val="0"/>
        <w:autoSpaceDE w:val="0"/>
        <w:autoSpaceDN w:val="0"/>
        <w:adjustRightInd w:val="0"/>
        <w:spacing w:after="160"/>
        <w:ind w:left="0"/>
        <w:jc w:val="both"/>
        <w:textAlignment w:val="baseline"/>
      </w:pPr>
    </w:p>
    <w:p w:rsidR="00C710C0" w:rsidRDefault="00C710C0" w:rsidP="002C224A">
      <w:pPr>
        <w:pStyle w:val="Odstavecseseznamem2"/>
        <w:numPr>
          <w:ilvl w:val="0"/>
          <w:numId w:val="91"/>
        </w:numPr>
        <w:spacing w:after="160"/>
      </w:pPr>
      <w:r>
        <w:t>36111 Množství odstraněných emisí primárních částic a prekurzorů sekundárních částic v rámci podpořených projektů *</w:t>
      </w:r>
    </w:p>
    <w:p w:rsidR="00C710C0" w:rsidRDefault="00C710C0" w:rsidP="002C224A">
      <w:pPr>
        <w:pStyle w:val="Odstavecseseznamem2"/>
        <w:numPr>
          <w:ilvl w:val="0"/>
          <w:numId w:val="91"/>
        </w:numPr>
        <w:spacing w:after="160"/>
      </w:pPr>
      <w:r>
        <w:t>36113 Snížení emisí CO2*</w:t>
      </w:r>
    </w:p>
    <w:p w:rsidR="00C710C0" w:rsidRDefault="00C710C0" w:rsidP="002C224A">
      <w:pPr>
        <w:pStyle w:val="Odstavecseseznamem2"/>
        <w:numPr>
          <w:ilvl w:val="0"/>
          <w:numId w:val="91"/>
        </w:numPr>
        <w:spacing w:after="160"/>
      </w:pPr>
      <w:r>
        <w:t>32300 Snížení konečné spotřeby energie u podpořených subjektů*</w:t>
      </w:r>
    </w:p>
    <w:p w:rsidR="00C710C0" w:rsidRDefault="00C710C0" w:rsidP="002C224A">
      <w:pPr>
        <w:pStyle w:val="Odstavecseseznamem2"/>
        <w:numPr>
          <w:ilvl w:val="0"/>
          <w:numId w:val="91"/>
        </w:numPr>
        <w:spacing w:after="160"/>
      </w:pPr>
      <w:r>
        <w:t>10103 Počet podniků pobírajících jinou finanční podporu než granty*</w:t>
      </w:r>
    </w:p>
    <w:p w:rsidR="00C710C0" w:rsidRDefault="00C710C0" w:rsidP="002C224A">
      <w:pPr>
        <w:pStyle w:val="Odstavecseseznamem2"/>
        <w:numPr>
          <w:ilvl w:val="0"/>
          <w:numId w:val="91"/>
        </w:numPr>
        <w:spacing w:after="160"/>
      </w:pPr>
      <w:r>
        <w:t>10301 Soukromé investice odpovídající veřejné podpoře podniků (jiné než granty)*</w:t>
      </w:r>
    </w:p>
    <w:p w:rsidR="00C710C0" w:rsidRDefault="00C710C0" w:rsidP="002C224A">
      <w:pPr>
        <w:pStyle w:val="Odstavecseseznamem2"/>
        <w:numPr>
          <w:ilvl w:val="0"/>
          <w:numId w:val="91"/>
        </w:numPr>
        <w:spacing w:after="160"/>
      </w:pPr>
      <w:r>
        <w:t>10000 Počet podniků pobírajících podporu</w:t>
      </w:r>
    </w:p>
    <w:p w:rsidR="00C710C0" w:rsidRDefault="00C710C0" w:rsidP="002C224A">
      <w:pPr>
        <w:pStyle w:val="Odstavecseseznamem2"/>
        <w:numPr>
          <w:ilvl w:val="0"/>
          <w:numId w:val="91"/>
        </w:numPr>
        <w:spacing w:after="160"/>
      </w:pPr>
      <w:r>
        <w:t>32000 Energetická náročnost hospodářství</w:t>
      </w:r>
    </w:p>
    <w:p w:rsidR="00C710C0" w:rsidRDefault="00C710C0" w:rsidP="002C224A">
      <w:pPr>
        <w:pStyle w:val="Odstavecseseznamem2"/>
        <w:numPr>
          <w:ilvl w:val="0"/>
          <w:numId w:val="91"/>
        </w:numPr>
        <w:spacing w:after="160"/>
      </w:pPr>
      <w:r>
        <w:t>32210 Čistá konečná spotřeba energie v průmyslu</w:t>
      </w:r>
    </w:p>
    <w:p w:rsidR="00C710C0" w:rsidRDefault="00C710C0" w:rsidP="002C224A">
      <w:pPr>
        <w:pStyle w:val="Odstavecseseznamem2"/>
        <w:numPr>
          <w:ilvl w:val="0"/>
          <w:numId w:val="91"/>
        </w:numPr>
        <w:spacing w:after="160"/>
      </w:pPr>
      <w:r>
        <w:t>32220 Čistá konečná spotřeba energie ve službách</w:t>
      </w:r>
    </w:p>
    <w:p w:rsidR="00F005CE" w:rsidRPr="002C224A" w:rsidRDefault="00F005CE" w:rsidP="00F005CE"/>
    <w:p w:rsidR="006D67F1" w:rsidRPr="002C224A" w:rsidRDefault="006D67F1" w:rsidP="00452FC6">
      <w:pPr>
        <w:pStyle w:val="Nadpis4"/>
        <w:rPr>
          <w:rFonts w:ascii="Calibri" w:hAnsi="Calibri"/>
        </w:rPr>
      </w:pPr>
      <w:r w:rsidRPr="002C224A">
        <w:rPr>
          <w:rFonts w:ascii="Calibri" w:hAnsi="Calibri"/>
        </w:rPr>
        <w:t>Dílčí shrnutí</w:t>
      </w:r>
    </w:p>
    <w:bookmarkEnd w:id="1359"/>
    <w:p w:rsidR="006D67F1" w:rsidRPr="002C224A" w:rsidRDefault="006D67F1" w:rsidP="00623293">
      <w:pPr>
        <w:pStyle w:val="Titulek"/>
      </w:pP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84116">
        <w:tc>
          <w:tcPr>
            <w:tcW w:w="2282" w:type="dxa"/>
            <w:shd w:val="clear" w:color="auto" w:fill="ECFFC3"/>
          </w:tcPr>
          <w:p w:rsidR="006D67F1" w:rsidRPr="00A50943" w:rsidRDefault="006D67F1" w:rsidP="00A84116">
            <w:pPr>
              <w:rPr>
                <w:b/>
              </w:rPr>
            </w:pPr>
          </w:p>
        </w:tc>
        <w:tc>
          <w:tcPr>
            <w:tcW w:w="6788" w:type="dxa"/>
            <w:shd w:val="clear" w:color="auto" w:fill="ECFFC3"/>
          </w:tcPr>
          <w:p w:rsidR="006D67F1" w:rsidRPr="002C224A" w:rsidRDefault="006D67F1" w:rsidP="00A84116">
            <w:pPr>
              <w:ind w:left="38"/>
              <w:rPr>
                <w:b/>
              </w:rPr>
            </w:pP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Cíle finančního nástroje</w:t>
            </w:r>
          </w:p>
        </w:tc>
        <w:tc>
          <w:tcPr>
            <w:tcW w:w="6788" w:type="dxa"/>
            <w:shd w:val="clear" w:color="auto" w:fill="FFFFFF"/>
            <w:noWrap/>
          </w:tcPr>
          <w:p w:rsidR="006D67F1" w:rsidRPr="002C224A" w:rsidRDefault="009E51E3" w:rsidP="009E51E3">
            <w:r w:rsidRPr="002C224A">
              <w:t>Podpořit investice do energetické účinnosti, zvýšit přístup k financování MSP a snížit finanční náklady a dobu návratnosti úsporných investic.</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lastRenderedPageBreak/>
              <w:t>Definice a kritéria způsobilých projektů</w:t>
            </w:r>
          </w:p>
        </w:tc>
        <w:tc>
          <w:tcPr>
            <w:tcW w:w="6788" w:type="dxa"/>
            <w:shd w:val="clear" w:color="auto" w:fill="FFFFFF"/>
            <w:noWrap/>
          </w:tcPr>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Modernizace a rekonstrukce rozvodů elektřiny, plynu a tepla v budovách a v energetických hospodářstvích výrobních závodů za účelem zvýšení účinnosti</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zavádění a modernizace systémů měření a regulace,</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modernizace, rekonstrukce stávajících zařízení na výrobu energie pro vlastní spotřebu vedoucí ke zvýšení její účinnosti,</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modernizace soustav osvětlení budov a průmyslových areálů (pouze v případě náhrady zastaralých technologií za nové vysoce efektivní osvětlovací systémy, např. světelných diod (LED),</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využití odpadní energie ve výrobních procesech,</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snižování energetické náročnosti/zvyšování energetické účinnosti výrobních a technologických procesů,</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instalace OZE pro vlastní spotřebu podniku,</w:t>
            </w:r>
          </w:p>
          <w:p w:rsidR="006D67F1" w:rsidRPr="002C224A" w:rsidRDefault="006D67F1" w:rsidP="00A84116">
            <w:pPr>
              <w:pStyle w:val="Odstavecseseznamem1"/>
              <w:numPr>
                <w:ilvl w:val="0"/>
                <w:numId w:val="30"/>
              </w:numPr>
              <w:overflowPunct/>
              <w:autoSpaceDE/>
              <w:autoSpaceDN/>
              <w:adjustRightInd/>
              <w:spacing w:before="120"/>
              <w:contextualSpacing w:val="0"/>
              <w:jc w:val="left"/>
              <w:textAlignment w:val="auto"/>
            </w:pPr>
            <w:r w:rsidRPr="002C224A">
              <w:t>instalace kogenerační jednotky s maximálním využitím elektrické a tepelné energie pro vlastní spotřebu podniku,</w:t>
            </w:r>
          </w:p>
          <w:p w:rsidR="006D67F1" w:rsidRPr="002C224A" w:rsidRDefault="006D67F1" w:rsidP="002433DA">
            <w:pPr>
              <w:pStyle w:val="Odstavecseseznamem1"/>
              <w:numPr>
                <w:ilvl w:val="0"/>
                <w:numId w:val="30"/>
              </w:numPr>
              <w:overflowPunct/>
              <w:autoSpaceDE/>
              <w:autoSpaceDN/>
              <w:adjustRightInd/>
              <w:spacing w:line="250" w:lineRule="atLeast"/>
              <w:jc w:val="left"/>
              <w:textAlignment w:val="auto"/>
            </w:pPr>
            <w:r w:rsidRPr="002C224A">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Forma podpory</w:t>
            </w:r>
          </w:p>
        </w:tc>
        <w:tc>
          <w:tcPr>
            <w:tcW w:w="6788" w:type="dxa"/>
            <w:shd w:val="clear" w:color="auto" w:fill="FFFFFF"/>
            <w:noWrap/>
          </w:tcPr>
          <w:p w:rsidR="006D67F1" w:rsidRPr="002C224A" w:rsidRDefault="006D67F1" w:rsidP="008E4E77">
            <w:pPr>
              <w:spacing w:after="120"/>
              <w:rPr>
                <w:rFonts w:cs="Calibri"/>
                <w:szCs w:val="22"/>
              </w:rPr>
            </w:pPr>
            <w:r w:rsidRPr="002C224A">
              <w:rPr>
                <w:rFonts w:cs="Calibri"/>
                <w:szCs w:val="22"/>
              </w:rPr>
              <w:t>Kombinovaná podpora</w:t>
            </w:r>
          </w:p>
          <w:p w:rsidR="006D67F1" w:rsidRPr="002C224A" w:rsidRDefault="006D67F1" w:rsidP="008E4E77">
            <w:pPr>
              <w:spacing w:after="120"/>
              <w:rPr>
                <w:rFonts w:cs="Calibri"/>
                <w:szCs w:val="22"/>
              </w:rPr>
            </w:pPr>
            <w:r w:rsidRPr="002C224A">
              <w:rPr>
                <w:rFonts w:cs="Calibri"/>
                <w:szCs w:val="22"/>
              </w:rPr>
              <w:t>Zvýhodněný úvěr se sníženou úrokovou sazbou a delší dobou splatnosti</w:t>
            </w:r>
          </w:p>
          <w:p w:rsidR="006D67F1" w:rsidRPr="002C224A" w:rsidRDefault="006D67F1" w:rsidP="008E4E77">
            <w:pPr>
              <w:spacing w:after="120"/>
              <w:rPr>
                <w:rFonts w:cs="Calibri"/>
                <w:szCs w:val="22"/>
              </w:rPr>
            </w:pPr>
            <w:r w:rsidRPr="002C224A">
              <w:rPr>
                <w:rFonts w:cs="Calibri"/>
                <w:szCs w:val="22"/>
              </w:rPr>
              <w:t>Finanční příspěvek na úhradu úroků (subvence úrokové sazby – finanční příspěvek) za podmínky dosažení požadované úspory</w:t>
            </w:r>
          </w:p>
          <w:p w:rsidR="006D67F1" w:rsidRPr="002C224A" w:rsidRDefault="006D67F1" w:rsidP="008E4E77">
            <w:pPr>
              <w:rPr>
                <w:b/>
                <w:color w:val="FF0000"/>
              </w:rPr>
            </w:pPr>
            <w:r w:rsidRPr="002C224A">
              <w:rPr>
                <w:rFonts w:cs="Calibri"/>
                <w:szCs w:val="22"/>
              </w:rPr>
              <w:t>Úhrada nákladů na energetický audit a ověření úspory (finanční příspěvek)</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Výše podpory</w:t>
            </w:r>
          </w:p>
        </w:tc>
        <w:tc>
          <w:tcPr>
            <w:tcW w:w="6788" w:type="dxa"/>
            <w:shd w:val="clear" w:color="auto" w:fill="FFFFFF"/>
            <w:noWrap/>
          </w:tcPr>
          <w:p w:rsidR="006D67F1" w:rsidRPr="002C224A" w:rsidRDefault="006D67F1" w:rsidP="00A84116">
            <w:r w:rsidRPr="002C224A">
              <w:t xml:space="preserve">Úvěr a subvence úrokové sazby se budou pohybovat v rozpětí 0,5 – </w:t>
            </w:r>
            <w:smartTag w:uri="urn:schemas-microsoft-com:office:smarttags" w:element="metricconverter">
              <w:smartTagPr>
                <w:attr w:name="ProductID" w:val="250 mil"/>
              </w:smartTagPr>
              <w:r w:rsidRPr="002C224A">
                <w:t>250 mil</w:t>
              </w:r>
            </w:smartTag>
            <w:r w:rsidRPr="002C224A">
              <w:t>. Kč.</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Základní parametry poskytované podpory</w:t>
            </w:r>
          </w:p>
        </w:tc>
        <w:tc>
          <w:tcPr>
            <w:tcW w:w="6788" w:type="dxa"/>
            <w:shd w:val="clear" w:color="auto" w:fill="FFFFFF"/>
            <w:noWrap/>
          </w:tcPr>
          <w:p w:rsidR="006D67F1" w:rsidRPr="002C224A" w:rsidRDefault="006D67F1" w:rsidP="00A84116">
            <w:r w:rsidRPr="002C224A">
              <w:t>Doporučujeme snížení úrokové míry pro konečného příjemce na polovinu tržní úrokové míry formou zapojení finančního nástroje i úvěru soukromé úvěrující instituce. Pro dosažené takto nízké sazby je nezbytné, aby úroková sazba fondu byla co nejnižší.</w:t>
            </w:r>
          </w:p>
          <w:p w:rsidR="00166B80" w:rsidRPr="002C224A" w:rsidRDefault="00166B80" w:rsidP="00A84116"/>
          <w:p w:rsidR="00166B80" w:rsidRPr="002C224A" w:rsidRDefault="00166B80" w:rsidP="00166B80">
            <w:r w:rsidRPr="002C224A">
              <w:t>Zvýhodněný úvěr by měl být poskytován spolu s komerčním úvěrem soukromé úvěrující instituce a spolufinancováním konečného příjemce. Podíl komerčního úvěru je doporučen na úrovni 50-100 % zvýhodněného úvěru.</w:t>
            </w:r>
          </w:p>
          <w:p w:rsidR="00166B80" w:rsidRPr="002C224A" w:rsidRDefault="00166B80" w:rsidP="00A84116"/>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lastRenderedPageBreak/>
              <w:t>Kroky k aktivizaci soukromých finančních zdrojů</w:t>
            </w:r>
          </w:p>
        </w:tc>
        <w:tc>
          <w:tcPr>
            <w:tcW w:w="6788" w:type="dxa"/>
            <w:shd w:val="clear" w:color="auto" w:fill="FFFFFF"/>
            <w:noWrap/>
          </w:tcPr>
          <w:p w:rsidR="006D67F1" w:rsidRPr="002C224A" w:rsidRDefault="00506489" w:rsidP="006F771D">
            <w:pPr>
              <w:overflowPunct/>
              <w:autoSpaceDE/>
              <w:autoSpaceDN/>
              <w:adjustRightInd/>
              <w:textAlignment w:val="auto"/>
            </w:pPr>
            <w:r w:rsidRPr="002C224A">
              <w:t>Preferenční odměňování není vhodné. Soukromé úvěrující instituce budou zapojeny za tržních podmínek, nástroj zvýhodněného úvěru bude disponovat sekundárním zástavním právem a umožní tak další komerční úvěrování.</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Očekávaná alokace</w:t>
            </w:r>
          </w:p>
        </w:tc>
        <w:tc>
          <w:tcPr>
            <w:tcW w:w="6788" w:type="dxa"/>
            <w:shd w:val="clear" w:color="auto" w:fill="FFFFFF"/>
            <w:noWrap/>
          </w:tcPr>
          <w:p w:rsidR="00A56CE4" w:rsidRPr="002C224A" w:rsidRDefault="00A56CE4" w:rsidP="00A56CE4">
            <w:r w:rsidRPr="002C224A">
              <w:t xml:space="preserve">Doporučujeme využití FN v rozmezí </w:t>
            </w:r>
            <w:r w:rsidR="00660C27" w:rsidRPr="002C224A">
              <w:t>1200</w:t>
            </w:r>
            <w:r w:rsidRPr="002C224A">
              <w:t>-</w:t>
            </w:r>
            <w:smartTag w:uri="urn:schemas-microsoft-com:office:smarttags" w:element="metricconverter">
              <w:smartTagPr>
                <w:attr w:name="ProductID" w:val="2000 mil"/>
              </w:smartTagPr>
              <w:r w:rsidR="00660C27" w:rsidRPr="002C224A">
                <w:t>200</w:t>
              </w:r>
              <w:r w:rsidRPr="002C224A">
                <w:t>0 mil</w:t>
              </w:r>
            </w:smartTag>
            <w:r w:rsidRPr="002C224A">
              <w:t>. Kč, s počáteční nižší alokací a ověřením absorpční kapacity.</w:t>
            </w:r>
          </w:p>
          <w:p w:rsidR="00660C27" w:rsidRPr="002C224A" w:rsidRDefault="00660C27" w:rsidP="00A56CE4"/>
          <w:p w:rsidR="006D67F1" w:rsidRPr="002C224A" w:rsidRDefault="00660C27" w:rsidP="007D6939">
            <w:r w:rsidRPr="002C224A">
              <w:t>V případě realizovatelné kombinovatelnosti zvýhodněného úvěru s dotační podporou do limitu veřejné podpory je možné alokaci FN zvýšit.</w:t>
            </w:r>
          </w:p>
        </w:tc>
      </w:tr>
    </w:tbl>
    <w:p w:rsidR="006D67F1" w:rsidRPr="002C224A" w:rsidRDefault="00623293" w:rsidP="00DA3038">
      <w:pPr>
        <w:pStyle w:val="Titulek"/>
      </w:pPr>
      <w:r w:rsidRPr="002C224A">
        <w:t xml:space="preserve">Tabulka </w:t>
      </w:r>
      <w:r w:rsidR="00AC6EB9">
        <w:t>130</w:t>
      </w:r>
      <w:r w:rsidRPr="002C224A">
        <w:t>:</w:t>
      </w:r>
      <w:r w:rsidR="00DA3038" w:rsidRPr="002C224A">
        <w:t xml:space="preserve"> Shrnutí FN SC 3.1</w:t>
      </w:r>
    </w:p>
    <w:p w:rsidR="006D67F1" w:rsidRPr="002C224A" w:rsidRDefault="006D67F1" w:rsidP="006F771D">
      <w:pPr>
        <w:pStyle w:val="Nadpis3"/>
        <w:rPr>
          <w:rFonts w:ascii="Calibri" w:hAnsi="Calibri"/>
        </w:rPr>
      </w:pPr>
      <w:bookmarkStart w:id="1360" w:name="_Toc416909663"/>
      <w:bookmarkStart w:id="1361" w:name="_Toc417545046"/>
      <w:bookmarkStart w:id="1362" w:name="_Toc416909664"/>
      <w:bookmarkStart w:id="1363" w:name="_Toc417545047"/>
      <w:bookmarkStart w:id="1364" w:name="_Toc416909669"/>
      <w:bookmarkStart w:id="1365" w:name="_Toc417545052"/>
      <w:bookmarkStart w:id="1366" w:name="_Toc416909688"/>
      <w:bookmarkStart w:id="1367" w:name="_Toc417545071"/>
      <w:bookmarkStart w:id="1368" w:name="_Toc416909710"/>
      <w:bookmarkStart w:id="1369" w:name="_Toc417545093"/>
      <w:bookmarkStart w:id="1370" w:name="_Toc416909712"/>
      <w:bookmarkStart w:id="1371" w:name="_Toc417545095"/>
      <w:bookmarkStart w:id="1372" w:name="_Toc416909714"/>
      <w:bookmarkStart w:id="1373" w:name="_Toc417545097"/>
      <w:bookmarkStart w:id="1374" w:name="_Toc416909715"/>
      <w:bookmarkStart w:id="1375" w:name="_Toc417545098"/>
      <w:bookmarkStart w:id="1376" w:name="_Toc416909716"/>
      <w:bookmarkStart w:id="1377" w:name="_Toc417545099"/>
      <w:bookmarkStart w:id="1378" w:name="_Toc416909717"/>
      <w:bookmarkStart w:id="1379" w:name="_Toc417545100"/>
      <w:bookmarkStart w:id="1380" w:name="_Toc416909739"/>
      <w:bookmarkStart w:id="1381" w:name="_Toc417545122"/>
      <w:bookmarkStart w:id="1382" w:name="_Toc416909761"/>
      <w:bookmarkStart w:id="1383" w:name="_Toc417545144"/>
      <w:bookmarkStart w:id="1384" w:name="_Toc416909763"/>
      <w:bookmarkStart w:id="1385" w:name="_Toc417545146"/>
      <w:bookmarkStart w:id="1386" w:name="_Toc416448077"/>
      <w:bookmarkStart w:id="1387" w:name="_Toc416448078"/>
      <w:bookmarkStart w:id="1388" w:name="_Toc416800512"/>
      <w:bookmarkStart w:id="1389" w:name="_Toc421534330"/>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Pr="002C224A">
        <w:rPr>
          <w:rFonts w:ascii="Calibri" w:hAnsi="Calibri"/>
        </w:rPr>
        <w:t>Specifický cíl 3.5</w:t>
      </w:r>
      <w:bookmarkEnd w:id="1388"/>
      <w:bookmarkEnd w:id="1389"/>
    </w:p>
    <w:p w:rsidR="006D67F1" w:rsidRPr="002C224A" w:rsidRDefault="006D67F1" w:rsidP="00F87888">
      <w:pPr>
        <w:pStyle w:val="Nadpis4"/>
        <w:rPr>
          <w:rFonts w:ascii="Calibri" w:hAnsi="Calibri"/>
        </w:rPr>
      </w:pPr>
      <w:bookmarkStart w:id="1390" w:name="_Toc416800513"/>
      <w:r w:rsidRPr="002C224A">
        <w:rPr>
          <w:rFonts w:ascii="Calibri" w:hAnsi="Calibri"/>
        </w:rPr>
        <w:t>Formy finančních nástrojů a výše alokace</w:t>
      </w:r>
    </w:p>
    <w:p w:rsidR="006D67F1" w:rsidRPr="00A50943" w:rsidRDefault="006D67F1" w:rsidP="00D67A40"/>
    <w:bookmarkEnd w:id="1390"/>
    <w:p w:rsidR="006D67F1" w:rsidRPr="002C224A" w:rsidRDefault="006D67F1" w:rsidP="00D67A40">
      <w:r w:rsidRPr="00A50943">
        <w:t xml:space="preserve">Specifický cíl </w:t>
      </w:r>
      <w:r w:rsidRPr="002C224A">
        <w:rPr>
          <w:b/>
        </w:rPr>
        <w:t>3.5 – “</w:t>
      </w:r>
      <w:r w:rsidRPr="002C224A">
        <w:rPr>
          <w:rFonts w:cs="Arial"/>
          <w:b/>
          <w:szCs w:val="19"/>
        </w:rPr>
        <w:t>Zvýšit účinnost soustav zásobování teplem</w:t>
      </w:r>
      <w:r w:rsidRPr="002C224A">
        <w:rPr>
          <w:b/>
        </w:rPr>
        <w:t>“</w:t>
      </w:r>
      <w:r w:rsidRPr="002C224A">
        <w:t xml:space="preserve"> vykazuje částečný potenciál pro zapojení finančních nástrojů primárně v podobě zvýhodněných úvěrů. Výraznou bariérou investic i využití FN je nicméně regulovanost odvětví i nákladnost investic a velmi dlouhá doba návratnosti. V případě soustav zásobování teplem (SZT) navíc komplikuje investice problém ručení.</w:t>
      </w:r>
    </w:p>
    <w:p w:rsidR="006D67F1" w:rsidRPr="002C224A" w:rsidRDefault="006D67F1" w:rsidP="00D67A40"/>
    <w:p w:rsidR="006D67F1" w:rsidRPr="002C224A" w:rsidRDefault="006D67F1" w:rsidP="00F57B27">
      <w:r w:rsidRPr="002C224A">
        <w:t>Velmi dlouhá návratnost je charakteristická zejména pro SZT, kde výrazně přesahuje úroveň 10 let, což je i přes dlouhou životnost investic problém.</w:t>
      </w:r>
      <w:r w:rsidR="000F1B10" w:rsidRPr="002C224A">
        <w:t xml:space="preserve"> </w:t>
      </w:r>
      <w:r w:rsidRPr="002C224A">
        <w:t xml:space="preserve">Z tohoto důvodu je v této aktivitě potenciál čistého finančního nástroje významně nižší. Účelnou by zde nicméně mohla být </w:t>
      </w:r>
      <w:r w:rsidRPr="002C224A">
        <w:rPr>
          <w:b/>
        </w:rPr>
        <w:t>kombinace zvýhodněného úvěru, případně i záruky, s dotační podporou</w:t>
      </w:r>
      <w:r w:rsidRPr="002C224A">
        <w:t xml:space="preserve"> – do limitu veřejné podpory. Relativně snížená dotační složka by byla doplněna o finanční nástroj, který by usnadnil externí dofinancování investice a zapojil by do podpory revolvingový efekt.</w:t>
      </w:r>
      <w:r w:rsidR="000F1B10" w:rsidRPr="002C224A">
        <w:t xml:space="preserve"> </w:t>
      </w:r>
      <w:r w:rsidRPr="002C224A">
        <w:t>Kombinace FN s dotací lze použít pouze na odlišné způsobilé výdaje v oddělených operacích a její technická proveditelnost a náklady implementace musí ještě projít hlubším posouzením.</w:t>
      </w:r>
    </w:p>
    <w:p w:rsidR="006D67F1" w:rsidRPr="002C224A" w:rsidRDefault="006D67F1" w:rsidP="00F57B27"/>
    <w:p w:rsidR="006D67F1" w:rsidRPr="002C224A" w:rsidRDefault="006D67F1" w:rsidP="00F57B27">
      <w:r w:rsidRPr="002C224A">
        <w:t>V oblasti KVET považujeme za nejvhodnější variantu využití finančního nástroje formou zvýhodněných úvěrů. Investice do instalace nových jednotek a rekonstrukce stávajících vykazují díky provozní podpoře relativně přijatelnou návratnost, zvýhodněné úvěry by měly snížit náklady externího financování investic zejména pro menší subjekty a především motivovat k provedení těchto opatření a co nejvíce usnadnit jejich úvodní fázi.</w:t>
      </w:r>
    </w:p>
    <w:p w:rsidR="006D67F1" w:rsidRPr="002C224A" w:rsidRDefault="006D67F1" w:rsidP="00F57B27"/>
    <w:p w:rsidR="006D67F1" w:rsidRPr="002C224A" w:rsidRDefault="006D67F1" w:rsidP="00F57B27">
      <w:r w:rsidRPr="002C224A">
        <w:t>Z toho důvodu navrhujeme v oblasti KVET aplikovat zvýhodněný úvěr se sníženou úrokovou sazbou a delší dobou splatnosti, doplněný o příspěvek na přípravu projektu a podmíněný příspěvek na úhradu úrokových nákladů poskytovaný po dokončení projektu za předpokladu naplnění požadovaných cílů účinnosti. Zvýhodněný úvěr by neměl znamenat překompenzování podpory v rámci kombinace s provozní podporou, vzájemnou kombinaci je však nutné řešit v konzultaci s ERÚ.</w:t>
      </w:r>
    </w:p>
    <w:p w:rsidR="006D67F1" w:rsidRPr="002C224A" w:rsidRDefault="006D67F1" w:rsidP="00F57B27"/>
    <w:p w:rsidR="00E574C1" w:rsidRPr="002C224A" w:rsidRDefault="00E574C1" w:rsidP="00E574C1">
      <w:r w:rsidRPr="002C224A">
        <w:t xml:space="preserve">Návrh alokace FN v SC 3.1 vychází z odhadované absorpční kapacity pro KVET. Jak ukazuje rámcový model výsledků nástroje, alokace v rozmezí </w:t>
      </w:r>
      <w:r w:rsidR="008F2710" w:rsidRPr="002C224A">
        <w:t>500</w:t>
      </w:r>
      <w:r w:rsidRPr="002C224A">
        <w:t>-</w:t>
      </w:r>
      <w:smartTag w:uri="urn:schemas-microsoft-com:office:smarttags" w:element="metricconverter">
        <w:smartTagPr>
          <w:attr w:name="ProductID" w:val="700 mil"/>
        </w:smartTagPr>
        <w:r w:rsidR="008F2710" w:rsidRPr="002C224A">
          <w:t>7</w:t>
        </w:r>
        <w:r w:rsidRPr="002C224A">
          <w:t>00 mil</w:t>
        </w:r>
      </w:smartTag>
      <w:r w:rsidRPr="002C224A">
        <w:t>. Kč by měla adekvátně podpořit investiční poptávku v tomto cíli.</w:t>
      </w:r>
      <w:r w:rsidR="008F2710" w:rsidRPr="002C224A">
        <w:t xml:space="preserve"> V rámci pilotního ověření absorpční kapacity FN je navrhována v první fázi alokace </w:t>
      </w:r>
      <w:smartTag w:uri="urn:schemas-microsoft-com:office:smarttags" w:element="metricconverter">
        <w:smartTagPr>
          <w:attr w:name="ProductID" w:val="300 mil"/>
        </w:smartTagPr>
        <w:r w:rsidR="008F2710" w:rsidRPr="002C224A">
          <w:t>300 mil</w:t>
        </w:r>
      </w:smartTag>
      <w:r w:rsidR="008F2710" w:rsidRPr="002C224A">
        <w:t>. Kč</w:t>
      </w:r>
    </w:p>
    <w:p w:rsidR="00E574C1" w:rsidRPr="002C224A" w:rsidRDefault="00E574C1" w:rsidP="00F57B27"/>
    <w:p w:rsidR="006D67F1" w:rsidRPr="002C224A" w:rsidRDefault="006D67F1" w:rsidP="00F87888">
      <w:pPr>
        <w:pStyle w:val="Nadpis4"/>
        <w:rPr>
          <w:rFonts w:ascii="Calibri" w:hAnsi="Calibri"/>
        </w:rPr>
      </w:pPr>
      <w:bookmarkStart w:id="1391" w:name="_Toc416800514"/>
      <w:r w:rsidRPr="002C224A">
        <w:rPr>
          <w:rFonts w:ascii="Calibri" w:hAnsi="Calibri"/>
        </w:rPr>
        <w:t>Nejvhodnější možnosti implementace</w:t>
      </w:r>
    </w:p>
    <w:p w:rsidR="006D67F1" w:rsidRPr="00A50943" w:rsidRDefault="006D67F1" w:rsidP="00D67A40"/>
    <w:bookmarkEnd w:id="1391"/>
    <w:p w:rsidR="006D67F1" w:rsidRPr="00A50943" w:rsidRDefault="007A3F34" w:rsidP="006F771D">
      <w:r>
        <w:rPr>
          <w:noProof/>
        </w:rPr>
        <w:lastRenderedPageBreak/>
        <w:drawing>
          <wp:inline distT="0" distB="0" distL="0" distR="0" wp14:anchorId="75C7F74E" wp14:editId="13676D7D">
            <wp:extent cx="5248275" cy="3971925"/>
            <wp:effectExtent l="0" t="0" r="9525" b="9525"/>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5248275" cy="3971925"/>
                    </a:xfrm>
                    <a:prstGeom prst="rect">
                      <a:avLst/>
                    </a:prstGeom>
                    <a:noFill/>
                    <a:ln>
                      <a:noFill/>
                    </a:ln>
                  </pic:spPr>
                </pic:pic>
              </a:graphicData>
            </a:graphic>
          </wp:inline>
        </w:drawing>
      </w:r>
    </w:p>
    <w:p w:rsidR="006D67F1" w:rsidRPr="002C224A" w:rsidRDefault="00623293" w:rsidP="00623293">
      <w:pPr>
        <w:pStyle w:val="Titulek"/>
      </w:pPr>
      <w:r w:rsidRPr="002C224A">
        <w:t xml:space="preserve">Obrázek </w:t>
      </w:r>
      <w:r w:rsidR="007578E3">
        <w:t>58</w:t>
      </w:r>
      <w:r w:rsidRPr="002C224A">
        <w:t xml:space="preserve">: </w:t>
      </w:r>
      <w:r w:rsidR="0032163C" w:rsidRPr="002C224A">
        <w:t>Rámcové schéma nástroje zvýhodněných úvěrů</w:t>
      </w:r>
    </w:p>
    <w:p w:rsidR="006D67F1" w:rsidRPr="002C224A" w:rsidRDefault="006D67F1" w:rsidP="00452FC6">
      <w:pPr>
        <w:pStyle w:val="Nadpis4"/>
        <w:rPr>
          <w:rFonts w:ascii="Calibri" w:hAnsi="Calibri"/>
        </w:rPr>
      </w:pPr>
      <w:r w:rsidRPr="002C224A">
        <w:rPr>
          <w:rFonts w:ascii="Calibri" w:hAnsi="Calibri"/>
        </w:rPr>
        <w:t>Modelové scénáře vývoje portfolií, počet investic a revolvingový efekt</w:t>
      </w:r>
    </w:p>
    <w:p w:rsidR="00CC715F" w:rsidRPr="002C224A" w:rsidRDefault="00CC715F" w:rsidP="00CC715F">
      <w:r w:rsidRPr="002C224A">
        <w:t>Níže jsou prezentovány výsledky modelování potenciálních efektů využití navrhované části alokace specifického cíle na finanční nástroj, vč. specifikace výchozích atributů, na kterých je model postaven. Jedná se o modelové příklady, které slouží jako vodítko a měly by být rámcově respektovány při implementaci FN, nicméně nemohou být považovány za závazné s ohledem na dále prezentované předpoklady.</w:t>
      </w:r>
    </w:p>
    <w:p w:rsidR="00486AEB" w:rsidRPr="00A50943" w:rsidRDefault="00486AEB" w:rsidP="00CB12A4">
      <w:pPr>
        <w:pStyle w:val="Neslovannadpisy"/>
      </w:pPr>
    </w:p>
    <w:p w:rsidR="00CB12A4" w:rsidRPr="002C224A" w:rsidRDefault="00CB12A4" w:rsidP="00CB12A4">
      <w:pPr>
        <w:pStyle w:val="Neslovannadpisy"/>
        <w:rPr>
          <w:b w:val="0"/>
        </w:rPr>
      </w:pPr>
      <w:r w:rsidRPr="002C224A">
        <w:t>Úvěrový nástroj</w:t>
      </w:r>
    </w:p>
    <w:p w:rsidR="004F68F6" w:rsidRDefault="004F68F6" w:rsidP="008366D3">
      <w:r w:rsidRPr="002C224A">
        <w:t xml:space="preserve">V úvěrovém modelovém příkladu bylo pro zjednodušení abstrahováno od započítání úrokového zisku a poplatků za správu spolufinancujícího subjektu s předpokladem jejich částečné vzájemné kompenzace. Model zobrazuje scénáře pro různé úrovně předpokládaných ztrát a scénář pro příspěvky na subvenci úhrady úroků a přípravu projektu. </w:t>
      </w:r>
      <w:r w:rsidRPr="00E4336B">
        <w:rPr>
          <w:b/>
        </w:rPr>
        <w:t xml:space="preserve">V modelové </w:t>
      </w:r>
      <w:r>
        <w:rPr>
          <w:b/>
        </w:rPr>
        <w:t>kalkulaci</w:t>
      </w:r>
      <w:r w:rsidRPr="00E4336B">
        <w:rPr>
          <w:b/>
        </w:rPr>
        <w:t xml:space="preserve"> není započítán odklad splátek</w:t>
      </w:r>
      <w:r w:rsidRPr="002C224A">
        <w:t>. V případě jeho využití je tedy třeba počítat s částečným omezením revolvingu a tedy i počtu poskytnutých úvěrů pro toto programovací období</w:t>
      </w:r>
      <w:r>
        <w:t xml:space="preserve"> - revolvingové efekty budou posunuty do dalšího období (při pětiletém odkladu by splácení prvních úvěrů začalo až po roce 2020).</w:t>
      </w:r>
    </w:p>
    <w:p w:rsidR="00CB12A4" w:rsidRPr="002C224A" w:rsidRDefault="00CB12A4" w:rsidP="008366D3"/>
    <w:p w:rsidR="00CB12A4" w:rsidRPr="002C224A" w:rsidRDefault="007A3F34" w:rsidP="00CB12A4">
      <w:pPr>
        <w:pStyle w:val="Titulek"/>
      </w:pPr>
      <w:r w:rsidRPr="003428AF">
        <w:rPr>
          <w:noProof/>
          <w:lang w:eastAsia="cs-CZ"/>
        </w:rPr>
        <w:lastRenderedPageBreak/>
        <w:drawing>
          <wp:inline distT="0" distB="0" distL="0" distR="0" wp14:anchorId="01E01B85" wp14:editId="0D8C7F42">
            <wp:extent cx="4377055" cy="2940050"/>
            <wp:effectExtent l="0" t="0" r="4445" b="12700"/>
            <wp:docPr id="2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B12A4" w:rsidRPr="002C224A" w:rsidRDefault="00CB12A4" w:rsidP="00CB12A4">
      <w:pPr>
        <w:pStyle w:val="Titulek"/>
        <w:rPr>
          <w:noProof/>
          <w:lang w:eastAsia="cs-CZ"/>
        </w:rPr>
      </w:pPr>
      <w:r w:rsidRPr="002C224A">
        <w:t xml:space="preserve">Graf </w:t>
      </w:r>
      <w:r w:rsidR="007578E3">
        <w:t>59</w:t>
      </w:r>
      <w:r w:rsidRPr="002C224A">
        <w:t>: Potenciální efekty využití FN (</w:t>
      </w:r>
      <w:r w:rsidR="00486AEB" w:rsidRPr="002C224A">
        <w:t xml:space="preserve">Scénář 1, </w:t>
      </w:r>
      <w:r w:rsidRPr="002C224A">
        <w:t xml:space="preserve">ztráty 10 %, bez příspěvku) </w:t>
      </w:r>
    </w:p>
    <w:p w:rsidR="00CB12A4" w:rsidRPr="002C224A" w:rsidRDefault="00CB12A4" w:rsidP="00CB12A4">
      <w:pPr>
        <w:pStyle w:val="BodyText1"/>
        <w:jc w:val="both"/>
        <w:rPr>
          <w:rFonts w:ascii="Calibri" w:hAnsi="Calibri"/>
        </w:rPr>
      </w:pPr>
    </w:p>
    <w:p w:rsidR="00CB12A4" w:rsidRPr="002C224A" w:rsidRDefault="00EA3E60" w:rsidP="00CB12A4">
      <w:pPr>
        <w:pStyle w:val="CaptionIntroductionparagraph"/>
        <w:rPr>
          <w:rFonts w:ascii="Calibri" w:hAnsi="Calibri"/>
        </w:rPr>
      </w:pPr>
      <w:r w:rsidRPr="00EA3E60">
        <w:rPr>
          <w:noProof/>
        </w:rPr>
        <w:t xml:space="preserve"> </w:t>
      </w:r>
    </w:p>
    <w:p w:rsidR="00CB12A4" w:rsidRPr="00A50943" w:rsidRDefault="007A3F34" w:rsidP="00CB12A4">
      <w:pPr>
        <w:rPr>
          <w:noProof/>
        </w:rPr>
      </w:pPr>
      <w:r w:rsidRPr="003428AF">
        <w:rPr>
          <w:noProof/>
        </w:rPr>
        <w:drawing>
          <wp:inline distT="0" distB="0" distL="0" distR="0" wp14:anchorId="61FAB475" wp14:editId="69E9E729">
            <wp:extent cx="4377055" cy="2940050"/>
            <wp:effectExtent l="0" t="0" r="4445" b="12700"/>
            <wp:docPr id="2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B12A4" w:rsidRPr="002C224A" w:rsidRDefault="00CB12A4" w:rsidP="00CB12A4">
      <w:pPr>
        <w:pStyle w:val="Titulek"/>
        <w:rPr>
          <w:noProof/>
          <w:lang w:eastAsia="cs-CZ"/>
        </w:rPr>
      </w:pPr>
      <w:r w:rsidRPr="002C224A">
        <w:t xml:space="preserve">Graf </w:t>
      </w:r>
      <w:r w:rsidR="007578E3">
        <w:t>60</w:t>
      </w:r>
      <w:r w:rsidRPr="002C224A">
        <w:t>: Potenciální efekty využití FN (</w:t>
      </w:r>
      <w:r w:rsidR="00486AEB" w:rsidRPr="002C224A">
        <w:t xml:space="preserve">Scénář 2, </w:t>
      </w:r>
      <w:r w:rsidRPr="002C224A">
        <w:t xml:space="preserve">ztráty 20 %, bez příspěvku) </w:t>
      </w:r>
    </w:p>
    <w:p w:rsidR="00CB12A4" w:rsidRPr="00A50943" w:rsidRDefault="00CB12A4" w:rsidP="00CB12A4">
      <w:pPr>
        <w:rPr>
          <w:noProof/>
        </w:rPr>
      </w:pPr>
    </w:p>
    <w:p w:rsidR="00CB12A4" w:rsidRPr="002C224A" w:rsidRDefault="00C82370" w:rsidP="00CB12A4">
      <w:pPr>
        <w:rPr>
          <w:noProof/>
        </w:rPr>
      </w:pPr>
      <w:r w:rsidRPr="00C82370">
        <w:rPr>
          <w:noProof/>
        </w:rPr>
        <w:lastRenderedPageBreak/>
        <w:t xml:space="preserve"> </w:t>
      </w:r>
      <w:r w:rsidR="007A3F34" w:rsidRPr="003428AF">
        <w:rPr>
          <w:noProof/>
        </w:rPr>
        <w:drawing>
          <wp:inline distT="0" distB="0" distL="0" distR="0" wp14:anchorId="4D55F6FF" wp14:editId="75F16C13">
            <wp:extent cx="4377055" cy="2940050"/>
            <wp:effectExtent l="0" t="0" r="4445" b="12700"/>
            <wp:docPr id="2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B12A4" w:rsidRPr="002C224A" w:rsidRDefault="00CB12A4" w:rsidP="00CB12A4">
      <w:pPr>
        <w:pStyle w:val="Titulek"/>
        <w:rPr>
          <w:noProof/>
          <w:lang w:eastAsia="cs-CZ"/>
        </w:rPr>
      </w:pPr>
      <w:r w:rsidRPr="002C224A">
        <w:t xml:space="preserve">Graf </w:t>
      </w:r>
      <w:r w:rsidR="007578E3">
        <w:t>61</w:t>
      </w:r>
      <w:r w:rsidRPr="002C224A">
        <w:t>: Potenciální efekty využití FN (</w:t>
      </w:r>
      <w:r w:rsidR="00486AEB" w:rsidRPr="002C224A">
        <w:t xml:space="preserve">Scénář 3, </w:t>
      </w:r>
      <w:r w:rsidRPr="002C224A">
        <w:t xml:space="preserve">ztráty 10 %, s příspěvkem) </w:t>
      </w:r>
    </w:p>
    <w:p w:rsidR="00CB12A4" w:rsidRPr="00A50943" w:rsidRDefault="00CB12A4" w:rsidP="00CB12A4">
      <w:pPr>
        <w:rPr>
          <w:noProof/>
        </w:rPr>
      </w:pPr>
    </w:p>
    <w:p w:rsidR="00CB12A4" w:rsidRPr="002C224A" w:rsidRDefault="00CB12A4" w:rsidP="00CB12A4">
      <w:r w:rsidRPr="002C224A">
        <w:t xml:space="preserve">Legenda: </w:t>
      </w:r>
    </w:p>
    <w:p w:rsidR="00CB12A4" w:rsidRPr="002C224A" w:rsidRDefault="00CB12A4" w:rsidP="00CB12A4">
      <w:pPr>
        <w:pStyle w:val="Odstavecseseznamem1"/>
        <w:numPr>
          <w:ilvl w:val="0"/>
          <w:numId w:val="43"/>
        </w:numPr>
        <w:overflowPunct/>
        <w:autoSpaceDE/>
        <w:autoSpaceDN/>
        <w:adjustRightInd/>
        <w:contextualSpacing w:val="0"/>
        <w:textAlignment w:val="auto"/>
      </w:pPr>
      <w:r w:rsidRPr="002C224A">
        <w:t>Modré sloupce representují zvýhodněné úvěry poskytnuté z OP PIK v jednotlivých letech</w:t>
      </w:r>
    </w:p>
    <w:p w:rsidR="00CB12A4" w:rsidRPr="002C224A" w:rsidRDefault="00EA3E60" w:rsidP="00CB12A4">
      <w:pPr>
        <w:pStyle w:val="Odstavecseseznamem1"/>
        <w:numPr>
          <w:ilvl w:val="0"/>
          <w:numId w:val="43"/>
        </w:numPr>
        <w:overflowPunct/>
        <w:autoSpaceDE/>
        <w:autoSpaceDN/>
        <w:adjustRightInd/>
        <w:contextualSpacing w:val="0"/>
        <w:textAlignment w:val="auto"/>
      </w:pPr>
      <w:r>
        <w:t>Zelená</w:t>
      </w:r>
      <w:r w:rsidRPr="002C224A">
        <w:t xml:space="preserve"> </w:t>
      </w:r>
      <w:r w:rsidR="00CB12A4" w:rsidRPr="002C224A">
        <w:t>křivka je kumulovaným součtem těchto úvěrů</w:t>
      </w:r>
    </w:p>
    <w:p w:rsidR="00CB12A4" w:rsidRPr="002C224A" w:rsidRDefault="00623293" w:rsidP="00623293">
      <w:pPr>
        <w:pStyle w:val="Titulek"/>
        <w:rPr>
          <w:noProof/>
        </w:rPr>
      </w:pPr>
      <w:r w:rsidRPr="002C224A">
        <w:rPr>
          <w:noProof/>
        </w:rPr>
        <w:t xml:space="preserve">Tabulka </w:t>
      </w:r>
      <w:r w:rsidR="00AC6EB9">
        <w:rPr>
          <w:noProof/>
        </w:rPr>
        <w:t>131</w:t>
      </w:r>
      <w:r w:rsidRPr="002C224A">
        <w:rPr>
          <w:noProof/>
        </w:rPr>
        <w:t xml:space="preserve">: </w:t>
      </w:r>
      <w:r w:rsidR="005A4C26" w:rsidRPr="002C224A">
        <w:rPr>
          <w:noProof/>
        </w:rPr>
        <w:t>Parametry modelu</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486AEB" w:rsidRPr="002C224A" w:rsidTr="00C94A24">
        <w:trPr>
          <w:trHeight w:val="240"/>
          <w:jc w:val="center"/>
        </w:trPr>
        <w:tc>
          <w:tcPr>
            <w:tcW w:w="4252" w:type="dxa"/>
            <w:noWrap/>
            <w:vAlign w:val="center"/>
          </w:tcPr>
          <w:p w:rsidR="00486AEB" w:rsidRPr="00A50943" w:rsidRDefault="00486AEB" w:rsidP="00486AEB">
            <w:pPr>
              <w:jc w:val="left"/>
              <w:rPr>
                <w:color w:val="000000"/>
                <w:sz w:val="18"/>
                <w:szCs w:val="18"/>
              </w:rPr>
            </w:pPr>
            <w:r w:rsidRPr="00A50943">
              <w:rPr>
                <w:color w:val="000000"/>
                <w:sz w:val="18"/>
                <w:szCs w:val="18"/>
              </w:rPr>
              <w:t xml:space="preserve">Alokace OP PIK </w:t>
            </w:r>
          </w:p>
        </w:tc>
        <w:tc>
          <w:tcPr>
            <w:tcW w:w="1417" w:type="dxa"/>
            <w:noWrap/>
            <w:vAlign w:val="center"/>
          </w:tcPr>
          <w:p w:rsidR="00486AEB" w:rsidRPr="002C224A" w:rsidRDefault="00024261" w:rsidP="00486AEB">
            <w:pPr>
              <w:jc w:val="right"/>
              <w:rPr>
                <w:color w:val="000000"/>
                <w:sz w:val="18"/>
                <w:szCs w:val="18"/>
              </w:rPr>
            </w:pPr>
            <w:smartTag w:uri="urn:schemas-microsoft-com:office:smarttags" w:element="metricconverter">
              <w:smartTagPr>
                <w:attr w:name="ProductID" w:val="300 mil"/>
              </w:smartTagPr>
              <w:r>
                <w:rPr>
                  <w:color w:val="000000"/>
                  <w:sz w:val="18"/>
                  <w:szCs w:val="18"/>
                </w:rPr>
                <w:t>3</w:t>
              </w:r>
              <w:r w:rsidR="00486AEB" w:rsidRPr="002C224A">
                <w:rPr>
                  <w:color w:val="000000"/>
                  <w:sz w:val="18"/>
                  <w:szCs w:val="18"/>
                </w:rPr>
                <w:t>00 mil</w:t>
              </w:r>
            </w:smartTag>
            <w:r w:rsidR="00486AEB" w:rsidRPr="002C224A">
              <w:rPr>
                <w:color w:val="000000"/>
                <w:sz w:val="18"/>
                <w:szCs w:val="18"/>
              </w:rPr>
              <w:t>. Kč</w:t>
            </w:r>
          </w:p>
        </w:tc>
      </w:tr>
      <w:tr w:rsidR="00486AEB" w:rsidRPr="002C224A" w:rsidTr="00C94A24">
        <w:trPr>
          <w:trHeight w:val="240"/>
          <w:jc w:val="center"/>
        </w:trPr>
        <w:tc>
          <w:tcPr>
            <w:tcW w:w="4252" w:type="dxa"/>
            <w:noWrap/>
            <w:vAlign w:val="center"/>
          </w:tcPr>
          <w:p w:rsidR="00486AEB" w:rsidRPr="002C224A" w:rsidRDefault="00486AEB" w:rsidP="00486AEB">
            <w:pPr>
              <w:jc w:val="left"/>
              <w:rPr>
                <w:color w:val="000000"/>
                <w:sz w:val="18"/>
                <w:szCs w:val="18"/>
              </w:rPr>
            </w:pPr>
            <w:r w:rsidRPr="002C224A">
              <w:rPr>
                <w:color w:val="000000"/>
                <w:sz w:val="18"/>
                <w:szCs w:val="18"/>
              </w:rPr>
              <w:t>Úrok zdrojů poskytovaných z OP PIK</w:t>
            </w:r>
          </w:p>
        </w:tc>
        <w:tc>
          <w:tcPr>
            <w:tcW w:w="1417" w:type="dxa"/>
            <w:noWrap/>
            <w:vAlign w:val="center"/>
          </w:tcPr>
          <w:p w:rsidR="00486AEB" w:rsidRPr="002C224A" w:rsidRDefault="00486AEB" w:rsidP="00486AEB">
            <w:pPr>
              <w:jc w:val="right"/>
              <w:rPr>
                <w:color w:val="000000"/>
                <w:sz w:val="18"/>
                <w:szCs w:val="18"/>
              </w:rPr>
            </w:pPr>
            <w:r w:rsidRPr="002C224A">
              <w:rPr>
                <w:color w:val="000000"/>
                <w:sz w:val="18"/>
                <w:szCs w:val="18"/>
              </w:rPr>
              <w:t>0,50 %</w:t>
            </w:r>
          </w:p>
        </w:tc>
      </w:tr>
      <w:tr w:rsidR="00486AEB" w:rsidRPr="002C224A" w:rsidTr="00C94A24">
        <w:trPr>
          <w:trHeight w:val="240"/>
          <w:jc w:val="center"/>
        </w:trPr>
        <w:tc>
          <w:tcPr>
            <w:tcW w:w="4252" w:type="dxa"/>
            <w:noWrap/>
            <w:vAlign w:val="center"/>
          </w:tcPr>
          <w:p w:rsidR="00486AEB" w:rsidRPr="002C224A" w:rsidRDefault="00486AEB" w:rsidP="00486AEB">
            <w:pPr>
              <w:jc w:val="left"/>
              <w:rPr>
                <w:color w:val="000000"/>
                <w:sz w:val="18"/>
                <w:szCs w:val="18"/>
              </w:rPr>
            </w:pPr>
            <w:r w:rsidRPr="002C224A">
              <w:rPr>
                <w:color w:val="000000"/>
                <w:sz w:val="18"/>
                <w:szCs w:val="18"/>
              </w:rPr>
              <w:t>Požadovaný úrok spolufinancujícího subjektu</w:t>
            </w:r>
          </w:p>
        </w:tc>
        <w:tc>
          <w:tcPr>
            <w:tcW w:w="1417" w:type="dxa"/>
            <w:noWrap/>
            <w:vAlign w:val="center"/>
          </w:tcPr>
          <w:p w:rsidR="00486AEB" w:rsidRPr="002C224A" w:rsidRDefault="00486AEB" w:rsidP="00486AEB">
            <w:pPr>
              <w:jc w:val="right"/>
              <w:rPr>
                <w:color w:val="000000"/>
                <w:sz w:val="18"/>
                <w:szCs w:val="18"/>
              </w:rPr>
            </w:pPr>
            <w:r w:rsidRPr="002C224A">
              <w:rPr>
                <w:color w:val="000000"/>
                <w:sz w:val="18"/>
                <w:szCs w:val="18"/>
              </w:rPr>
              <w:t>3,50 %</w:t>
            </w:r>
          </w:p>
        </w:tc>
      </w:tr>
      <w:tr w:rsidR="00486AEB" w:rsidRPr="002C224A" w:rsidTr="00C94A24">
        <w:trPr>
          <w:trHeight w:val="240"/>
          <w:jc w:val="center"/>
        </w:trPr>
        <w:tc>
          <w:tcPr>
            <w:tcW w:w="4252" w:type="dxa"/>
            <w:noWrap/>
            <w:vAlign w:val="center"/>
          </w:tcPr>
          <w:p w:rsidR="00486AEB" w:rsidRPr="002C224A" w:rsidRDefault="00486AEB" w:rsidP="00486AEB">
            <w:pPr>
              <w:jc w:val="left"/>
              <w:rPr>
                <w:color w:val="000000"/>
                <w:sz w:val="18"/>
                <w:szCs w:val="18"/>
              </w:rPr>
            </w:pPr>
            <w:r w:rsidRPr="002C224A">
              <w:rPr>
                <w:color w:val="000000"/>
                <w:sz w:val="18"/>
                <w:szCs w:val="18"/>
              </w:rPr>
              <w:t>Limit výše výsledné úrokové míry úvěru příjemci</w:t>
            </w:r>
          </w:p>
        </w:tc>
        <w:tc>
          <w:tcPr>
            <w:tcW w:w="1417" w:type="dxa"/>
            <w:noWrap/>
            <w:vAlign w:val="center"/>
          </w:tcPr>
          <w:p w:rsidR="00486AEB" w:rsidRPr="002C224A" w:rsidRDefault="00486AEB" w:rsidP="00486AEB">
            <w:pPr>
              <w:jc w:val="right"/>
              <w:rPr>
                <w:color w:val="000000"/>
                <w:sz w:val="18"/>
                <w:szCs w:val="18"/>
              </w:rPr>
            </w:pPr>
            <w:r w:rsidRPr="002C224A">
              <w:rPr>
                <w:color w:val="000000"/>
                <w:sz w:val="18"/>
                <w:szCs w:val="18"/>
              </w:rPr>
              <w:t>2,00 %</w:t>
            </w:r>
          </w:p>
        </w:tc>
      </w:tr>
      <w:tr w:rsidR="00486AEB" w:rsidRPr="002C224A" w:rsidTr="00C94A24">
        <w:trPr>
          <w:trHeight w:val="240"/>
          <w:jc w:val="center"/>
        </w:trPr>
        <w:tc>
          <w:tcPr>
            <w:tcW w:w="4252" w:type="dxa"/>
            <w:noWrap/>
            <w:vAlign w:val="center"/>
          </w:tcPr>
          <w:p w:rsidR="00486AEB" w:rsidRPr="002C224A" w:rsidRDefault="00486AEB" w:rsidP="00486AEB">
            <w:pPr>
              <w:jc w:val="left"/>
              <w:rPr>
                <w:color w:val="000000"/>
                <w:sz w:val="18"/>
                <w:szCs w:val="18"/>
                <w:lang w:val="en-US"/>
              </w:rPr>
            </w:pPr>
            <w:r w:rsidRPr="002C224A">
              <w:rPr>
                <w:color w:val="000000"/>
                <w:sz w:val="18"/>
                <w:szCs w:val="18"/>
                <w:lang w:val="en-US"/>
              </w:rPr>
              <w:t xml:space="preserve">Vlastní zdroje žadatelů </w:t>
            </w:r>
          </w:p>
        </w:tc>
        <w:tc>
          <w:tcPr>
            <w:tcW w:w="1417" w:type="dxa"/>
            <w:noWrap/>
            <w:vAlign w:val="center"/>
          </w:tcPr>
          <w:p w:rsidR="00486AEB" w:rsidRPr="002C224A" w:rsidRDefault="00486AEB" w:rsidP="00486AEB">
            <w:pPr>
              <w:jc w:val="right"/>
              <w:rPr>
                <w:color w:val="000000"/>
                <w:sz w:val="18"/>
                <w:szCs w:val="18"/>
                <w:lang w:val="en-US"/>
              </w:rPr>
            </w:pPr>
            <w:r w:rsidRPr="002C224A">
              <w:rPr>
                <w:color w:val="000000"/>
                <w:sz w:val="18"/>
                <w:szCs w:val="18"/>
                <w:lang w:val="en-US"/>
              </w:rPr>
              <w:t>20,00 %</w:t>
            </w:r>
          </w:p>
        </w:tc>
      </w:tr>
      <w:tr w:rsidR="00486AEB" w:rsidRPr="002C224A" w:rsidTr="00C94A24">
        <w:trPr>
          <w:trHeight w:val="240"/>
          <w:jc w:val="center"/>
        </w:trPr>
        <w:tc>
          <w:tcPr>
            <w:tcW w:w="4252" w:type="dxa"/>
            <w:noWrap/>
            <w:vAlign w:val="center"/>
          </w:tcPr>
          <w:p w:rsidR="00486AEB" w:rsidRPr="002C224A" w:rsidRDefault="00486AEB" w:rsidP="00486AEB">
            <w:pPr>
              <w:jc w:val="left"/>
              <w:rPr>
                <w:color w:val="000000"/>
                <w:sz w:val="18"/>
                <w:szCs w:val="18"/>
              </w:rPr>
            </w:pPr>
            <w:r w:rsidRPr="002C224A">
              <w:rPr>
                <w:color w:val="000000"/>
                <w:sz w:val="18"/>
                <w:szCs w:val="18"/>
              </w:rPr>
              <w:t>Míra zapojení spolufinancujícího subjektu</w:t>
            </w:r>
          </w:p>
        </w:tc>
        <w:tc>
          <w:tcPr>
            <w:tcW w:w="1417" w:type="dxa"/>
            <w:noWrap/>
            <w:vAlign w:val="center"/>
          </w:tcPr>
          <w:p w:rsidR="00486AEB" w:rsidRPr="002C224A" w:rsidRDefault="00486AEB" w:rsidP="00486AEB">
            <w:pPr>
              <w:jc w:val="right"/>
              <w:rPr>
                <w:color w:val="000000"/>
                <w:sz w:val="18"/>
                <w:szCs w:val="18"/>
              </w:rPr>
            </w:pPr>
            <w:r w:rsidRPr="002C224A">
              <w:rPr>
                <w:color w:val="000000"/>
                <w:sz w:val="18"/>
                <w:szCs w:val="18"/>
              </w:rPr>
              <w:t>40,00 %</w:t>
            </w:r>
          </w:p>
        </w:tc>
      </w:tr>
      <w:tr w:rsidR="00486AEB" w:rsidRPr="002C224A" w:rsidTr="00C94A24">
        <w:trPr>
          <w:trHeight w:val="240"/>
          <w:jc w:val="center"/>
        </w:trPr>
        <w:tc>
          <w:tcPr>
            <w:tcW w:w="4252" w:type="dxa"/>
            <w:noWrap/>
            <w:vAlign w:val="center"/>
          </w:tcPr>
          <w:p w:rsidR="00486AEB" w:rsidRPr="002C224A" w:rsidRDefault="00486AEB" w:rsidP="00486AEB">
            <w:pPr>
              <w:jc w:val="left"/>
              <w:rPr>
                <w:color w:val="000000"/>
                <w:sz w:val="18"/>
                <w:szCs w:val="18"/>
              </w:rPr>
            </w:pPr>
            <w:r w:rsidRPr="002C224A">
              <w:rPr>
                <w:color w:val="000000"/>
                <w:sz w:val="18"/>
                <w:szCs w:val="18"/>
              </w:rPr>
              <w:t>Splatnost úvěru</w:t>
            </w:r>
          </w:p>
        </w:tc>
        <w:tc>
          <w:tcPr>
            <w:tcW w:w="1417" w:type="dxa"/>
            <w:noWrap/>
            <w:vAlign w:val="center"/>
          </w:tcPr>
          <w:p w:rsidR="00486AEB" w:rsidRPr="002C224A" w:rsidRDefault="00486AEB" w:rsidP="00486AEB">
            <w:pPr>
              <w:jc w:val="right"/>
              <w:rPr>
                <w:color w:val="000000"/>
                <w:sz w:val="18"/>
                <w:szCs w:val="18"/>
              </w:rPr>
            </w:pPr>
            <w:r w:rsidRPr="002C224A">
              <w:rPr>
                <w:color w:val="000000"/>
                <w:sz w:val="18"/>
                <w:szCs w:val="18"/>
              </w:rPr>
              <w:t>8</w:t>
            </w:r>
          </w:p>
        </w:tc>
      </w:tr>
    </w:tbl>
    <w:p w:rsidR="00CB12A4" w:rsidRPr="002C224A" w:rsidRDefault="00623293" w:rsidP="00623293">
      <w:pPr>
        <w:pStyle w:val="Titulek"/>
      </w:pPr>
      <w:r w:rsidRPr="002C224A">
        <w:t xml:space="preserve">Tabulka </w:t>
      </w:r>
      <w:r w:rsidR="00AC6EB9">
        <w:t>132</w:t>
      </w:r>
      <w:r w:rsidRPr="002C224A">
        <w:t xml:space="preserve">: </w:t>
      </w:r>
      <w:r w:rsidR="005A4C26" w:rsidRPr="002C224A">
        <w:t>Výsledky modelu</w:t>
      </w:r>
    </w:p>
    <w:tbl>
      <w:tblPr>
        <w:tblW w:w="987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180"/>
        <w:gridCol w:w="1372"/>
        <w:gridCol w:w="1372"/>
      </w:tblGrid>
      <w:tr w:rsidR="00BF1AF5" w:rsidRPr="002C224A" w:rsidTr="00BF1AF5">
        <w:trPr>
          <w:trHeight w:val="240"/>
          <w:jc w:val="center"/>
        </w:trPr>
        <w:tc>
          <w:tcPr>
            <w:tcW w:w="4821" w:type="dxa"/>
            <w:noWrap/>
            <w:vAlign w:val="center"/>
          </w:tcPr>
          <w:p w:rsidR="00BF1AF5" w:rsidRPr="00A50943" w:rsidRDefault="00BF1AF5" w:rsidP="00486AEB">
            <w:pPr>
              <w:jc w:val="left"/>
              <w:rPr>
                <w:color w:val="000000"/>
                <w:sz w:val="18"/>
                <w:szCs w:val="18"/>
              </w:rPr>
            </w:pPr>
          </w:p>
        </w:tc>
        <w:tc>
          <w:tcPr>
            <w:tcW w:w="1134" w:type="dxa"/>
            <w:noWrap/>
            <w:vAlign w:val="center"/>
          </w:tcPr>
          <w:p w:rsidR="00BF1AF5" w:rsidRPr="002C224A" w:rsidRDefault="00BF1AF5" w:rsidP="00486AEB">
            <w:pPr>
              <w:jc w:val="right"/>
              <w:rPr>
                <w:color w:val="000000"/>
                <w:sz w:val="18"/>
                <w:szCs w:val="18"/>
              </w:rPr>
            </w:pPr>
            <w:r w:rsidRPr="002C224A">
              <w:rPr>
                <w:color w:val="000000"/>
                <w:sz w:val="18"/>
                <w:szCs w:val="18"/>
              </w:rPr>
              <w:t>Scénář 1</w:t>
            </w:r>
          </w:p>
        </w:tc>
        <w:tc>
          <w:tcPr>
            <w:tcW w:w="1180" w:type="dxa"/>
          </w:tcPr>
          <w:p w:rsidR="00BF1AF5" w:rsidRPr="002C224A" w:rsidRDefault="00BF1AF5" w:rsidP="00486AEB">
            <w:pPr>
              <w:jc w:val="right"/>
              <w:rPr>
                <w:color w:val="000000"/>
                <w:sz w:val="18"/>
                <w:szCs w:val="18"/>
              </w:rPr>
            </w:pPr>
            <w:r w:rsidRPr="002C224A">
              <w:rPr>
                <w:color w:val="000000"/>
                <w:sz w:val="18"/>
                <w:szCs w:val="18"/>
              </w:rPr>
              <w:t>Scénář 2</w:t>
            </w:r>
          </w:p>
        </w:tc>
        <w:tc>
          <w:tcPr>
            <w:tcW w:w="1372" w:type="dxa"/>
          </w:tcPr>
          <w:p w:rsidR="00BF1AF5" w:rsidRPr="002C224A" w:rsidRDefault="00BF1AF5" w:rsidP="00486AEB">
            <w:pPr>
              <w:jc w:val="right"/>
              <w:rPr>
                <w:color w:val="000000"/>
                <w:sz w:val="18"/>
                <w:szCs w:val="18"/>
              </w:rPr>
            </w:pPr>
            <w:r w:rsidRPr="002C224A">
              <w:rPr>
                <w:color w:val="000000"/>
                <w:sz w:val="18"/>
                <w:szCs w:val="18"/>
              </w:rPr>
              <w:t>Scénář 3</w:t>
            </w:r>
          </w:p>
        </w:tc>
        <w:tc>
          <w:tcPr>
            <w:tcW w:w="1372" w:type="dxa"/>
          </w:tcPr>
          <w:p w:rsidR="00BF1AF5" w:rsidRPr="002C224A" w:rsidRDefault="00BF1AF5" w:rsidP="00486AEB">
            <w:pPr>
              <w:jc w:val="right"/>
              <w:rPr>
                <w:color w:val="000000"/>
                <w:sz w:val="18"/>
                <w:szCs w:val="18"/>
              </w:rPr>
            </w:pPr>
            <w:r>
              <w:rPr>
                <w:color w:val="000000"/>
                <w:sz w:val="18"/>
                <w:szCs w:val="18"/>
              </w:rPr>
              <w:t>Scénář 4</w:t>
            </w:r>
            <w:r w:rsidR="00074EC1">
              <w:rPr>
                <w:rStyle w:val="Znakapoznpodarou"/>
                <w:color w:val="000000"/>
                <w:szCs w:val="18"/>
              </w:rPr>
              <w:footnoteReference w:id="69"/>
            </w:r>
          </w:p>
        </w:tc>
      </w:tr>
      <w:tr w:rsidR="00BF1AF5" w:rsidRPr="002C224A" w:rsidTr="008366D3">
        <w:trPr>
          <w:trHeight w:val="240"/>
          <w:jc w:val="center"/>
        </w:trPr>
        <w:tc>
          <w:tcPr>
            <w:tcW w:w="4821" w:type="dxa"/>
            <w:noWrap/>
            <w:vAlign w:val="center"/>
          </w:tcPr>
          <w:p w:rsidR="00BF1AF5" w:rsidRPr="002C224A" w:rsidRDefault="00BF1AF5" w:rsidP="00486AEB">
            <w:pPr>
              <w:jc w:val="left"/>
              <w:rPr>
                <w:color w:val="000000"/>
                <w:sz w:val="18"/>
                <w:szCs w:val="18"/>
              </w:rPr>
            </w:pPr>
            <w:r w:rsidRPr="002C224A">
              <w:rPr>
                <w:color w:val="000000"/>
                <w:sz w:val="18"/>
                <w:szCs w:val="18"/>
              </w:rPr>
              <w:t>Celkem proinvestováno - milník rok 2018 (mil. Kč)</w:t>
            </w:r>
          </w:p>
        </w:tc>
        <w:tc>
          <w:tcPr>
            <w:tcW w:w="1134" w:type="dxa"/>
            <w:noWrap/>
            <w:vAlign w:val="center"/>
          </w:tcPr>
          <w:p w:rsidR="00BF1AF5" w:rsidRPr="002C224A" w:rsidRDefault="00BF1AF5" w:rsidP="008366D3">
            <w:pPr>
              <w:jc w:val="right"/>
              <w:rPr>
                <w:color w:val="000000"/>
                <w:sz w:val="18"/>
                <w:szCs w:val="18"/>
              </w:rPr>
            </w:pPr>
            <w:r>
              <w:rPr>
                <w:sz w:val="18"/>
                <w:szCs w:val="18"/>
              </w:rPr>
              <w:t>563</w:t>
            </w:r>
          </w:p>
        </w:tc>
        <w:tc>
          <w:tcPr>
            <w:tcW w:w="1180" w:type="dxa"/>
            <w:vAlign w:val="center"/>
          </w:tcPr>
          <w:p w:rsidR="00BF1AF5" w:rsidRPr="002C224A" w:rsidRDefault="00BF1AF5" w:rsidP="008366D3">
            <w:pPr>
              <w:jc w:val="right"/>
              <w:rPr>
                <w:color w:val="000000"/>
                <w:sz w:val="18"/>
                <w:szCs w:val="18"/>
              </w:rPr>
            </w:pPr>
            <w:r>
              <w:rPr>
                <w:sz w:val="18"/>
                <w:szCs w:val="18"/>
              </w:rPr>
              <w:t>563</w:t>
            </w:r>
          </w:p>
        </w:tc>
        <w:tc>
          <w:tcPr>
            <w:tcW w:w="1372" w:type="dxa"/>
            <w:vAlign w:val="center"/>
          </w:tcPr>
          <w:p w:rsidR="00BF1AF5" w:rsidRPr="002C224A" w:rsidRDefault="00BF1AF5" w:rsidP="008366D3">
            <w:pPr>
              <w:jc w:val="right"/>
              <w:rPr>
                <w:color w:val="000000"/>
                <w:sz w:val="18"/>
                <w:szCs w:val="18"/>
              </w:rPr>
            </w:pPr>
            <w:r>
              <w:rPr>
                <w:sz w:val="18"/>
                <w:szCs w:val="18"/>
              </w:rPr>
              <w:t>534</w:t>
            </w:r>
          </w:p>
        </w:tc>
        <w:tc>
          <w:tcPr>
            <w:tcW w:w="1372" w:type="dxa"/>
            <w:vAlign w:val="center"/>
          </w:tcPr>
          <w:p w:rsidR="00BF1AF5" w:rsidRPr="002C224A" w:rsidDel="00EE2250" w:rsidRDefault="00BF1AF5" w:rsidP="008366D3">
            <w:pPr>
              <w:jc w:val="right"/>
              <w:rPr>
                <w:sz w:val="18"/>
                <w:szCs w:val="18"/>
              </w:rPr>
            </w:pPr>
            <w:r>
              <w:rPr>
                <w:sz w:val="18"/>
                <w:szCs w:val="18"/>
              </w:rPr>
              <w:t>534</w:t>
            </w:r>
          </w:p>
        </w:tc>
      </w:tr>
      <w:tr w:rsidR="00BF1AF5" w:rsidRPr="002C224A" w:rsidTr="008366D3">
        <w:trPr>
          <w:trHeight w:val="240"/>
          <w:jc w:val="center"/>
        </w:trPr>
        <w:tc>
          <w:tcPr>
            <w:tcW w:w="4821" w:type="dxa"/>
            <w:noWrap/>
            <w:vAlign w:val="center"/>
          </w:tcPr>
          <w:p w:rsidR="00BF1AF5" w:rsidRPr="002C224A" w:rsidRDefault="00BF1AF5" w:rsidP="00486AEB">
            <w:pPr>
              <w:jc w:val="left"/>
              <w:rPr>
                <w:b/>
                <w:color w:val="000000"/>
                <w:sz w:val="18"/>
                <w:szCs w:val="18"/>
              </w:rPr>
            </w:pPr>
            <w:r w:rsidRPr="002C224A">
              <w:rPr>
                <w:b/>
                <w:color w:val="000000"/>
                <w:sz w:val="18"/>
                <w:szCs w:val="18"/>
              </w:rPr>
              <w:t>Celkem proinvestováno - konec období rok 2023 (mil. Kč)</w:t>
            </w:r>
          </w:p>
        </w:tc>
        <w:tc>
          <w:tcPr>
            <w:tcW w:w="1134" w:type="dxa"/>
            <w:noWrap/>
            <w:vAlign w:val="center"/>
          </w:tcPr>
          <w:p w:rsidR="00BF1AF5" w:rsidRPr="002C224A" w:rsidRDefault="00BF1AF5" w:rsidP="008366D3">
            <w:pPr>
              <w:jc w:val="right"/>
              <w:rPr>
                <w:b/>
                <w:color w:val="000000"/>
                <w:sz w:val="18"/>
                <w:szCs w:val="18"/>
              </w:rPr>
            </w:pPr>
            <w:r>
              <w:rPr>
                <w:b/>
                <w:sz w:val="18"/>
                <w:szCs w:val="18"/>
              </w:rPr>
              <w:t>1 300</w:t>
            </w:r>
          </w:p>
        </w:tc>
        <w:tc>
          <w:tcPr>
            <w:tcW w:w="1180" w:type="dxa"/>
            <w:vAlign w:val="center"/>
          </w:tcPr>
          <w:p w:rsidR="00BF1AF5" w:rsidRPr="002C224A" w:rsidRDefault="00BF1AF5" w:rsidP="008366D3">
            <w:pPr>
              <w:jc w:val="right"/>
              <w:rPr>
                <w:b/>
                <w:color w:val="000000"/>
                <w:sz w:val="18"/>
                <w:szCs w:val="18"/>
              </w:rPr>
            </w:pPr>
            <w:r>
              <w:rPr>
                <w:b/>
                <w:sz w:val="18"/>
                <w:szCs w:val="18"/>
              </w:rPr>
              <w:t>1 230</w:t>
            </w:r>
          </w:p>
        </w:tc>
        <w:tc>
          <w:tcPr>
            <w:tcW w:w="1372" w:type="dxa"/>
            <w:vAlign w:val="center"/>
          </w:tcPr>
          <w:p w:rsidR="00BF1AF5" w:rsidRPr="002C224A" w:rsidRDefault="00BF1AF5" w:rsidP="008366D3">
            <w:pPr>
              <w:jc w:val="right"/>
              <w:rPr>
                <w:b/>
                <w:color w:val="000000"/>
                <w:sz w:val="18"/>
                <w:szCs w:val="18"/>
              </w:rPr>
            </w:pPr>
            <w:r>
              <w:rPr>
                <w:b/>
                <w:sz w:val="18"/>
                <w:szCs w:val="18"/>
              </w:rPr>
              <w:t>1 198</w:t>
            </w:r>
          </w:p>
        </w:tc>
        <w:tc>
          <w:tcPr>
            <w:tcW w:w="1372" w:type="dxa"/>
            <w:vAlign w:val="center"/>
          </w:tcPr>
          <w:p w:rsidR="00BF1AF5" w:rsidRDefault="00BF1AF5" w:rsidP="008366D3">
            <w:pPr>
              <w:jc w:val="right"/>
              <w:rPr>
                <w:b/>
                <w:sz w:val="18"/>
                <w:szCs w:val="18"/>
              </w:rPr>
            </w:pPr>
            <w:r>
              <w:rPr>
                <w:b/>
                <w:sz w:val="18"/>
                <w:szCs w:val="18"/>
              </w:rPr>
              <w:t>698</w:t>
            </w:r>
          </w:p>
        </w:tc>
      </w:tr>
      <w:tr w:rsidR="00BF1AF5" w:rsidRPr="002C224A" w:rsidTr="008366D3">
        <w:trPr>
          <w:trHeight w:val="240"/>
          <w:jc w:val="center"/>
        </w:trPr>
        <w:tc>
          <w:tcPr>
            <w:tcW w:w="4821" w:type="dxa"/>
            <w:noWrap/>
            <w:vAlign w:val="center"/>
          </w:tcPr>
          <w:p w:rsidR="00BF1AF5" w:rsidRPr="002C224A" w:rsidRDefault="00BF1AF5" w:rsidP="00486AEB">
            <w:pPr>
              <w:jc w:val="left"/>
              <w:rPr>
                <w:b/>
                <w:color w:val="000000"/>
                <w:sz w:val="18"/>
                <w:szCs w:val="18"/>
              </w:rPr>
            </w:pPr>
            <w:r w:rsidRPr="002C224A">
              <w:rPr>
                <w:b/>
                <w:color w:val="000000"/>
                <w:sz w:val="18"/>
                <w:szCs w:val="18"/>
              </w:rPr>
              <w:t>Přidaná hodnota</w:t>
            </w:r>
          </w:p>
        </w:tc>
        <w:tc>
          <w:tcPr>
            <w:tcW w:w="1134" w:type="dxa"/>
            <w:noWrap/>
            <w:vAlign w:val="center"/>
          </w:tcPr>
          <w:p w:rsidR="00BF1AF5" w:rsidRPr="002C224A" w:rsidRDefault="00BF1AF5" w:rsidP="008366D3">
            <w:pPr>
              <w:jc w:val="right"/>
              <w:rPr>
                <w:b/>
                <w:color w:val="000000"/>
                <w:sz w:val="18"/>
                <w:szCs w:val="18"/>
              </w:rPr>
            </w:pPr>
            <w:r w:rsidRPr="002C224A">
              <w:rPr>
                <w:b/>
                <w:sz w:val="18"/>
                <w:szCs w:val="18"/>
              </w:rPr>
              <w:t>4,33</w:t>
            </w:r>
          </w:p>
        </w:tc>
        <w:tc>
          <w:tcPr>
            <w:tcW w:w="1180" w:type="dxa"/>
            <w:vAlign w:val="center"/>
          </w:tcPr>
          <w:p w:rsidR="00BF1AF5" w:rsidRPr="002C224A" w:rsidRDefault="00BF1AF5" w:rsidP="008366D3">
            <w:pPr>
              <w:jc w:val="right"/>
              <w:rPr>
                <w:b/>
                <w:color w:val="000000"/>
                <w:sz w:val="18"/>
                <w:szCs w:val="18"/>
              </w:rPr>
            </w:pPr>
            <w:r w:rsidRPr="002C224A">
              <w:rPr>
                <w:b/>
                <w:sz w:val="18"/>
                <w:szCs w:val="18"/>
              </w:rPr>
              <w:t>4,10</w:t>
            </w:r>
          </w:p>
        </w:tc>
        <w:tc>
          <w:tcPr>
            <w:tcW w:w="1372" w:type="dxa"/>
            <w:vAlign w:val="center"/>
          </w:tcPr>
          <w:p w:rsidR="00BF1AF5" w:rsidRPr="002C224A" w:rsidRDefault="00BF1AF5" w:rsidP="008366D3">
            <w:pPr>
              <w:jc w:val="right"/>
              <w:rPr>
                <w:b/>
                <w:color w:val="000000"/>
                <w:sz w:val="18"/>
                <w:szCs w:val="18"/>
              </w:rPr>
            </w:pPr>
            <w:r w:rsidRPr="002C224A">
              <w:rPr>
                <w:b/>
                <w:color w:val="000000"/>
                <w:sz w:val="18"/>
                <w:szCs w:val="18"/>
              </w:rPr>
              <w:t>4,44</w:t>
            </w:r>
          </w:p>
        </w:tc>
        <w:tc>
          <w:tcPr>
            <w:tcW w:w="1372" w:type="dxa"/>
            <w:vAlign w:val="center"/>
          </w:tcPr>
          <w:p w:rsidR="00BF1AF5" w:rsidRPr="002C224A" w:rsidRDefault="00BF1AF5" w:rsidP="008366D3">
            <w:pPr>
              <w:jc w:val="right"/>
              <w:rPr>
                <w:b/>
                <w:color w:val="000000"/>
                <w:sz w:val="18"/>
                <w:szCs w:val="18"/>
              </w:rPr>
            </w:pPr>
            <w:r>
              <w:rPr>
                <w:b/>
                <w:color w:val="000000"/>
                <w:sz w:val="18"/>
                <w:szCs w:val="18"/>
              </w:rPr>
              <w:t>2,58</w:t>
            </w:r>
          </w:p>
        </w:tc>
      </w:tr>
      <w:tr w:rsidR="00BF1AF5" w:rsidRPr="002C224A" w:rsidTr="008366D3">
        <w:trPr>
          <w:trHeight w:val="240"/>
          <w:jc w:val="center"/>
        </w:trPr>
        <w:tc>
          <w:tcPr>
            <w:tcW w:w="4821" w:type="dxa"/>
            <w:noWrap/>
            <w:vAlign w:val="center"/>
          </w:tcPr>
          <w:p w:rsidR="00BF1AF5" w:rsidRPr="002C224A" w:rsidRDefault="00BF1AF5" w:rsidP="00486AEB">
            <w:pPr>
              <w:jc w:val="left"/>
              <w:rPr>
                <w:b/>
                <w:color w:val="000000"/>
                <w:sz w:val="18"/>
                <w:szCs w:val="18"/>
              </w:rPr>
            </w:pPr>
            <w:r w:rsidRPr="002C224A">
              <w:rPr>
                <w:b/>
                <w:color w:val="000000"/>
                <w:sz w:val="18"/>
                <w:szCs w:val="18"/>
              </w:rPr>
              <w:t>Pákový efekt</w:t>
            </w:r>
          </w:p>
        </w:tc>
        <w:tc>
          <w:tcPr>
            <w:tcW w:w="1134" w:type="dxa"/>
            <w:noWrap/>
            <w:vAlign w:val="center"/>
          </w:tcPr>
          <w:p w:rsidR="00BF1AF5" w:rsidRPr="002C224A" w:rsidRDefault="00BF1AF5" w:rsidP="008366D3">
            <w:pPr>
              <w:jc w:val="right"/>
              <w:rPr>
                <w:b/>
                <w:color w:val="000000"/>
                <w:sz w:val="18"/>
                <w:szCs w:val="18"/>
              </w:rPr>
            </w:pPr>
            <w:r w:rsidRPr="002C224A">
              <w:rPr>
                <w:b/>
                <w:sz w:val="18"/>
                <w:szCs w:val="18"/>
              </w:rPr>
              <w:t>2,00</w:t>
            </w:r>
          </w:p>
        </w:tc>
        <w:tc>
          <w:tcPr>
            <w:tcW w:w="1180" w:type="dxa"/>
            <w:vAlign w:val="center"/>
          </w:tcPr>
          <w:p w:rsidR="00BF1AF5" w:rsidRPr="002C224A" w:rsidRDefault="00BF1AF5" w:rsidP="008366D3">
            <w:pPr>
              <w:jc w:val="right"/>
              <w:rPr>
                <w:b/>
                <w:color w:val="000000"/>
                <w:sz w:val="18"/>
                <w:szCs w:val="18"/>
              </w:rPr>
            </w:pPr>
            <w:r w:rsidRPr="002C224A">
              <w:rPr>
                <w:b/>
                <w:sz w:val="18"/>
                <w:szCs w:val="18"/>
              </w:rPr>
              <w:t>2,00</w:t>
            </w:r>
          </w:p>
        </w:tc>
        <w:tc>
          <w:tcPr>
            <w:tcW w:w="1372" w:type="dxa"/>
            <w:vAlign w:val="center"/>
          </w:tcPr>
          <w:p w:rsidR="00BF1AF5" w:rsidRPr="002C224A" w:rsidRDefault="00BF1AF5" w:rsidP="008366D3">
            <w:pPr>
              <w:jc w:val="right"/>
              <w:rPr>
                <w:b/>
                <w:color w:val="000000"/>
                <w:sz w:val="18"/>
                <w:szCs w:val="18"/>
              </w:rPr>
            </w:pPr>
            <w:r w:rsidRPr="002C224A">
              <w:rPr>
                <w:b/>
                <w:color w:val="000000"/>
                <w:sz w:val="18"/>
                <w:szCs w:val="18"/>
              </w:rPr>
              <w:t>2,00</w:t>
            </w:r>
          </w:p>
        </w:tc>
        <w:tc>
          <w:tcPr>
            <w:tcW w:w="1372" w:type="dxa"/>
            <w:vAlign w:val="center"/>
          </w:tcPr>
          <w:p w:rsidR="00BF1AF5" w:rsidRPr="002C224A" w:rsidRDefault="00BF1AF5" w:rsidP="008366D3">
            <w:pPr>
              <w:jc w:val="right"/>
              <w:rPr>
                <w:b/>
                <w:color w:val="000000"/>
                <w:sz w:val="18"/>
                <w:szCs w:val="18"/>
              </w:rPr>
            </w:pPr>
            <w:r>
              <w:rPr>
                <w:color w:val="000000"/>
                <w:sz w:val="18"/>
                <w:szCs w:val="18"/>
              </w:rPr>
              <w:t>2,00</w:t>
            </w:r>
          </w:p>
        </w:tc>
      </w:tr>
      <w:tr w:rsidR="00BF1AF5" w:rsidRPr="002C224A" w:rsidTr="008366D3">
        <w:trPr>
          <w:trHeight w:val="240"/>
          <w:jc w:val="center"/>
        </w:trPr>
        <w:tc>
          <w:tcPr>
            <w:tcW w:w="4821" w:type="dxa"/>
            <w:noWrap/>
            <w:vAlign w:val="center"/>
          </w:tcPr>
          <w:p w:rsidR="00BF1AF5" w:rsidRPr="002C224A" w:rsidRDefault="00BF1AF5" w:rsidP="00486AEB">
            <w:pPr>
              <w:jc w:val="left"/>
              <w:rPr>
                <w:color w:val="000000"/>
                <w:sz w:val="18"/>
                <w:szCs w:val="18"/>
              </w:rPr>
            </w:pPr>
            <w:r w:rsidRPr="002C224A">
              <w:rPr>
                <w:color w:val="000000"/>
                <w:sz w:val="18"/>
                <w:szCs w:val="18"/>
              </w:rPr>
              <w:t>Celková výše vyplacených management fee (prostá – mil. Kč)</w:t>
            </w:r>
          </w:p>
        </w:tc>
        <w:tc>
          <w:tcPr>
            <w:tcW w:w="1134" w:type="dxa"/>
            <w:noWrap/>
            <w:vAlign w:val="center"/>
          </w:tcPr>
          <w:p w:rsidR="00BF1AF5" w:rsidRPr="002C224A" w:rsidDel="0013658D" w:rsidRDefault="00BF1AF5" w:rsidP="008366D3">
            <w:pPr>
              <w:jc w:val="right"/>
              <w:rPr>
                <w:color w:val="000000"/>
                <w:sz w:val="18"/>
                <w:szCs w:val="18"/>
              </w:rPr>
            </w:pPr>
            <w:r>
              <w:rPr>
                <w:color w:val="000000"/>
                <w:sz w:val="18"/>
                <w:szCs w:val="18"/>
              </w:rPr>
              <w:t>17</w:t>
            </w:r>
          </w:p>
        </w:tc>
        <w:tc>
          <w:tcPr>
            <w:tcW w:w="1180" w:type="dxa"/>
            <w:vAlign w:val="center"/>
          </w:tcPr>
          <w:p w:rsidR="00BF1AF5" w:rsidRPr="002C224A" w:rsidRDefault="00BF1AF5" w:rsidP="008366D3">
            <w:pPr>
              <w:jc w:val="right"/>
              <w:rPr>
                <w:color w:val="000000"/>
                <w:sz w:val="18"/>
                <w:szCs w:val="18"/>
              </w:rPr>
            </w:pPr>
            <w:r>
              <w:rPr>
                <w:color w:val="000000"/>
                <w:sz w:val="18"/>
                <w:szCs w:val="18"/>
              </w:rPr>
              <w:t>17</w:t>
            </w:r>
          </w:p>
        </w:tc>
        <w:tc>
          <w:tcPr>
            <w:tcW w:w="1372" w:type="dxa"/>
            <w:vAlign w:val="center"/>
          </w:tcPr>
          <w:p w:rsidR="00BF1AF5" w:rsidRPr="002C224A" w:rsidRDefault="00BF1AF5" w:rsidP="008366D3">
            <w:pPr>
              <w:jc w:val="right"/>
              <w:rPr>
                <w:color w:val="000000"/>
                <w:sz w:val="18"/>
                <w:szCs w:val="18"/>
              </w:rPr>
            </w:pPr>
            <w:r>
              <w:rPr>
                <w:color w:val="000000"/>
                <w:sz w:val="18"/>
                <w:szCs w:val="18"/>
              </w:rPr>
              <w:t>17</w:t>
            </w:r>
          </w:p>
        </w:tc>
        <w:tc>
          <w:tcPr>
            <w:tcW w:w="1372" w:type="dxa"/>
            <w:vAlign w:val="center"/>
          </w:tcPr>
          <w:p w:rsidR="00BF1AF5" w:rsidRDefault="00BF1AF5" w:rsidP="008366D3">
            <w:pPr>
              <w:jc w:val="right"/>
              <w:rPr>
                <w:color w:val="000000"/>
                <w:sz w:val="18"/>
                <w:szCs w:val="18"/>
              </w:rPr>
            </w:pPr>
            <w:r>
              <w:rPr>
                <w:color w:val="000000"/>
                <w:sz w:val="18"/>
                <w:szCs w:val="18"/>
              </w:rPr>
              <w:t>15</w:t>
            </w:r>
          </w:p>
        </w:tc>
      </w:tr>
      <w:tr w:rsidR="00BF1AF5" w:rsidRPr="002C224A" w:rsidTr="008366D3">
        <w:trPr>
          <w:trHeight w:val="240"/>
          <w:jc w:val="center"/>
        </w:trPr>
        <w:tc>
          <w:tcPr>
            <w:tcW w:w="4821" w:type="dxa"/>
            <w:noWrap/>
            <w:vAlign w:val="center"/>
          </w:tcPr>
          <w:p w:rsidR="00BF1AF5" w:rsidRPr="002C224A" w:rsidRDefault="00BF1AF5" w:rsidP="00486AEB">
            <w:pPr>
              <w:jc w:val="left"/>
              <w:rPr>
                <w:color w:val="000000"/>
                <w:sz w:val="18"/>
                <w:szCs w:val="18"/>
              </w:rPr>
            </w:pPr>
            <w:r w:rsidRPr="002C224A">
              <w:rPr>
                <w:color w:val="000000"/>
                <w:sz w:val="18"/>
                <w:szCs w:val="18"/>
              </w:rPr>
              <w:t>Podíl vyplacených správních poplatků na alokaci fondu</w:t>
            </w:r>
          </w:p>
        </w:tc>
        <w:tc>
          <w:tcPr>
            <w:tcW w:w="1134" w:type="dxa"/>
            <w:noWrap/>
            <w:vAlign w:val="center"/>
          </w:tcPr>
          <w:p w:rsidR="00BF1AF5" w:rsidRPr="002C224A" w:rsidDel="0013658D" w:rsidRDefault="00BF1AF5" w:rsidP="008366D3">
            <w:pPr>
              <w:jc w:val="right"/>
              <w:rPr>
                <w:color w:val="000000"/>
                <w:sz w:val="18"/>
                <w:szCs w:val="18"/>
              </w:rPr>
            </w:pPr>
            <w:r w:rsidRPr="002C224A">
              <w:rPr>
                <w:color w:val="000000"/>
                <w:sz w:val="18"/>
                <w:szCs w:val="18"/>
              </w:rPr>
              <w:t>5,</w:t>
            </w:r>
            <w:r>
              <w:rPr>
                <w:color w:val="000000"/>
                <w:sz w:val="18"/>
                <w:szCs w:val="18"/>
              </w:rPr>
              <w:t>7</w:t>
            </w:r>
          </w:p>
        </w:tc>
        <w:tc>
          <w:tcPr>
            <w:tcW w:w="1180" w:type="dxa"/>
            <w:vAlign w:val="center"/>
          </w:tcPr>
          <w:p w:rsidR="00BF1AF5" w:rsidRPr="002C224A" w:rsidRDefault="00BF1AF5" w:rsidP="008366D3">
            <w:pPr>
              <w:jc w:val="right"/>
              <w:rPr>
                <w:color w:val="000000"/>
                <w:sz w:val="18"/>
                <w:szCs w:val="18"/>
              </w:rPr>
            </w:pPr>
            <w:r w:rsidRPr="002C224A">
              <w:rPr>
                <w:color w:val="000000"/>
                <w:sz w:val="18"/>
                <w:szCs w:val="18"/>
              </w:rPr>
              <w:t>5,</w:t>
            </w:r>
            <w:r>
              <w:rPr>
                <w:color w:val="000000"/>
                <w:sz w:val="18"/>
                <w:szCs w:val="18"/>
              </w:rPr>
              <w:t>7</w:t>
            </w:r>
          </w:p>
        </w:tc>
        <w:tc>
          <w:tcPr>
            <w:tcW w:w="1372" w:type="dxa"/>
            <w:vAlign w:val="center"/>
          </w:tcPr>
          <w:p w:rsidR="00BF1AF5" w:rsidRPr="002C224A" w:rsidRDefault="00BF1AF5" w:rsidP="008366D3">
            <w:pPr>
              <w:jc w:val="right"/>
              <w:rPr>
                <w:color w:val="000000"/>
                <w:sz w:val="18"/>
                <w:szCs w:val="18"/>
              </w:rPr>
            </w:pPr>
            <w:r w:rsidRPr="002C224A">
              <w:rPr>
                <w:color w:val="000000"/>
                <w:sz w:val="18"/>
                <w:szCs w:val="18"/>
              </w:rPr>
              <w:t>5,6</w:t>
            </w:r>
          </w:p>
        </w:tc>
        <w:tc>
          <w:tcPr>
            <w:tcW w:w="1372" w:type="dxa"/>
            <w:vAlign w:val="center"/>
          </w:tcPr>
          <w:p w:rsidR="00BF1AF5" w:rsidRPr="002C224A" w:rsidRDefault="00BF1AF5" w:rsidP="008366D3">
            <w:pPr>
              <w:jc w:val="right"/>
              <w:rPr>
                <w:color w:val="000000"/>
                <w:sz w:val="18"/>
                <w:szCs w:val="18"/>
              </w:rPr>
            </w:pPr>
            <w:r>
              <w:rPr>
                <w:sz w:val="18"/>
                <w:szCs w:val="18"/>
              </w:rPr>
              <w:t>4,9</w:t>
            </w:r>
          </w:p>
        </w:tc>
      </w:tr>
      <w:tr w:rsidR="00BF1AF5" w:rsidRPr="002C224A" w:rsidTr="008366D3">
        <w:trPr>
          <w:trHeight w:val="240"/>
          <w:jc w:val="center"/>
        </w:trPr>
        <w:tc>
          <w:tcPr>
            <w:tcW w:w="4821" w:type="dxa"/>
            <w:noWrap/>
            <w:vAlign w:val="center"/>
          </w:tcPr>
          <w:p w:rsidR="00BF1AF5" w:rsidRPr="002C224A" w:rsidRDefault="00BF1AF5" w:rsidP="00486AEB">
            <w:pPr>
              <w:jc w:val="left"/>
              <w:rPr>
                <w:color w:val="000000"/>
                <w:sz w:val="18"/>
                <w:szCs w:val="18"/>
              </w:rPr>
            </w:pPr>
            <w:r w:rsidRPr="002C224A">
              <w:rPr>
                <w:color w:val="000000"/>
                <w:sz w:val="18"/>
                <w:szCs w:val="18"/>
              </w:rPr>
              <w:t>Revolvingový efekt – zvýšení disponibilních prostředků OP PIK (mil. Kč)</w:t>
            </w:r>
          </w:p>
        </w:tc>
        <w:tc>
          <w:tcPr>
            <w:tcW w:w="1134" w:type="dxa"/>
            <w:noWrap/>
            <w:vAlign w:val="center"/>
          </w:tcPr>
          <w:p w:rsidR="00BF1AF5" w:rsidRPr="002C224A" w:rsidRDefault="00BF1AF5" w:rsidP="008366D3">
            <w:pPr>
              <w:jc w:val="right"/>
              <w:rPr>
                <w:color w:val="000000"/>
                <w:sz w:val="18"/>
                <w:szCs w:val="18"/>
              </w:rPr>
            </w:pPr>
            <w:r>
              <w:rPr>
                <w:sz w:val="18"/>
                <w:szCs w:val="18"/>
              </w:rPr>
              <w:t>220</w:t>
            </w:r>
          </w:p>
        </w:tc>
        <w:tc>
          <w:tcPr>
            <w:tcW w:w="1180" w:type="dxa"/>
            <w:vAlign w:val="center"/>
          </w:tcPr>
          <w:p w:rsidR="00BF1AF5" w:rsidRPr="002C224A" w:rsidRDefault="00BF1AF5" w:rsidP="008366D3">
            <w:pPr>
              <w:jc w:val="right"/>
              <w:rPr>
                <w:color w:val="000000"/>
                <w:sz w:val="18"/>
                <w:szCs w:val="18"/>
              </w:rPr>
            </w:pPr>
            <w:r>
              <w:rPr>
                <w:sz w:val="18"/>
                <w:szCs w:val="18"/>
              </w:rPr>
              <w:t>192</w:t>
            </w:r>
          </w:p>
        </w:tc>
        <w:tc>
          <w:tcPr>
            <w:tcW w:w="1372" w:type="dxa"/>
            <w:vAlign w:val="center"/>
          </w:tcPr>
          <w:p w:rsidR="00BF1AF5" w:rsidRPr="002C224A" w:rsidRDefault="00BF1AF5" w:rsidP="008366D3">
            <w:pPr>
              <w:jc w:val="right"/>
              <w:rPr>
                <w:color w:val="000000"/>
                <w:sz w:val="18"/>
                <w:szCs w:val="18"/>
              </w:rPr>
            </w:pPr>
            <w:r>
              <w:rPr>
                <w:sz w:val="18"/>
                <w:szCs w:val="18"/>
              </w:rPr>
              <w:t>197</w:t>
            </w:r>
          </w:p>
        </w:tc>
        <w:tc>
          <w:tcPr>
            <w:tcW w:w="1372" w:type="dxa"/>
            <w:vAlign w:val="center"/>
          </w:tcPr>
          <w:p w:rsidR="00BF1AF5" w:rsidRDefault="00BF1AF5" w:rsidP="008366D3">
            <w:pPr>
              <w:jc w:val="right"/>
              <w:rPr>
                <w:sz w:val="18"/>
                <w:szCs w:val="18"/>
              </w:rPr>
            </w:pPr>
            <w:r>
              <w:rPr>
                <w:b/>
                <w:color w:val="000000"/>
                <w:sz w:val="18"/>
                <w:szCs w:val="18"/>
                <w:lang w:val="en-US"/>
              </w:rPr>
              <w:t>-</w:t>
            </w:r>
          </w:p>
        </w:tc>
      </w:tr>
      <w:tr w:rsidR="00BF1AF5" w:rsidRPr="002C224A" w:rsidTr="008366D3">
        <w:trPr>
          <w:trHeight w:val="240"/>
          <w:jc w:val="center"/>
        </w:trPr>
        <w:tc>
          <w:tcPr>
            <w:tcW w:w="4821" w:type="dxa"/>
            <w:noWrap/>
            <w:vAlign w:val="center"/>
          </w:tcPr>
          <w:p w:rsidR="00BF1AF5" w:rsidRPr="00A50943" w:rsidRDefault="00BF1AF5" w:rsidP="00486AEB">
            <w:pPr>
              <w:jc w:val="left"/>
              <w:rPr>
                <w:b/>
                <w:color w:val="000000"/>
                <w:sz w:val="18"/>
                <w:szCs w:val="18"/>
                <w:lang w:val="en-US"/>
              </w:rPr>
            </w:pPr>
            <w:r w:rsidRPr="002C224A">
              <w:rPr>
                <w:b/>
                <w:color w:val="000000"/>
                <w:sz w:val="18"/>
                <w:szCs w:val="18"/>
                <w:lang w:val="en-US"/>
              </w:rPr>
              <w:t>Podpořené projekty</w:t>
            </w:r>
            <w:r w:rsidRPr="002C224A">
              <w:rPr>
                <w:rStyle w:val="Znakapoznpodarou"/>
                <w:rFonts w:ascii="Calibri" w:hAnsi="Calibri"/>
                <w:b/>
                <w:color w:val="000000"/>
                <w:szCs w:val="18"/>
                <w:lang w:val="en-US"/>
              </w:rPr>
              <w:footnoteReference w:id="70"/>
            </w:r>
          </w:p>
        </w:tc>
        <w:tc>
          <w:tcPr>
            <w:tcW w:w="1134" w:type="dxa"/>
            <w:noWrap/>
            <w:vAlign w:val="center"/>
          </w:tcPr>
          <w:p w:rsidR="00BF1AF5" w:rsidRPr="002C224A" w:rsidRDefault="00BF1AF5" w:rsidP="008366D3">
            <w:pPr>
              <w:jc w:val="right"/>
              <w:rPr>
                <w:b/>
                <w:color w:val="000000"/>
                <w:szCs w:val="22"/>
                <w:lang w:val="en-US"/>
              </w:rPr>
            </w:pPr>
            <w:r>
              <w:rPr>
                <w:b/>
                <w:color w:val="000000"/>
                <w:sz w:val="18"/>
                <w:szCs w:val="18"/>
                <w:lang w:val="en-US"/>
              </w:rPr>
              <w:t>43</w:t>
            </w:r>
          </w:p>
        </w:tc>
        <w:tc>
          <w:tcPr>
            <w:tcW w:w="1180" w:type="dxa"/>
            <w:vAlign w:val="center"/>
          </w:tcPr>
          <w:p w:rsidR="00BF1AF5" w:rsidRPr="002C224A" w:rsidRDefault="00BF1AF5" w:rsidP="008366D3">
            <w:pPr>
              <w:jc w:val="right"/>
              <w:rPr>
                <w:b/>
                <w:color w:val="000000"/>
                <w:szCs w:val="22"/>
                <w:lang w:val="en-US"/>
              </w:rPr>
            </w:pPr>
            <w:r>
              <w:rPr>
                <w:b/>
                <w:color w:val="000000"/>
                <w:sz w:val="18"/>
                <w:szCs w:val="18"/>
                <w:lang w:val="en-US"/>
              </w:rPr>
              <w:t>41</w:t>
            </w:r>
          </w:p>
        </w:tc>
        <w:tc>
          <w:tcPr>
            <w:tcW w:w="1372" w:type="dxa"/>
            <w:vAlign w:val="center"/>
          </w:tcPr>
          <w:p w:rsidR="00BF1AF5" w:rsidRPr="002C224A" w:rsidRDefault="00BF1AF5" w:rsidP="008366D3">
            <w:pPr>
              <w:jc w:val="right"/>
              <w:rPr>
                <w:b/>
                <w:color w:val="000000"/>
                <w:szCs w:val="22"/>
                <w:lang w:val="en-US"/>
              </w:rPr>
            </w:pPr>
            <w:r>
              <w:rPr>
                <w:b/>
                <w:color w:val="000000"/>
                <w:sz w:val="18"/>
                <w:szCs w:val="18"/>
                <w:lang w:val="en-US"/>
              </w:rPr>
              <w:t>40</w:t>
            </w:r>
          </w:p>
        </w:tc>
        <w:tc>
          <w:tcPr>
            <w:tcW w:w="1372" w:type="dxa"/>
            <w:vAlign w:val="center"/>
          </w:tcPr>
          <w:p w:rsidR="00BF1AF5" w:rsidRPr="002C224A" w:rsidDel="00BF1AF5" w:rsidRDefault="00BF1AF5" w:rsidP="008366D3">
            <w:pPr>
              <w:jc w:val="right"/>
              <w:rPr>
                <w:b/>
                <w:color w:val="000000"/>
                <w:sz w:val="18"/>
                <w:szCs w:val="18"/>
                <w:lang w:val="en-US"/>
              </w:rPr>
            </w:pPr>
            <w:r>
              <w:rPr>
                <w:b/>
                <w:color w:val="000000"/>
                <w:sz w:val="18"/>
                <w:szCs w:val="18"/>
                <w:lang w:val="en-US"/>
              </w:rPr>
              <w:t>23</w:t>
            </w:r>
          </w:p>
        </w:tc>
      </w:tr>
    </w:tbl>
    <w:p w:rsidR="00CB12A4" w:rsidRPr="002C224A" w:rsidRDefault="00CB12A4" w:rsidP="00CB12A4">
      <w:pPr>
        <w:rPr>
          <w:noProof/>
        </w:rPr>
      </w:pPr>
    </w:p>
    <w:p w:rsidR="000C3983" w:rsidRPr="002C224A" w:rsidRDefault="000C3983" w:rsidP="000C3983">
      <w:r>
        <w:t xml:space="preserve">V případě nevyužití revolvovaných prostředků v tomto období (Scénář 4) bude v primárním investičním cyklu navrhovanou alokací vyvoláno </w:t>
      </w:r>
      <w:smartTag w:uri="urn:schemas-microsoft-com:office:smarttags" w:element="metricconverter">
        <w:smartTagPr>
          <w:attr w:name="ProductID" w:val="698 mil"/>
        </w:smartTagPr>
        <w:r>
          <w:t>698 mil</w:t>
        </w:r>
      </w:smartTag>
      <w:r>
        <w:t>. investic s přidanou hodnotou 2,58.</w:t>
      </w:r>
    </w:p>
    <w:p w:rsidR="006D67F1" w:rsidRPr="002C224A" w:rsidRDefault="006D67F1" w:rsidP="00452FC6">
      <w:pPr>
        <w:pStyle w:val="CaptionIntroductionparagraph"/>
        <w:rPr>
          <w:rFonts w:ascii="Calibri" w:hAnsi="Calibri"/>
        </w:rPr>
      </w:pPr>
    </w:p>
    <w:p w:rsidR="006D67F1" w:rsidRPr="002C224A" w:rsidRDefault="006D67F1" w:rsidP="00452FC6">
      <w:pPr>
        <w:pStyle w:val="Nadpis4"/>
        <w:rPr>
          <w:rFonts w:ascii="Calibri" w:hAnsi="Calibri"/>
        </w:rPr>
      </w:pPr>
      <w:r w:rsidRPr="002C224A">
        <w:rPr>
          <w:rFonts w:ascii="Calibri" w:hAnsi="Calibri"/>
        </w:rPr>
        <w:t xml:space="preserve">Očekávané výsledky </w:t>
      </w:r>
    </w:p>
    <w:p w:rsidR="00165CE4" w:rsidRPr="00A50943" w:rsidRDefault="00165CE4" w:rsidP="004C3F06"/>
    <w:p w:rsidR="00A06533" w:rsidRPr="00360BA1" w:rsidRDefault="00A06533" w:rsidP="00A06533">
      <w:pPr>
        <w:pStyle w:val="Odstavecseseznamem2"/>
        <w:overflowPunct w:val="0"/>
        <w:autoSpaceDE w:val="0"/>
        <w:autoSpaceDN w:val="0"/>
        <w:adjustRightInd w:val="0"/>
        <w:spacing w:after="160"/>
        <w:ind w:left="0"/>
        <w:jc w:val="both"/>
        <w:textAlignment w:val="baseline"/>
      </w:pPr>
      <w:r>
        <w:t xml:space="preserve">Následující tabulka udává hlavní indikátory cílů SC </w:t>
      </w:r>
      <w:r w:rsidR="003B53D2">
        <w:t>3</w:t>
      </w:r>
      <w:r>
        <w:t>.</w:t>
      </w:r>
      <w:r w:rsidR="003B53D2">
        <w:t>5</w:t>
      </w:r>
      <w:r>
        <w:t xml:space="preserve"> definované v operačním programu.</w:t>
      </w:r>
    </w:p>
    <w:p w:rsidR="00A06533" w:rsidRDefault="00A06533" w:rsidP="00A06533">
      <w:pPr>
        <w:pStyle w:val="Titulek"/>
        <w:keepNext/>
      </w:pPr>
      <w:r>
        <w:lastRenderedPageBreak/>
        <w:t xml:space="preserve">Tabulka </w:t>
      </w:r>
      <w:r w:rsidR="00AC6EB9">
        <w:t>133</w:t>
      </w:r>
      <w:r>
        <w:t xml:space="preserve">: Ukazatele výsledků SC </w:t>
      </w:r>
      <w:r w:rsidR="003B53D2">
        <w:t>3</w:t>
      </w:r>
      <w:r>
        <w:t>.</w:t>
      </w:r>
      <w:r w:rsidR="003B53D2">
        <w:t>5</w:t>
      </w:r>
    </w:p>
    <w:tbl>
      <w:tblPr>
        <w:tblW w:w="9186" w:type="dxa"/>
        <w:tblCellMar>
          <w:left w:w="57" w:type="dxa"/>
          <w:right w:w="57" w:type="dxa"/>
        </w:tblCellMar>
        <w:tblLook w:val="01E0" w:firstRow="1" w:lastRow="1" w:firstColumn="1" w:lastColumn="1" w:noHBand="0" w:noVBand="0"/>
      </w:tblPr>
      <w:tblGrid>
        <w:gridCol w:w="2170"/>
        <w:gridCol w:w="1033"/>
        <w:gridCol w:w="1200"/>
        <w:gridCol w:w="1104"/>
        <w:gridCol w:w="819"/>
        <w:gridCol w:w="890"/>
        <w:gridCol w:w="1008"/>
        <w:gridCol w:w="962"/>
      </w:tblGrid>
      <w:tr w:rsidR="00A06533" w:rsidRPr="00360BA1" w:rsidTr="00B86390">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Ukazatel</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Měrná jednotka</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Kategorie regionu</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hodnota</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Výchozí rok</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sidRPr="00360BA1">
              <w:rPr>
                <w:rFonts w:ascii="Calibri" w:hAnsi="Calibri" w:cs="Calibri"/>
                <w:b/>
              </w:rPr>
              <w:t>Cílová hodnota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Pr="00360BA1" w:rsidRDefault="00A06533" w:rsidP="00B86390">
            <w:pPr>
              <w:pStyle w:val="Tabulka"/>
              <w:keepNext/>
              <w:keepLines/>
              <w:rPr>
                <w:rFonts w:ascii="Calibri" w:hAnsi="Calibri" w:cs="Calibri"/>
                <w:b/>
              </w:rPr>
            </w:pPr>
            <w:r>
              <w:rPr>
                <w:rFonts w:ascii="Calibri" w:hAnsi="Calibri" w:cs="Calibri"/>
                <w:b/>
              </w:rPr>
              <w:t>Zdroj údajů</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06533" w:rsidRDefault="00A06533" w:rsidP="00B86390">
            <w:pPr>
              <w:pStyle w:val="Tabulka"/>
              <w:keepNext/>
              <w:keepLines/>
              <w:rPr>
                <w:rFonts w:ascii="Calibri" w:hAnsi="Calibri" w:cs="Calibri"/>
                <w:b/>
              </w:rPr>
            </w:pPr>
            <w:r>
              <w:rPr>
                <w:rFonts w:ascii="Calibri" w:hAnsi="Calibri" w:cs="Calibri"/>
                <w:b/>
              </w:rPr>
              <w:t>Četnost podávání zpráv</w:t>
            </w:r>
          </w:p>
        </w:tc>
      </w:tr>
      <w:tr w:rsidR="00A06533" w:rsidRPr="00360BA1" w:rsidTr="00B86390">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rsidR="00C10770" w:rsidRPr="00C10770" w:rsidRDefault="00C10770" w:rsidP="00C10770">
            <w:pPr>
              <w:pStyle w:val="Tabulka"/>
              <w:rPr>
                <w:rFonts w:ascii="Calibri" w:hAnsi="Calibri" w:cs="Calibri"/>
              </w:rPr>
            </w:pPr>
            <w:r w:rsidRPr="00C10770">
              <w:rPr>
                <w:rFonts w:ascii="Calibri" w:hAnsi="Calibri" w:cs="Calibri"/>
              </w:rPr>
              <w:t>Primární</w:t>
            </w:r>
            <w:r>
              <w:rPr>
                <w:rFonts w:ascii="Calibri" w:hAnsi="Calibri" w:cs="Calibri"/>
              </w:rPr>
              <w:t xml:space="preserve"> </w:t>
            </w:r>
            <w:r w:rsidRPr="00C10770">
              <w:rPr>
                <w:rFonts w:ascii="Calibri" w:hAnsi="Calibri" w:cs="Calibri"/>
              </w:rPr>
              <w:t>energetické</w:t>
            </w:r>
          </w:p>
          <w:p w:rsidR="00C10770" w:rsidRPr="00C10770" w:rsidRDefault="00C10770" w:rsidP="00C10770">
            <w:pPr>
              <w:pStyle w:val="Tabulka"/>
              <w:rPr>
                <w:rFonts w:ascii="Calibri" w:hAnsi="Calibri" w:cs="Calibri"/>
              </w:rPr>
            </w:pPr>
            <w:r w:rsidRPr="00C10770">
              <w:rPr>
                <w:rFonts w:ascii="Calibri" w:hAnsi="Calibri" w:cs="Calibri"/>
              </w:rPr>
              <w:t>Zdroje</w:t>
            </w:r>
            <w:r>
              <w:rPr>
                <w:rFonts w:ascii="Calibri" w:hAnsi="Calibri" w:cs="Calibri"/>
              </w:rPr>
              <w:t xml:space="preserve"> </w:t>
            </w:r>
            <w:r w:rsidRPr="00C10770">
              <w:rPr>
                <w:rFonts w:ascii="Calibri" w:hAnsi="Calibri" w:cs="Calibri"/>
              </w:rPr>
              <w:t>(teplárenský</w:t>
            </w:r>
          </w:p>
          <w:p w:rsidR="00A06533" w:rsidRPr="00360BA1" w:rsidRDefault="00C10770" w:rsidP="00C10770">
            <w:pPr>
              <w:pStyle w:val="Tabulka"/>
              <w:rPr>
                <w:rFonts w:ascii="Calibri" w:hAnsi="Calibri" w:cs="Calibri"/>
              </w:rPr>
            </w:pPr>
            <w:r w:rsidRPr="00C10770">
              <w:rPr>
                <w:rFonts w:ascii="Calibri" w:hAnsi="Calibri" w:cs="Calibri"/>
              </w:rPr>
              <w:t>sektor)</w:t>
            </w:r>
          </w:p>
        </w:tc>
        <w:tc>
          <w:tcPr>
            <w:tcW w:w="1033"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0F6013" w:rsidP="00B86390">
            <w:pPr>
              <w:pStyle w:val="Tabulka"/>
              <w:rPr>
                <w:rFonts w:ascii="Calibri" w:hAnsi="Calibri" w:cs="Calibri"/>
              </w:rPr>
            </w:pPr>
            <w:r>
              <w:rPr>
                <w:rFonts w:ascii="Calibri" w:hAnsi="Calibri" w:cs="Calibri"/>
              </w:rPr>
              <w:t>TJ</w:t>
            </w:r>
          </w:p>
        </w:tc>
        <w:tc>
          <w:tcPr>
            <w:tcW w:w="120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360BA1">
              <w:rPr>
                <w:rFonts w:ascii="Calibri" w:hAnsi="Calibri" w:cs="Calibri"/>
              </w:rPr>
              <w:t>Méně rozvinuté regiony</w:t>
            </w:r>
          </w:p>
        </w:tc>
        <w:tc>
          <w:tcPr>
            <w:tcW w:w="1104"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0F6013" w:rsidP="00B86390">
            <w:pPr>
              <w:pStyle w:val="Tabulka"/>
              <w:rPr>
                <w:rFonts w:ascii="Calibri" w:hAnsi="Calibri" w:cs="Calibri"/>
              </w:rPr>
            </w:pPr>
            <w:r>
              <w:rPr>
                <w:rFonts w:ascii="Calibri" w:hAnsi="Calibri" w:cs="Calibri"/>
              </w:rPr>
              <w:t>380 000</w:t>
            </w:r>
          </w:p>
        </w:tc>
        <w:tc>
          <w:tcPr>
            <w:tcW w:w="819"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Pr>
                <w:rFonts w:ascii="Calibri" w:hAnsi="Calibri" w:cs="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0F6013" w:rsidP="00B86390">
            <w:pPr>
              <w:pStyle w:val="Tabulka"/>
              <w:rPr>
                <w:rFonts w:ascii="Calibri" w:hAnsi="Calibri" w:cs="Calibri"/>
              </w:rPr>
            </w:pPr>
            <w:r>
              <w:rPr>
                <w:rFonts w:ascii="Calibri" w:hAnsi="Calibri" w:cs="Calibri"/>
              </w:rPr>
              <w:t>378 000</w:t>
            </w:r>
          </w:p>
        </w:tc>
        <w:tc>
          <w:tcPr>
            <w:tcW w:w="1008" w:type="dxa"/>
            <w:tcBorders>
              <w:top w:val="single" w:sz="4" w:space="0" w:color="000000"/>
              <w:left w:val="single" w:sz="4" w:space="0" w:color="000000"/>
              <w:bottom w:val="single" w:sz="4" w:space="0" w:color="000000"/>
              <w:right w:val="single" w:sz="4" w:space="0" w:color="000000"/>
            </w:tcBorders>
            <w:vAlign w:val="center"/>
          </w:tcPr>
          <w:p w:rsidR="00A06533" w:rsidRPr="00360BA1" w:rsidRDefault="00A06533" w:rsidP="00B86390">
            <w:pPr>
              <w:pStyle w:val="Tabulka"/>
              <w:rPr>
                <w:rFonts w:ascii="Calibri" w:hAnsi="Calibri" w:cs="Calibri"/>
              </w:rPr>
            </w:pPr>
            <w:r w:rsidRPr="00A52D1B">
              <w:rPr>
                <w:rFonts w:ascii="Calibri" w:hAnsi="Calibri" w:cs="Calibri"/>
              </w:rPr>
              <w:t>ČSÚ</w:t>
            </w:r>
          </w:p>
        </w:tc>
        <w:tc>
          <w:tcPr>
            <w:tcW w:w="962" w:type="dxa"/>
            <w:tcBorders>
              <w:top w:val="single" w:sz="4" w:space="0" w:color="000000"/>
              <w:left w:val="single" w:sz="4" w:space="0" w:color="000000"/>
              <w:bottom w:val="single" w:sz="4" w:space="0" w:color="000000"/>
              <w:right w:val="single" w:sz="4" w:space="0" w:color="000000"/>
            </w:tcBorders>
            <w:vAlign w:val="center"/>
          </w:tcPr>
          <w:p w:rsidR="00A06533" w:rsidRPr="00A52D1B" w:rsidRDefault="00A06533" w:rsidP="00B86390">
            <w:pPr>
              <w:pStyle w:val="Tabulka"/>
              <w:rPr>
                <w:rFonts w:ascii="Calibri" w:hAnsi="Calibri" w:cs="Calibri"/>
              </w:rPr>
            </w:pPr>
            <w:r>
              <w:rPr>
                <w:rFonts w:ascii="Calibri" w:hAnsi="Calibri" w:cs="Calibri"/>
              </w:rPr>
              <w:t>ročně</w:t>
            </w:r>
          </w:p>
        </w:tc>
      </w:tr>
    </w:tbl>
    <w:p w:rsidR="00A06533" w:rsidRDefault="00A06533" w:rsidP="00A06533">
      <w:pPr>
        <w:pStyle w:val="Odstavecseseznamem2"/>
        <w:overflowPunct w:val="0"/>
        <w:autoSpaceDE w:val="0"/>
        <w:autoSpaceDN w:val="0"/>
        <w:adjustRightInd w:val="0"/>
        <w:spacing w:after="160"/>
        <w:ind w:left="0"/>
        <w:jc w:val="both"/>
        <w:textAlignment w:val="baseline"/>
      </w:pPr>
    </w:p>
    <w:p w:rsidR="00A06533" w:rsidRDefault="00A06533" w:rsidP="00A06533">
      <w:pPr>
        <w:pStyle w:val="Odstavecseseznamem2"/>
        <w:overflowPunct w:val="0"/>
        <w:autoSpaceDE w:val="0"/>
        <w:autoSpaceDN w:val="0"/>
        <w:adjustRightInd w:val="0"/>
        <w:spacing w:after="160"/>
        <w:ind w:left="0"/>
        <w:jc w:val="both"/>
        <w:textAlignment w:val="baseline"/>
      </w:pPr>
      <w:r>
        <w:t>Finanční nástroje by se měly na naplnění těchto cílových hodnot podílet skrze dosažení cílových hodnot následujících ukazatelů, jejichž rámcová kvantifikace byla provedena na základě výše uvedených modelových scénářů.</w:t>
      </w:r>
    </w:p>
    <w:p w:rsidR="00165CE4" w:rsidRPr="002C224A" w:rsidRDefault="00165CE4" w:rsidP="004C3F06"/>
    <w:p w:rsidR="006D67F1" w:rsidRPr="00A50943" w:rsidRDefault="00823695" w:rsidP="00A50943">
      <w:pPr>
        <w:pStyle w:val="Titulek"/>
      </w:pPr>
      <w:r w:rsidRPr="00A50943">
        <w:t xml:space="preserve">Tabulka </w:t>
      </w:r>
      <w:r w:rsidR="00AC6EB9">
        <w:t>134</w:t>
      </w:r>
      <w:r w:rsidRPr="00A50943">
        <w:t xml:space="preserve">: </w:t>
      </w:r>
      <w:r w:rsidR="00A06533" w:rsidRPr="002C224A">
        <w:t>Cílové hodnoty FN</w:t>
      </w:r>
    </w:p>
    <w:tbl>
      <w:tblPr>
        <w:tblW w:w="0" w:type="auto"/>
        <w:tblCellMar>
          <w:left w:w="57" w:type="dxa"/>
          <w:right w:w="57" w:type="dxa"/>
        </w:tblCellMar>
        <w:tblLook w:val="01E0" w:firstRow="1" w:lastRow="1" w:firstColumn="1" w:lastColumn="1" w:noHBand="0" w:noVBand="0"/>
      </w:tblPr>
      <w:tblGrid>
        <w:gridCol w:w="4468"/>
        <w:gridCol w:w="1339"/>
        <w:gridCol w:w="1784"/>
        <w:gridCol w:w="1471"/>
      </w:tblGrid>
      <w:tr w:rsidR="00F870EF" w:rsidRPr="002C224A" w:rsidTr="006D5135">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F870EF" w:rsidRPr="002C224A" w:rsidRDefault="00F870EF" w:rsidP="006D5135">
            <w:pPr>
              <w:pStyle w:val="Tabulka"/>
              <w:keepNext/>
              <w:keepLines/>
              <w:rPr>
                <w:rFonts w:ascii="Calibri" w:hAnsi="Calibri" w:cs="Calibri"/>
                <w:b/>
              </w:rPr>
            </w:pPr>
            <w:r w:rsidRPr="002C224A">
              <w:rPr>
                <w:rFonts w:ascii="Calibri" w:hAnsi="Calibri"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F870EF" w:rsidRPr="002C224A" w:rsidRDefault="00F870EF" w:rsidP="006D5135">
            <w:pPr>
              <w:pStyle w:val="Tabulka"/>
              <w:keepNext/>
              <w:keepLines/>
              <w:rPr>
                <w:rFonts w:ascii="Calibri" w:hAnsi="Calibri" w:cs="Calibri"/>
                <w:b/>
              </w:rPr>
            </w:pPr>
            <w:r w:rsidRPr="002C224A">
              <w:rPr>
                <w:rFonts w:ascii="Calibri" w:hAnsi="Calibri"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F870EF" w:rsidRPr="002C224A" w:rsidRDefault="00F870EF" w:rsidP="006D5135">
            <w:pPr>
              <w:pStyle w:val="Tabulka"/>
              <w:keepNext/>
              <w:keepLines/>
              <w:rPr>
                <w:rFonts w:ascii="Calibri" w:hAnsi="Calibri" w:cs="Calibri"/>
                <w:b/>
              </w:rPr>
            </w:pPr>
            <w:r w:rsidRPr="002C224A">
              <w:rPr>
                <w:rFonts w:ascii="Calibri" w:hAnsi="Calibri"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870EF" w:rsidRPr="002C224A" w:rsidRDefault="00F870EF" w:rsidP="006D5135">
            <w:pPr>
              <w:pStyle w:val="Tabulka"/>
              <w:keepNext/>
              <w:keepLines/>
              <w:rPr>
                <w:rFonts w:ascii="Calibri" w:hAnsi="Calibri" w:cs="Calibri"/>
                <w:b/>
              </w:rPr>
            </w:pPr>
            <w:r w:rsidRPr="002C224A">
              <w:rPr>
                <w:rFonts w:ascii="Calibri" w:hAnsi="Calibri" w:cs="Calibri"/>
                <w:b/>
              </w:rPr>
              <w:t>Cílová hodnota v OP PIK (2023)</w:t>
            </w:r>
          </w:p>
        </w:tc>
      </w:tr>
      <w:tr w:rsidR="00F870EF"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870EF" w:rsidRPr="002C224A" w:rsidRDefault="00F870EF" w:rsidP="006D5135">
            <w:pPr>
              <w:pStyle w:val="Tabulka"/>
              <w:keepNext/>
              <w:keepLines/>
              <w:jc w:val="left"/>
              <w:rPr>
                <w:rFonts w:ascii="Calibri" w:hAnsi="Calibri" w:cs="Calibri"/>
              </w:rPr>
            </w:pPr>
            <w:r w:rsidRPr="002C224A">
              <w:rPr>
                <w:rFonts w:ascii="Calibri" w:hAnsi="Calibri"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F870EF" w:rsidRPr="002C224A" w:rsidRDefault="00F870EF" w:rsidP="006D5135">
            <w:pPr>
              <w:pStyle w:val="Tabulka"/>
              <w:keepNext/>
              <w:keepLines/>
              <w:rPr>
                <w:rFonts w:ascii="Calibri" w:hAnsi="Calibri" w:cs="Calibri"/>
              </w:rPr>
            </w:pPr>
            <w:r w:rsidRPr="002C224A">
              <w:rPr>
                <w:rFonts w:ascii="Calibri" w:hAnsi="Calibri"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F870EF" w:rsidRPr="002C224A" w:rsidRDefault="00F870EF" w:rsidP="006D5135">
            <w:pPr>
              <w:pStyle w:val="Tabulka"/>
              <w:keepNext/>
              <w:keepLines/>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F870EF" w:rsidRPr="002C224A" w:rsidRDefault="00F870EF" w:rsidP="002C224A">
            <w:pPr>
              <w:pStyle w:val="Tabulka"/>
              <w:keepNext/>
              <w:keepLines/>
              <w:rPr>
                <w:rFonts w:ascii="Calibri" w:hAnsi="Calibri" w:cs="Calibri"/>
              </w:rPr>
            </w:pPr>
            <w:r w:rsidRPr="002C224A">
              <w:rPr>
                <w:rFonts w:ascii="Calibri" w:hAnsi="Calibri" w:cs="Calibri"/>
              </w:rPr>
              <w:t>1</w:t>
            </w:r>
            <w:r w:rsidR="00C46DD2">
              <w:rPr>
                <w:rFonts w:ascii="Calibri" w:hAnsi="Calibri" w:cs="Calibri"/>
              </w:rPr>
              <w:t>2</w:t>
            </w:r>
            <w:r w:rsidR="00036EF3" w:rsidRPr="002C224A">
              <w:rPr>
                <w:rFonts w:ascii="Calibri" w:hAnsi="Calibri" w:cs="Calibri"/>
              </w:rPr>
              <w:t>-20</w:t>
            </w:r>
            <w:r w:rsidRPr="002C224A">
              <w:rPr>
                <w:rStyle w:val="Znakapoznpodarou"/>
                <w:rFonts w:ascii="Calibri" w:hAnsi="Calibri"/>
              </w:rPr>
              <w:footnoteReference w:id="71"/>
            </w:r>
          </w:p>
        </w:tc>
      </w:tr>
      <w:tr w:rsidR="00F870EF" w:rsidRPr="002C224A"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870EF" w:rsidRPr="002C224A" w:rsidRDefault="00F870EF" w:rsidP="006D5135">
            <w:pPr>
              <w:pStyle w:val="Tabulka"/>
              <w:keepNext/>
              <w:keepLines/>
              <w:jc w:val="left"/>
              <w:rPr>
                <w:rFonts w:ascii="Calibri" w:hAnsi="Calibri" w:cs="Calibri"/>
              </w:rPr>
            </w:pPr>
            <w:r w:rsidRPr="002C224A">
              <w:rPr>
                <w:rFonts w:ascii="Calibri" w:hAnsi="Calibri"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F870EF" w:rsidRPr="002C224A" w:rsidRDefault="00165075" w:rsidP="006D5135">
            <w:pPr>
              <w:pStyle w:val="Tabulka"/>
              <w:keepNext/>
              <w:keepLines/>
              <w:rPr>
                <w:rFonts w:ascii="Calibri" w:hAnsi="Calibri" w:cs="Calibri"/>
              </w:rPr>
            </w:pPr>
            <w:r w:rsidRPr="002C224A">
              <w:rPr>
                <w:rFonts w:ascii="Calibri" w:hAnsi="Calibri" w:cs="Calibri"/>
              </w:rPr>
              <w:t>Mil. CZK</w:t>
            </w:r>
          </w:p>
        </w:tc>
        <w:tc>
          <w:tcPr>
            <w:tcW w:w="0" w:type="auto"/>
            <w:tcBorders>
              <w:top w:val="single" w:sz="4" w:space="0" w:color="000000"/>
              <w:left w:val="single" w:sz="4" w:space="0" w:color="000000"/>
              <w:bottom w:val="single" w:sz="4" w:space="0" w:color="000000"/>
              <w:right w:val="single" w:sz="4" w:space="0" w:color="000000"/>
            </w:tcBorders>
            <w:vAlign w:val="center"/>
          </w:tcPr>
          <w:p w:rsidR="00F870EF" w:rsidRPr="002C224A" w:rsidRDefault="00F870EF" w:rsidP="006D5135">
            <w:pPr>
              <w:pStyle w:val="Tabulka"/>
              <w:keepNext/>
              <w:keepLines/>
              <w:rPr>
                <w:rFonts w:ascii="Calibri" w:hAnsi="Calibri" w:cs="Calibri"/>
              </w:rPr>
            </w:pPr>
            <w:r w:rsidRPr="002C224A">
              <w:rPr>
                <w:rFonts w:ascii="Calibri" w:hAnsi="Calibri"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F870EF" w:rsidRPr="002C224A" w:rsidRDefault="00326457" w:rsidP="002C224A">
            <w:pPr>
              <w:pStyle w:val="Tabulka"/>
              <w:keepNext/>
              <w:keepLines/>
              <w:rPr>
                <w:rFonts w:ascii="Calibri" w:hAnsi="Calibri" w:cs="Calibri"/>
              </w:rPr>
            </w:pPr>
            <w:r>
              <w:rPr>
                <w:rFonts w:ascii="Calibri" w:hAnsi="Calibri" w:cs="Calibri"/>
              </w:rPr>
              <w:t>6</w:t>
            </w:r>
            <w:r w:rsidR="003B5C38" w:rsidRPr="002C224A">
              <w:rPr>
                <w:rFonts w:ascii="Calibri" w:hAnsi="Calibri" w:cs="Calibri"/>
              </w:rPr>
              <w:t>00-</w:t>
            </w:r>
            <w:r>
              <w:rPr>
                <w:rFonts w:ascii="Calibri" w:hAnsi="Calibri" w:cs="Calibri"/>
              </w:rPr>
              <w:t>900</w:t>
            </w:r>
          </w:p>
        </w:tc>
      </w:tr>
    </w:tbl>
    <w:p w:rsidR="006D67F1" w:rsidRPr="002C224A" w:rsidRDefault="006D67F1" w:rsidP="00452FC6"/>
    <w:p w:rsidR="00E46303" w:rsidRPr="00E46303" w:rsidRDefault="00E46303" w:rsidP="00E46303">
      <w:pPr>
        <w:pStyle w:val="Odstavecseseznamem2"/>
        <w:overflowPunct w:val="0"/>
        <w:autoSpaceDE w:val="0"/>
        <w:autoSpaceDN w:val="0"/>
        <w:adjustRightInd w:val="0"/>
        <w:spacing w:after="160"/>
        <w:ind w:left="0"/>
        <w:jc w:val="both"/>
        <w:textAlignment w:val="baseline"/>
      </w:pPr>
      <w:r w:rsidRPr="00E46303">
        <w:t>Následující indikátory budou sledovány za účelem monitorování příspěvku finančního nástroje k cílům OP (s hvězdičkou jsou uvedeny indikátory, které budou sledovány rovněž na úrovni projektů konečných příjemců) na základě Národního číselníku indikátorů MMR:</w:t>
      </w:r>
    </w:p>
    <w:p w:rsidR="00F005CE" w:rsidRPr="002C224A" w:rsidRDefault="00F005CE" w:rsidP="00F005CE">
      <w:pPr>
        <w:pStyle w:val="Odstavecseseznamem2"/>
        <w:overflowPunct w:val="0"/>
        <w:autoSpaceDE w:val="0"/>
        <w:autoSpaceDN w:val="0"/>
        <w:adjustRightInd w:val="0"/>
        <w:spacing w:after="160"/>
        <w:ind w:left="0"/>
        <w:jc w:val="both"/>
        <w:textAlignment w:val="baseline"/>
      </w:pPr>
    </w:p>
    <w:p w:rsidR="000F6013" w:rsidRDefault="000F6013" w:rsidP="002C224A">
      <w:pPr>
        <w:pStyle w:val="Odstavecseseznamem2"/>
        <w:numPr>
          <w:ilvl w:val="0"/>
          <w:numId w:val="92"/>
        </w:numPr>
        <w:spacing w:after="160"/>
      </w:pPr>
      <w:r>
        <w:t>36111 Množství odstraněných emisí primárních částic a prekurzorů sekundárních částic v rámci podpořených projektů*</w:t>
      </w:r>
    </w:p>
    <w:p w:rsidR="000F6013" w:rsidRDefault="000F6013" w:rsidP="002C224A">
      <w:pPr>
        <w:pStyle w:val="Odstavecseseznamem2"/>
        <w:numPr>
          <w:ilvl w:val="0"/>
          <w:numId w:val="92"/>
        </w:numPr>
        <w:spacing w:after="160"/>
      </w:pPr>
      <w:r>
        <w:t>36010 Odhadované roční snížení emisí skleníkových plynů*</w:t>
      </w:r>
    </w:p>
    <w:p w:rsidR="000F6013" w:rsidRDefault="000F6013" w:rsidP="002C224A">
      <w:pPr>
        <w:pStyle w:val="Odstavecseseznamem2"/>
        <w:numPr>
          <w:ilvl w:val="0"/>
          <w:numId w:val="92"/>
        </w:numPr>
        <w:spacing w:after="160"/>
      </w:pPr>
      <w:r>
        <w:t>34701 Nové nebo rekonstruované KVET*</w:t>
      </w:r>
    </w:p>
    <w:p w:rsidR="000F6013" w:rsidRDefault="000F6013" w:rsidP="002C224A">
      <w:pPr>
        <w:pStyle w:val="Odstavecseseznamem2"/>
        <w:numPr>
          <w:ilvl w:val="0"/>
          <w:numId w:val="92"/>
        </w:numPr>
        <w:spacing w:after="160"/>
      </w:pPr>
      <w:r>
        <w:t>32601 Úspora primární energie*</w:t>
      </w:r>
    </w:p>
    <w:p w:rsidR="000F6013" w:rsidRDefault="000F6013" w:rsidP="002C224A">
      <w:pPr>
        <w:pStyle w:val="Odstavecseseznamem2"/>
        <w:numPr>
          <w:ilvl w:val="0"/>
          <w:numId w:val="92"/>
        </w:numPr>
        <w:spacing w:after="160"/>
      </w:pPr>
      <w:r>
        <w:t>10103 Počet podniků pobírajících jinou finanční podporu než granty*</w:t>
      </w:r>
    </w:p>
    <w:p w:rsidR="000F6013" w:rsidRDefault="000F6013" w:rsidP="002C224A">
      <w:pPr>
        <w:pStyle w:val="Odstavecseseznamem2"/>
        <w:numPr>
          <w:ilvl w:val="0"/>
          <w:numId w:val="92"/>
        </w:numPr>
        <w:spacing w:after="160"/>
      </w:pPr>
      <w:r>
        <w:t>10301 Soukromé investice odpovídající veřejné podpoře podniků (jiné než granty)</w:t>
      </w:r>
    </w:p>
    <w:p w:rsidR="000F6013" w:rsidRDefault="000F6013" w:rsidP="002C224A">
      <w:pPr>
        <w:pStyle w:val="Odstavecseseznamem2"/>
        <w:numPr>
          <w:ilvl w:val="0"/>
          <w:numId w:val="92"/>
        </w:numPr>
        <w:spacing w:after="160"/>
      </w:pPr>
      <w:r>
        <w:t>povinné k naplnění:*</w:t>
      </w:r>
    </w:p>
    <w:p w:rsidR="000F6013" w:rsidRDefault="000F6013" w:rsidP="002C224A">
      <w:pPr>
        <w:pStyle w:val="Odstavecseseznamem2"/>
        <w:numPr>
          <w:ilvl w:val="0"/>
          <w:numId w:val="92"/>
        </w:numPr>
        <w:spacing w:after="160"/>
      </w:pPr>
      <w:r>
        <w:t>10000 Počet podniků pobírajících podporu</w:t>
      </w:r>
    </w:p>
    <w:p w:rsidR="000F6013" w:rsidRDefault="000F6013" w:rsidP="002C224A">
      <w:pPr>
        <w:pStyle w:val="Odstavecseseznamem2"/>
        <w:numPr>
          <w:ilvl w:val="0"/>
          <w:numId w:val="92"/>
        </w:numPr>
        <w:spacing w:after="160"/>
      </w:pPr>
      <w:r>
        <w:t>34700 Výroba elektřiny z KVET</w:t>
      </w:r>
    </w:p>
    <w:p w:rsidR="000F6013" w:rsidRDefault="000F6013" w:rsidP="002C224A">
      <w:pPr>
        <w:pStyle w:val="Odstavecseseznamem2"/>
        <w:numPr>
          <w:ilvl w:val="0"/>
          <w:numId w:val="92"/>
        </w:numPr>
        <w:spacing w:after="160"/>
      </w:pPr>
      <w:r>
        <w:t>32602 Primární energetické zdroje (teplárenský sektor)</w:t>
      </w:r>
    </w:p>
    <w:p w:rsidR="00F005CE" w:rsidRPr="002C224A" w:rsidRDefault="00F005CE" w:rsidP="00F005CE"/>
    <w:p w:rsidR="006D67F1" w:rsidRPr="002C224A" w:rsidRDefault="006D67F1" w:rsidP="006F771D">
      <w:pPr>
        <w:pStyle w:val="Nadpis4"/>
        <w:rPr>
          <w:rFonts w:ascii="Calibri" w:hAnsi="Calibri"/>
        </w:rPr>
      </w:pPr>
      <w:r w:rsidRPr="002C224A">
        <w:rPr>
          <w:rFonts w:ascii="Calibri" w:hAnsi="Calibri"/>
        </w:rPr>
        <w:t>Dílčí shrnutí</w:t>
      </w:r>
    </w:p>
    <w:p w:rsidR="006D67F1" w:rsidRPr="00A50943" w:rsidRDefault="006D67F1" w:rsidP="006F771D"/>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67F1" w:rsidRPr="002C224A" w:rsidTr="00A84116">
        <w:tc>
          <w:tcPr>
            <w:tcW w:w="2282" w:type="dxa"/>
            <w:shd w:val="clear" w:color="auto" w:fill="ECFFC3"/>
          </w:tcPr>
          <w:p w:rsidR="006D67F1" w:rsidRPr="002C224A" w:rsidRDefault="006D67F1" w:rsidP="00A84116">
            <w:pPr>
              <w:rPr>
                <w:b/>
              </w:rPr>
            </w:pPr>
          </w:p>
        </w:tc>
        <w:tc>
          <w:tcPr>
            <w:tcW w:w="6788" w:type="dxa"/>
            <w:shd w:val="clear" w:color="auto" w:fill="ECFFC3"/>
          </w:tcPr>
          <w:p w:rsidR="006D67F1" w:rsidRPr="002C224A" w:rsidRDefault="006D67F1" w:rsidP="00A84116">
            <w:pPr>
              <w:ind w:left="38"/>
              <w:rPr>
                <w:b/>
              </w:rPr>
            </w:pP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lastRenderedPageBreak/>
              <w:t>Cíle finančního nástroje</w:t>
            </w:r>
          </w:p>
        </w:tc>
        <w:tc>
          <w:tcPr>
            <w:tcW w:w="6788" w:type="dxa"/>
            <w:shd w:val="clear" w:color="auto" w:fill="FFFFFF"/>
            <w:noWrap/>
          </w:tcPr>
          <w:p w:rsidR="006D67F1" w:rsidRPr="002C224A" w:rsidRDefault="005A4C26" w:rsidP="005A4C26">
            <w:r w:rsidRPr="002C224A">
              <w:t>Podpořit investice do rekonstrukce a instalace KVET, zvýšit přístup k financování MSP a snížit finanční náklady a dobu návratnosti investic do KVET</w:t>
            </w:r>
          </w:p>
        </w:tc>
      </w:tr>
      <w:tr w:rsidR="006D67F1" w:rsidRPr="002C224A" w:rsidTr="00A84116">
        <w:tc>
          <w:tcPr>
            <w:tcW w:w="2282" w:type="dxa"/>
            <w:shd w:val="clear" w:color="auto" w:fill="92D400"/>
            <w:noWrap/>
          </w:tcPr>
          <w:p w:rsidR="006D67F1" w:rsidRPr="002C224A" w:rsidRDefault="006D67F1" w:rsidP="00A84116">
            <w:pPr>
              <w:jc w:val="left"/>
              <w:rPr>
                <w:b/>
                <w:color w:val="FFFFFF"/>
              </w:rPr>
            </w:pPr>
            <w:r w:rsidRPr="002C224A">
              <w:rPr>
                <w:b/>
                <w:color w:val="FFFFFF"/>
              </w:rPr>
              <w:t>Definice a kritéria způsobilých projektů</w:t>
            </w:r>
          </w:p>
        </w:tc>
        <w:tc>
          <w:tcPr>
            <w:tcW w:w="6788" w:type="dxa"/>
            <w:shd w:val="clear" w:color="auto" w:fill="FFFFFF"/>
            <w:noWrap/>
          </w:tcPr>
          <w:p w:rsidR="006D67F1" w:rsidRPr="002C224A" w:rsidRDefault="006D67F1" w:rsidP="005A4C26">
            <w:pPr>
              <w:pStyle w:val="Odstavecseseznamem1"/>
              <w:overflowPunct/>
              <w:autoSpaceDE/>
              <w:autoSpaceDN/>
              <w:adjustRightInd/>
              <w:ind w:left="0"/>
              <w:contextualSpacing w:val="0"/>
              <w:textAlignment w:val="auto"/>
            </w:pPr>
            <w:r w:rsidRPr="002C224A">
              <w:t>Zavádění a zvyšování účinnosti systémů</w:t>
            </w:r>
            <w:r w:rsidR="00660C27" w:rsidRPr="002C224A">
              <w:t xml:space="preserve"> plynové</w:t>
            </w:r>
            <w:r w:rsidRPr="002C224A">
              <w:t xml:space="preserve"> </w:t>
            </w:r>
            <w:r w:rsidR="00E92B7F" w:rsidRPr="002C224A">
              <w:t>KVET</w:t>
            </w:r>
          </w:p>
          <w:p w:rsidR="006D67F1" w:rsidRPr="002C224A" w:rsidRDefault="006D67F1" w:rsidP="00A84116">
            <w:pPr>
              <w:spacing w:line="250" w:lineRule="atLeast"/>
              <w:contextualSpacing/>
              <w:jc w:val="left"/>
            </w:pP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Forma podpory</w:t>
            </w:r>
          </w:p>
        </w:tc>
        <w:tc>
          <w:tcPr>
            <w:tcW w:w="6788" w:type="dxa"/>
            <w:shd w:val="clear" w:color="auto" w:fill="FFFFFF"/>
            <w:noWrap/>
          </w:tcPr>
          <w:p w:rsidR="006D67F1" w:rsidRPr="002C224A" w:rsidRDefault="006D67F1" w:rsidP="008E4E77">
            <w:pPr>
              <w:spacing w:after="120"/>
              <w:rPr>
                <w:rFonts w:cs="Calibri"/>
                <w:szCs w:val="22"/>
              </w:rPr>
            </w:pPr>
            <w:r w:rsidRPr="002C224A">
              <w:rPr>
                <w:rFonts w:cs="Calibri"/>
                <w:szCs w:val="22"/>
              </w:rPr>
              <w:t>Kombinovaná podpora</w:t>
            </w:r>
          </w:p>
          <w:p w:rsidR="006D67F1" w:rsidRPr="002C224A" w:rsidRDefault="006D67F1" w:rsidP="008E4E77">
            <w:pPr>
              <w:spacing w:after="120"/>
              <w:rPr>
                <w:rFonts w:cs="Calibri"/>
                <w:szCs w:val="22"/>
              </w:rPr>
            </w:pPr>
            <w:r w:rsidRPr="002C224A">
              <w:rPr>
                <w:rFonts w:cs="Calibri"/>
                <w:szCs w:val="22"/>
              </w:rPr>
              <w:t>Zvýhodněný úvěr se sníženou úrokovou sazbou a delší dobou splatnosti, případně odkladem splátek</w:t>
            </w:r>
          </w:p>
          <w:p w:rsidR="006D67F1" w:rsidRPr="002C224A" w:rsidRDefault="006D67F1" w:rsidP="008E4E77">
            <w:pPr>
              <w:spacing w:after="120"/>
              <w:rPr>
                <w:rFonts w:cs="Calibri"/>
                <w:szCs w:val="22"/>
              </w:rPr>
            </w:pPr>
            <w:r w:rsidRPr="002C224A">
              <w:rPr>
                <w:rFonts w:cs="Calibri"/>
                <w:szCs w:val="22"/>
              </w:rPr>
              <w:t>Finanční příspěvek na úhradu úroků (subvence úrokové sazby – finanční příspěvek) za podmínky dosažení požadovaných výsledků</w:t>
            </w:r>
          </w:p>
          <w:p w:rsidR="006D67F1" w:rsidRPr="002C224A" w:rsidRDefault="006D67F1">
            <w:pPr>
              <w:rPr>
                <w:b/>
                <w:color w:val="FF0000"/>
              </w:rPr>
            </w:pPr>
            <w:r w:rsidRPr="002C224A">
              <w:rPr>
                <w:rFonts w:cs="Calibri"/>
                <w:szCs w:val="22"/>
              </w:rPr>
              <w:t>Úhrada nákladů na energetický audit a ověření úspory (finanční příspěvek)</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Výše podpory</w:t>
            </w:r>
          </w:p>
        </w:tc>
        <w:tc>
          <w:tcPr>
            <w:tcW w:w="6788" w:type="dxa"/>
            <w:shd w:val="clear" w:color="auto" w:fill="FFFFFF"/>
            <w:noWrap/>
          </w:tcPr>
          <w:p w:rsidR="006D67F1" w:rsidRPr="002C224A" w:rsidRDefault="006D67F1" w:rsidP="00A84116">
            <w:r w:rsidRPr="002C224A">
              <w:t xml:space="preserve">Úvěr a subvence úrokové sazby se budou pohybovat v rozpětí 0,5 – </w:t>
            </w:r>
            <w:smartTag w:uri="urn:schemas-microsoft-com:office:smarttags" w:element="metricconverter">
              <w:smartTagPr>
                <w:attr w:name="ProductID" w:val="250 mil"/>
              </w:smartTagPr>
              <w:r w:rsidRPr="002C224A">
                <w:t>250 mil</w:t>
              </w:r>
            </w:smartTag>
            <w:r w:rsidRPr="002C224A">
              <w:t>. Kč.</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Základní parametry poskytované podpory</w:t>
            </w:r>
          </w:p>
        </w:tc>
        <w:tc>
          <w:tcPr>
            <w:tcW w:w="6788" w:type="dxa"/>
            <w:shd w:val="clear" w:color="auto" w:fill="FFFFFF"/>
            <w:noWrap/>
          </w:tcPr>
          <w:p w:rsidR="006D67F1" w:rsidRPr="002C224A" w:rsidRDefault="00166B80" w:rsidP="00166B80">
            <w:r w:rsidRPr="002C224A">
              <w:t>D</w:t>
            </w:r>
            <w:r w:rsidR="006D67F1" w:rsidRPr="002C224A">
              <w:t>oporučuje</w:t>
            </w:r>
            <w:r w:rsidRPr="002C224A">
              <w:t>me</w:t>
            </w:r>
            <w:r w:rsidR="006D67F1" w:rsidRPr="002C224A">
              <w:t xml:space="preserve"> snížení úrokové míry pro konečného příjemce na polovinu tržní úrokové míry. Pro dosažené takto nízké sazby je nezbytné, aby úroková sazba fondu byla co nejnižší.</w:t>
            </w:r>
          </w:p>
          <w:p w:rsidR="00166B80" w:rsidRPr="002C224A" w:rsidRDefault="00166B80" w:rsidP="00166B80"/>
          <w:p w:rsidR="00166B80" w:rsidRPr="002C224A" w:rsidRDefault="00166B80" w:rsidP="008F5D1D">
            <w:r w:rsidRPr="002C224A">
              <w:t>Zvýhodněný úvěr by měl být poskytován spolu s komerčním úvěrem soukromé úvěrující instituce a spolufinancováním konečného příjemce. Podíl komerčního úvěru je doporučen na úrovni 50-100 % zvýhodněného úvěru.</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Kroky k aktivizaci soukromých finančních zdrojů</w:t>
            </w:r>
          </w:p>
        </w:tc>
        <w:tc>
          <w:tcPr>
            <w:tcW w:w="6788" w:type="dxa"/>
            <w:shd w:val="clear" w:color="auto" w:fill="FFFFFF"/>
            <w:noWrap/>
          </w:tcPr>
          <w:p w:rsidR="006D67F1" w:rsidRPr="002C224A" w:rsidRDefault="00506489" w:rsidP="006F771D">
            <w:r w:rsidRPr="002C224A">
              <w:t>Preferenční odměňování není vhodné. Soukromé úvěrující instituce budou zapojeny za tržních podmínek, nástroj zvýhodněného úvěru bude disponovat sekundárním zástavním právem a umožní tak další komerční úvěrování.</w:t>
            </w:r>
          </w:p>
        </w:tc>
      </w:tr>
      <w:tr w:rsidR="006D67F1" w:rsidRPr="002C224A" w:rsidTr="00A84116">
        <w:tc>
          <w:tcPr>
            <w:tcW w:w="2282" w:type="dxa"/>
            <w:shd w:val="clear" w:color="auto" w:fill="92D400"/>
            <w:noWrap/>
          </w:tcPr>
          <w:p w:rsidR="006D67F1" w:rsidRPr="002C224A" w:rsidRDefault="006D67F1" w:rsidP="00A84116">
            <w:pPr>
              <w:rPr>
                <w:b/>
                <w:color w:val="FFFFFF"/>
              </w:rPr>
            </w:pPr>
            <w:r w:rsidRPr="002C224A">
              <w:rPr>
                <w:b/>
                <w:color w:val="FFFFFF"/>
              </w:rPr>
              <w:t>Očekávaná alokace</w:t>
            </w:r>
          </w:p>
        </w:tc>
        <w:tc>
          <w:tcPr>
            <w:tcW w:w="6788" w:type="dxa"/>
            <w:shd w:val="clear" w:color="auto" w:fill="FFFFFF"/>
            <w:noWrap/>
          </w:tcPr>
          <w:p w:rsidR="00742783" w:rsidRPr="002C224A" w:rsidRDefault="00742783" w:rsidP="00742783">
            <w:r w:rsidRPr="002C224A">
              <w:t xml:space="preserve"> Doporučujeme využití FN v rozmezí 900-</w:t>
            </w:r>
            <w:smartTag w:uri="urn:schemas-microsoft-com:office:smarttags" w:element="metricconverter">
              <w:smartTagPr>
                <w:attr w:name="ProductID" w:val="1100 mil"/>
              </w:smartTagPr>
              <w:r w:rsidRPr="002C224A">
                <w:t>1100 mil</w:t>
              </w:r>
            </w:smartTag>
            <w:r w:rsidRPr="002C224A">
              <w:t>. Kč na podporu KVET.</w:t>
            </w:r>
          </w:p>
          <w:p w:rsidR="00742783" w:rsidRPr="002C224A" w:rsidRDefault="00742783" w:rsidP="00742783"/>
          <w:p w:rsidR="006D67F1" w:rsidRPr="002C224A" w:rsidRDefault="00742783" w:rsidP="007D6939">
            <w:r w:rsidRPr="002C224A">
              <w:t>V případě realizovatelné kombinovatelnosti zvýhodněného úvěru s dotační podporou do limitu veřejné podpory je možné alokaci FN zvýšit.</w:t>
            </w:r>
          </w:p>
        </w:tc>
      </w:tr>
    </w:tbl>
    <w:p w:rsidR="006D67F1" w:rsidRPr="002C224A" w:rsidRDefault="00823695" w:rsidP="00823695">
      <w:pPr>
        <w:pStyle w:val="Titulek"/>
      </w:pPr>
      <w:r w:rsidRPr="002C224A">
        <w:t xml:space="preserve">Tabulka </w:t>
      </w:r>
      <w:r w:rsidR="00AC6EB9">
        <w:t>135</w:t>
      </w:r>
      <w:r w:rsidRPr="002C224A">
        <w:t xml:space="preserve">: </w:t>
      </w:r>
      <w:r w:rsidR="00A86EF2" w:rsidRPr="002C224A">
        <w:t>Shrnutí FN SC 3.</w:t>
      </w:r>
      <w:r w:rsidR="00DA3038" w:rsidRPr="002C224A">
        <w:t>5</w:t>
      </w:r>
    </w:p>
    <w:p w:rsidR="006D67F1" w:rsidRPr="002C224A" w:rsidRDefault="006D67F1" w:rsidP="006F771D">
      <w:pPr>
        <w:pStyle w:val="Nadpis3"/>
        <w:rPr>
          <w:rFonts w:ascii="Calibri" w:hAnsi="Calibri"/>
        </w:rPr>
      </w:pPr>
      <w:bookmarkStart w:id="1392" w:name="_Toc416800516"/>
      <w:bookmarkStart w:id="1393" w:name="_Toc421534331"/>
      <w:r w:rsidRPr="002C224A">
        <w:rPr>
          <w:rFonts w:ascii="Calibri" w:hAnsi="Calibri"/>
        </w:rPr>
        <w:t>Specifický cíl 4.1</w:t>
      </w:r>
      <w:bookmarkEnd w:id="1392"/>
      <w:bookmarkEnd w:id="1393"/>
    </w:p>
    <w:p w:rsidR="00001575" w:rsidRPr="000F1064" w:rsidRDefault="006D67F1" w:rsidP="004E448E">
      <w:r w:rsidRPr="00A50943">
        <w:t xml:space="preserve">Na základě tržní analýzy </w:t>
      </w:r>
      <w:r w:rsidR="00001575">
        <w:t>SC</w:t>
      </w:r>
      <w:r w:rsidRPr="00A50943">
        <w:t xml:space="preserve"> 4.1 – “Zvětšit pokrytí</w:t>
      </w:r>
      <w:r w:rsidRPr="002C224A">
        <w:t xml:space="preserve"> vysokorychlostním přístupem k internetu“ </w:t>
      </w:r>
      <w:r w:rsidR="00001575">
        <w:t>dochází předběžné posouzení k závěru, že potenciál pro uplatnění finančních nástrojů v SC 4.1 je</w:t>
      </w:r>
      <w:r w:rsidR="00001575" w:rsidRPr="002C224A">
        <w:t xml:space="preserve"> </w:t>
      </w:r>
      <w:r w:rsidRPr="002C224A">
        <w:t>velmi omezený</w:t>
      </w:r>
      <w:r w:rsidR="00001575">
        <w:t xml:space="preserve"> a nedostatečně pokrývá definované cílové oblasti OP PIK, kam by podpora především měla směřovat</w:t>
      </w:r>
      <w:r w:rsidRPr="002C224A">
        <w:t xml:space="preserve"> </w:t>
      </w:r>
      <w:r w:rsidR="00001575">
        <w:t xml:space="preserve">(„bílá místa“). </w:t>
      </w:r>
      <w:r w:rsidR="00001575" w:rsidRPr="00331BB7">
        <w:rPr>
          <w:b/>
        </w:rPr>
        <w:t>Předběžné posouzení tedy neshledává využití FN v SC 4.1 účelným a navrhuje uplatnit dotační podporu (za podmínky důsledné revize mapování bílých míst ČTÚ)</w:t>
      </w:r>
      <w:r w:rsidR="00001575">
        <w:rPr>
          <w:b/>
        </w:rPr>
        <w:t xml:space="preserve"> </w:t>
      </w:r>
      <w:r w:rsidR="00001575">
        <w:t>podle vzoru dobré praxe z Německé spolkové republiky</w:t>
      </w:r>
      <w:r w:rsidR="00001575" w:rsidRPr="00331BB7">
        <w:rPr>
          <w:b/>
        </w:rPr>
        <w:t>.</w:t>
      </w:r>
    </w:p>
    <w:p w:rsidR="003959A8" w:rsidRDefault="003959A8" w:rsidP="004E448E"/>
    <w:p w:rsidR="00BD5C2C" w:rsidRPr="002C224A" w:rsidRDefault="003959A8" w:rsidP="00BD5C2C">
      <w:r>
        <w:t>FN v oblasti budování NGA sítí lze nicméně využít doplňkově mimo OP PIK, v případě, že bude zájmem ČR zvýšit investice v této oblasti i v jiných než</w:t>
      </w:r>
      <w:r w:rsidR="00BD5C2C">
        <w:t xml:space="preserve"> úzce definovaných</w:t>
      </w:r>
      <w:r>
        <w:t xml:space="preserve"> bílých místech</w:t>
      </w:r>
      <w:r w:rsidR="00BD5C2C">
        <w:t>, které vykazují vyšší návratnost a tržní potenciál</w:t>
      </w:r>
      <w:r>
        <w:t>.</w:t>
      </w:r>
      <w:r w:rsidR="00BD5C2C">
        <w:t xml:space="preserve"> V rámci analýzy možných forem FN pro tento cíl tedy uvádíme indikativní návrhy možných nástrojů, které by mohly být v tomto smyslu využity – např. v rámci Investičního plánu pro Evropu. </w:t>
      </w:r>
      <w:r w:rsidR="00BD5C2C">
        <w:rPr>
          <w:b/>
        </w:rPr>
        <w:t xml:space="preserve">MPO </w:t>
      </w:r>
      <w:r w:rsidR="00BD5C2C" w:rsidRPr="002C224A">
        <w:rPr>
          <w:b/>
        </w:rPr>
        <w:t>zařadí návrh finančního nástroje pro NGA na referenční seznam projektů pro Evropský fond pro strategické investice, který připravuje pro vládu České republiky společně s Ministerstvem financí.</w:t>
      </w:r>
    </w:p>
    <w:p w:rsidR="006D67F1" w:rsidRPr="002C224A" w:rsidRDefault="006D67F1" w:rsidP="004E448E">
      <w:pPr>
        <w:pStyle w:val="Nadpis4"/>
        <w:rPr>
          <w:rFonts w:ascii="Calibri" w:hAnsi="Calibri"/>
        </w:rPr>
      </w:pPr>
      <w:r w:rsidRPr="002C224A">
        <w:rPr>
          <w:rFonts w:ascii="Calibri" w:hAnsi="Calibri"/>
        </w:rPr>
        <w:lastRenderedPageBreak/>
        <w:t xml:space="preserve">Indikativní možnosti implementace finančního nástroje NGA </w:t>
      </w:r>
      <w:r w:rsidR="00B10E84" w:rsidRPr="002C224A">
        <w:rPr>
          <w:rFonts w:ascii="Calibri" w:hAnsi="Calibri"/>
        </w:rPr>
        <w:t>(</w:t>
      </w:r>
      <w:r w:rsidRPr="002C224A">
        <w:rPr>
          <w:rFonts w:ascii="Calibri" w:hAnsi="Calibri"/>
        </w:rPr>
        <w:t>mimo podporu z</w:t>
      </w:r>
      <w:r w:rsidR="00B10E84" w:rsidRPr="002C224A">
        <w:rPr>
          <w:rFonts w:ascii="Calibri" w:hAnsi="Calibri"/>
        </w:rPr>
        <w:t> </w:t>
      </w:r>
      <w:r w:rsidRPr="002C224A">
        <w:rPr>
          <w:rFonts w:ascii="Calibri" w:hAnsi="Calibri"/>
        </w:rPr>
        <w:t>ESIF</w:t>
      </w:r>
      <w:r w:rsidR="00B10E84" w:rsidRPr="002C224A">
        <w:rPr>
          <w:rFonts w:ascii="Calibri" w:hAnsi="Calibri"/>
        </w:rPr>
        <w:t>)</w:t>
      </w:r>
    </w:p>
    <w:p w:rsidR="006D67F1" w:rsidRPr="002C224A" w:rsidRDefault="006D67F1" w:rsidP="004E448E">
      <w:pPr>
        <w:pStyle w:val="CaptionIntroductionparagraph"/>
        <w:rPr>
          <w:rFonts w:ascii="Calibri" w:hAnsi="Calibri"/>
          <w:sz w:val="20"/>
        </w:rPr>
      </w:pPr>
    </w:p>
    <w:p w:rsidR="006D67F1" w:rsidRPr="002C224A" w:rsidRDefault="006D67F1" w:rsidP="00C72C85">
      <w:pPr>
        <w:pStyle w:val="Neslovannadpisy"/>
        <w:rPr>
          <w:bCs/>
          <w:iCs/>
        </w:rPr>
      </w:pPr>
      <w:r w:rsidRPr="00A50943">
        <w:t>Úvěrový nástroj</w:t>
      </w:r>
    </w:p>
    <w:p w:rsidR="006D67F1" w:rsidRPr="00A50943" w:rsidRDefault="007A3F34" w:rsidP="004E448E">
      <w:pPr>
        <w:keepNext/>
        <w:jc w:val="center"/>
      </w:pPr>
      <w:r>
        <w:rPr>
          <w:noProof/>
        </w:rPr>
        <w:drawing>
          <wp:inline distT="0" distB="0" distL="0" distR="0" wp14:anchorId="49CC1421" wp14:editId="352D2050">
            <wp:extent cx="4857750" cy="3676650"/>
            <wp:effectExtent l="0" t="0" r="0" b="0"/>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6057" t="15440" r="23305" b="16386"/>
                    <a:stretch>
                      <a:fillRect/>
                    </a:stretch>
                  </pic:blipFill>
                  <pic:spPr bwMode="auto">
                    <a:xfrm>
                      <a:off x="0" y="0"/>
                      <a:ext cx="4857750" cy="3676650"/>
                    </a:xfrm>
                    <a:prstGeom prst="rect">
                      <a:avLst/>
                    </a:prstGeom>
                    <a:noFill/>
                    <a:ln>
                      <a:noFill/>
                    </a:ln>
                  </pic:spPr>
                </pic:pic>
              </a:graphicData>
            </a:graphic>
          </wp:inline>
        </w:drawing>
      </w:r>
    </w:p>
    <w:p w:rsidR="006D67F1" w:rsidRPr="002C224A" w:rsidRDefault="006D67F1" w:rsidP="004E448E">
      <w:pPr>
        <w:pStyle w:val="Titulek"/>
        <w:jc w:val="center"/>
      </w:pPr>
      <w:r w:rsidRPr="002C224A">
        <w:t>Obrázek</w:t>
      </w:r>
      <w:r w:rsidR="002F4CF9">
        <w:t xml:space="preserve"> </w:t>
      </w:r>
      <w:r w:rsidR="007578E3">
        <w:t>62</w:t>
      </w:r>
      <w:r w:rsidRPr="002C224A">
        <w:t xml:space="preserve">: </w:t>
      </w:r>
      <w:r w:rsidR="00B10E84" w:rsidRPr="002C224A">
        <w:t>Možné s</w:t>
      </w:r>
      <w:r w:rsidRPr="002C224A">
        <w:t xml:space="preserve">chéma fungování úvěrového FN </w:t>
      </w:r>
      <w:r w:rsidR="00B10E84" w:rsidRPr="002C224A">
        <w:t xml:space="preserve">NGA </w:t>
      </w:r>
      <w:r w:rsidRPr="002C224A">
        <w:t>s legendou</w:t>
      </w:r>
    </w:p>
    <w:p w:rsidR="006D67F1" w:rsidRDefault="006D67F1" w:rsidP="004E448E">
      <w:pPr>
        <w:pStyle w:val="BodyText1"/>
        <w:rPr>
          <w:rFonts w:ascii="Calibri" w:hAnsi="Calibri"/>
          <w:b/>
          <w:bCs/>
          <w:iCs/>
        </w:rPr>
      </w:pPr>
    </w:p>
    <w:p w:rsidR="006D67F1" w:rsidRPr="00A50943" w:rsidRDefault="006D67F1" w:rsidP="00C72C85">
      <w:pPr>
        <w:pStyle w:val="Neslovannadpisy"/>
      </w:pPr>
      <w:r w:rsidRPr="00A50943">
        <w:t>Kapitálový nástroj</w:t>
      </w:r>
    </w:p>
    <w:p w:rsidR="006D67F1" w:rsidRPr="002C224A" w:rsidRDefault="007A3F34" w:rsidP="004E448E">
      <w:pPr>
        <w:pStyle w:val="BodyText1"/>
        <w:jc w:val="center"/>
        <w:rPr>
          <w:rFonts w:ascii="Calibri" w:hAnsi="Calibri"/>
          <w:b/>
          <w:bCs/>
          <w:iCs/>
        </w:rPr>
      </w:pPr>
      <w:r w:rsidRPr="002C224A">
        <w:rPr>
          <w:rFonts w:ascii="Calibri" w:hAnsi="Calibri"/>
          <w:noProof/>
          <w:lang w:eastAsia="cs-CZ"/>
        </w:rPr>
        <w:drawing>
          <wp:inline distT="0" distB="0" distL="0" distR="0" wp14:anchorId="1F3D6D3D" wp14:editId="12947E47">
            <wp:extent cx="4895850" cy="2543175"/>
            <wp:effectExtent l="0" t="0" r="0" b="0"/>
            <wp:docPr id="25" name="Obrázek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5850" cy="2543175"/>
                    </a:xfrm>
                    <a:prstGeom prst="rect">
                      <a:avLst/>
                    </a:prstGeom>
                    <a:noFill/>
                    <a:ln>
                      <a:noFill/>
                    </a:ln>
                  </pic:spPr>
                </pic:pic>
              </a:graphicData>
            </a:graphic>
          </wp:inline>
        </w:drawing>
      </w:r>
    </w:p>
    <w:p w:rsidR="006D67F1" w:rsidRPr="00A50943" w:rsidRDefault="007A3F34" w:rsidP="004E448E">
      <w:pPr>
        <w:jc w:val="center"/>
        <w:rPr>
          <w:rFonts w:cs="Arial"/>
          <w:b/>
          <w:bCs/>
          <w:iCs/>
          <w:sz w:val="19"/>
          <w:szCs w:val="24"/>
        </w:rPr>
      </w:pPr>
      <w:r w:rsidRPr="00A50943">
        <w:rPr>
          <w:noProof/>
        </w:rPr>
        <w:lastRenderedPageBreak/>
        <w:drawing>
          <wp:inline distT="0" distB="0" distL="0" distR="0" wp14:anchorId="65BD1759" wp14:editId="22359BF5">
            <wp:extent cx="4752975" cy="2447925"/>
            <wp:effectExtent l="0" t="0" r="9525" b="9525"/>
            <wp:docPr id="26" name="Obráze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2975" cy="2447925"/>
                    </a:xfrm>
                    <a:prstGeom prst="rect">
                      <a:avLst/>
                    </a:prstGeom>
                    <a:noFill/>
                    <a:ln>
                      <a:noFill/>
                    </a:ln>
                  </pic:spPr>
                </pic:pic>
              </a:graphicData>
            </a:graphic>
          </wp:inline>
        </w:drawing>
      </w:r>
    </w:p>
    <w:p w:rsidR="006D67F1" w:rsidRPr="002C224A" w:rsidRDefault="007A3F34" w:rsidP="004E448E">
      <w:pPr>
        <w:keepNext/>
        <w:jc w:val="center"/>
      </w:pPr>
      <w:r w:rsidRPr="00A50943">
        <w:rPr>
          <w:noProof/>
        </w:rPr>
        <w:drawing>
          <wp:inline distT="0" distB="0" distL="0" distR="0" wp14:anchorId="7DACCBAF" wp14:editId="690EF5ED">
            <wp:extent cx="4752975" cy="600075"/>
            <wp:effectExtent l="0" t="0" r="9525" b="9525"/>
            <wp:docPr id="27" name="Obráze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2975" cy="600075"/>
                    </a:xfrm>
                    <a:prstGeom prst="rect">
                      <a:avLst/>
                    </a:prstGeom>
                    <a:noFill/>
                    <a:ln>
                      <a:noFill/>
                    </a:ln>
                  </pic:spPr>
                </pic:pic>
              </a:graphicData>
            </a:graphic>
          </wp:inline>
        </w:drawing>
      </w:r>
    </w:p>
    <w:p w:rsidR="006D67F1" w:rsidRPr="002C224A" w:rsidRDefault="006D67F1" w:rsidP="004E448E">
      <w:pPr>
        <w:pStyle w:val="Titulek"/>
        <w:jc w:val="center"/>
        <w:rPr>
          <w:iCs/>
          <w:color w:val="002776"/>
        </w:rPr>
      </w:pPr>
      <w:r w:rsidRPr="002C224A">
        <w:t>Obrázek</w:t>
      </w:r>
      <w:r w:rsidR="002F4CF9">
        <w:t xml:space="preserve"> </w:t>
      </w:r>
      <w:r w:rsidR="007578E3">
        <w:t>63</w:t>
      </w:r>
      <w:r w:rsidRPr="002C224A">
        <w:t xml:space="preserve">: </w:t>
      </w:r>
      <w:r w:rsidR="00B10E84" w:rsidRPr="002C224A">
        <w:t>Možné s</w:t>
      </w:r>
      <w:r w:rsidRPr="002C224A">
        <w:t xml:space="preserve">chéma fungování kapitálového FN </w:t>
      </w:r>
      <w:r w:rsidR="00B10E84" w:rsidRPr="002C224A">
        <w:t xml:space="preserve">NGA </w:t>
      </w:r>
      <w:r w:rsidRPr="002C224A">
        <w:t>s legendou</w:t>
      </w:r>
    </w:p>
    <w:p w:rsidR="006D67F1" w:rsidRPr="00A50943" w:rsidRDefault="006D67F1" w:rsidP="004E448E"/>
    <w:p w:rsidR="00FC2DF7" w:rsidRPr="002C224A" w:rsidRDefault="00FC2DF7" w:rsidP="00FC2DF7">
      <w:pPr>
        <w:pStyle w:val="Nadpis2"/>
        <w:rPr>
          <w:rFonts w:ascii="Calibri" w:hAnsi="Calibri"/>
        </w:rPr>
      </w:pPr>
      <w:bookmarkStart w:id="1394" w:name="_Toc421195638"/>
      <w:bookmarkStart w:id="1395" w:name="_Toc421195639"/>
      <w:bookmarkStart w:id="1396" w:name="_Toc416909766"/>
      <w:bookmarkStart w:id="1397" w:name="_Toc417545149"/>
      <w:bookmarkStart w:id="1398" w:name="_Toc416384081"/>
      <w:bookmarkStart w:id="1399" w:name="_Toc416384082"/>
      <w:bookmarkStart w:id="1400" w:name="_Toc416384083"/>
      <w:bookmarkStart w:id="1401" w:name="_Toc416384084"/>
      <w:bookmarkStart w:id="1402" w:name="_Toc416384085"/>
      <w:bookmarkStart w:id="1403" w:name="_Toc416384086"/>
      <w:bookmarkStart w:id="1404" w:name="_Toc416384087"/>
      <w:bookmarkStart w:id="1405" w:name="_Toc416384088"/>
      <w:bookmarkStart w:id="1406" w:name="_Toc416384089"/>
      <w:bookmarkStart w:id="1407" w:name="_Toc416384090"/>
      <w:bookmarkStart w:id="1408" w:name="_Toc416384091"/>
      <w:bookmarkStart w:id="1409" w:name="_Toc416384092"/>
      <w:bookmarkStart w:id="1410" w:name="_Toc416384093"/>
      <w:bookmarkStart w:id="1411" w:name="_Toc416384094"/>
      <w:bookmarkStart w:id="1412" w:name="_Toc416384095"/>
      <w:bookmarkStart w:id="1413" w:name="_Toc416384096"/>
      <w:bookmarkStart w:id="1414" w:name="_Toc416384097"/>
      <w:bookmarkStart w:id="1415" w:name="_Toc416384098"/>
      <w:bookmarkStart w:id="1416" w:name="_Toc416384099"/>
      <w:bookmarkStart w:id="1417" w:name="_Toc416384100"/>
      <w:bookmarkStart w:id="1418" w:name="_Toc416384101"/>
      <w:bookmarkStart w:id="1419" w:name="_Toc421534332"/>
      <w:bookmarkStart w:id="1420" w:name="_Toc414464618"/>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Pr="002C224A">
        <w:rPr>
          <w:rFonts w:ascii="Calibri" w:hAnsi="Calibri"/>
        </w:rPr>
        <w:t>Implementace finančních nástrojů</w:t>
      </w:r>
      <w:bookmarkEnd w:id="1419"/>
    </w:p>
    <w:p w:rsidR="006D67F1" w:rsidRPr="002C224A" w:rsidRDefault="006D67F1" w:rsidP="00EF4DC5">
      <w:pPr>
        <w:pStyle w:val="Nadpis3"/>
        <w:rPr>
          <w:rFonts w:ascii="Calibri" w:hAnsi="Calibri"/>
        </w:rPr>
      </w:pPr>
      <w:bookmarkStart w:id="1421" w:name="_Toc419183290"/>
      <w:bookmarkStart w:id="1422" w:name="_Toc416909768"/>
      <w:bookmarkStart w:id="1423" w:name="_Toc421534333"/>
      <w:bookmarkEnd w:id="1421"/>
      <w:r w:rsidRPr="002C224A">
        <w:rPr>
          <w:rFonts w:ascii="Calibri" w:hAnsi="Calibri"/>
        </w:rPr>
        <w:t>Volba implementačního uspořádání</w:t>
      </w:r>
      <w:bookmarkEnd w:id="1422"/>
      <w:bookmarkEnd w:id="1423"/>
    </w:p>
    <w:p w:rsidR="006D67F1" w:rsidRPr="002C224A" w:rsidRDefault="006D67F1" w:rsidP="0010631E">
      <w:r w:rsidRPr="00A50943">
        <w:t>Možnosti implementačního uspořádání uvádí Obecné nařízení v čl. 38. Finan</w:t>
      </w:r>
      <w:r w:rsidRPr="002C224A">
        <w:t>ční nástroje mohou být zřízeny na úrovni Unie a spravované přímo nebo nepřímo Komisí nebo mohou být zřízeny na celostátní, regionální, nadnárodní nebo přeshraniční úrovni, spravované řídicím orgánem nebo na jeho odpovědnost.</w:t>
      </w:r>
    </w:p>
    <w:p w:rsidR="006D67F1" w:rsidRPr="002C224A" w:rsidRDefault="006D67F1" w:rsidP="0010631E"/>
    <w:p w:rsidR="006D67F1" w:rsidRPr="002C224A" w:rsidRDefault="006D67F1" w:rsidP="00701612">
      <w:r w:rsidRPr="002C224A">
        <w:t xml:space="preserve">Finanční nástroj na úrovni EU představují zejména záruční a sekuritizační finanční nástroje tzv. SME initiative připravené v souladu s čl. </w:t>
      </w:r>
      <w:smartTag w:uri="urn:schemas-microsoft-com:office:smarttags" w:element="metricconverter">
        <w:smartTagPr>
          <w:attr w:name="ProductID" w:val="39 a"/>
        </w:smartTagPr>
        <w:r w:rsidRPr="002C224A">
          <w:t>39 a</w:t>
        </w:r>
      </w:smartTag>
      <w:r w:rsidRPr="002C224A">
        <w:t xml:space="preserve"> 40 Obecného nařízení. V rámci SME initiative nesou prostředky operačních programů riziko první ztráty (first piece loss), mezzaninové riziko nese unijní program COSME a jako poslední v řadě EIF/EIB. Finanční nástroje SME initiative jsou standardizované na úrovni Unie, EIF v pozici manažera vybírá finanční zprostředkovatele v jednotlivých členských státech, které o iniciativu projeví zájem.</w:t>
      </w:r>
    </w:p>
    <w:p w:rsidR="006D67F1" w:rsidRPr="002C224A" w:rsidRDefault="006D67F1" w:rsidP="0010631E"/>
    <w:p w:rsidR="006D67F1" w:rsidRPr="002C224A" w:rsidRDefault="006D67F1" w:rsidP="0010631E">
      <w:r w:rsidRPr="002C224A">
        <w:rPr>
          <w:b/>
        </w:rPr>
        <w:t>Řídící orgán OP PIK neuvažuje o vložení prostředků do finančních nástrojů zřízených na úrovni Unie.</w:t>
      </w:r>
      <w:r w:rsidRPr="002C224A">
        <w:t xml:space="preserve"> S touto variantou nepočítá ani Dohoda o partnerství</w:t>
      </w:r>
      <w:r w:rsidR="00B10E84" w:rsidRPr="002C224A">
        <w:t xml:space="preserve"> ani OP PIK</w:t>
      </w:r>
      <w:r w:rsidRPr="002C224A">
        <w:t>. Finanční nástroje OP PIK budou proto s ohledem na celostátní působnost OP PIK (s výjimkou území hlavního města Prahy) zřízeny na celostátní úrovni.</w:t>
      </w:r>
      <w:r w:rsidR="00EF75EC" w:rsidRPr="002C224A">
        <w:t xml:space="preserve"> Obecná metodika EK uvádí, že nástroje na úrovni Unie je vhodné využít zejména v případech, kdy řídící orgán nemá k dispozici dostatečnou technickou nebo odbornou kapacitu či kde chybí kritická masa pro vytvoření samostatného finančního nástroje a zároveň jsou k dispozici standardizované FN na úrovni Unie, pokud jsou zároveň sladěny s cíli OP. Tyto podmínky nejsou v podmínkách implementace OP</w:t>
      </w:r>
      <w:r w:rsidR="008A518B" w:rsidRPr="002C224A">
        <w:t xml:space="preserve"> </w:t>
      </w:r>
      <w:r w:rsidR="00EF75EC" w:rsidRPr="002C224A">
        <w:t>PIK naplněny.</w:t>
      </w:r>
    </w:p>
    <w:p w:rsidR="006D67F1" w:rsidRPr="002C224A" w:rsidRDefault="006D67F1" w:rsidP="0010631E"/>
    <w:p w:rsidR="006D67F1" w:rsidRPr="002C224A" w:rsidRDefault="006D67F1" w:rsidP="0010631E">
      <w:r w:rsidRPr="002C224A">
        <w:rPr>
          <w:b/>
        </w:rPr>
        <w:t>Řídící orgán OP</w:t>
      </w:r>
      <w:r w:rsidR="002D09B7" w:rsidRPr="002C224A">
        <w:rPr>
          <w:b/>
        </w:rPr>
        <w:t xml:space="preserve"> </w:t>
      </w:r>
      <w:r w:rsidRPr="002C224A">
        <w:rPr>
          <w:b/>
        </w:rPr>
        <w:t>PIK naopak uvažuje o možnosti využití kombinace finančních nástrojů OP</w:t>
      </w:r>
      <w:r w:rsidR="002D09B7" w:rsidRPr="002C224A">
        <w:rPr>
          <w:b/>
        </w:rPr>
        <w:t xml:space="preserve"> </w:t>
      </w:r>
      <w:r w:rsidRPr="002C224A">
        <w:rPr>
          <w:b/>
        </w:rPr>
        <w:t>PIK se zdroji připravovaného Evropského fondu pro strategické investice (EFSI) v rámci tzv. Investičního plánu pro Evropu.</w:t>
      </w:r>
      <w:r w:rsidR="00B10E84" w:rsidRPr="002C224A">
        <w:t xml:space="preserve"> Předběžné posouzení doporučuje, aby byly f</w:t>
      </w:r>
      <w:r w:rsidRPr="002C224A">
        <w:t>inanční nástroje OP</w:t>
      </w:r>
      <w:r w:rsidR="007A476A" w:rsidRPr="002C224A">
        <w:t xml:space="preserve"> </w:t>
      </w:r>
      <w:r w:rsidRPr="002C224A">
        <w:t xml:space="preserve">PIK pro malé a střední podniky </w:t>
      </w:r>
      <w:r w:rsidR="00B10E84" w:rsidRPr="002C224A">
        <w:t>dále konzultovány s EIF a EIB z hlediska jejich potenciálního zapojení do Investičního plánu pro Evropu</w:t>
      </w:r>
      <w:r w:rsidRPr="002C224A">
        <w:t>. Dělba rizik v mechanismu EFSI by umožnila především dále zvýšit pákový efekt finančních nástrojů OP</w:t>
      </w:r>
      <w:r w:rsidR="007A476A" w:rsidRPr="002C224A">
        <w:t xml:space="preserve"> </w:t>
      </w:r>
      <w:r w:rsidRPr="002C224A">
        <w:lastRenderedPageBreak/>
        <w:t>PIK a umožnit financovat rizikovější portfolia. Do schématu EFSI se také podle současného návrhu nařízení mohou zapojit národní rozvojové banky, v případě České republiky ČMZRB.</w:t>
      </w:r>
    </w:p>
    <w:p w:rsidR="006D67F1" w:rsidRPr="002C224A" w:rsidRDefault="006D67F1" w:rsidP="0010631E"/>
    <w:p w:rsidR="006D67F1" w:rsidRPr="002C224A" w:rsidRDefault="006D67F1" w:rsidP="0010631E">
      <w:r w:rsidRPr="002C224A">
        <w:t>Pro finanční nástroje zřízené na celostátní úrovni pak může řídící orgán využít:</w:t>
      </w:r>
    </w:p>
    <w:p w:rsidR="006D67F1" w:rsidRPr="002C224A" w:rsidRDefault="006D67F1" w:rsidP="0010631E">
      <w:pPr>
        <w:numPr>
          <w:ilvl w:val="0"/>
          <w:numId w:val="60"/>
        </w:numPr>
      </w:pPr>
      <w:r w:rsidRPr="002C224A">
        <w:t>nástroje, které jsou v souladu se standardními podmínkami stanovenými Komisí (tzv. off-the-shelf finanční nástroje) nebo</w:t>
      </w:r>
    </w:p>
    <w:p w:rsidR="006D67F1" w:rsidRPr="002C224A" w:rsidRDefault="006D67F1" w:rsidP="0010631E">
      <w:pPr>
        <w:numPr>
          <w:ilvl w:val="0"/>
          <w:numId w:val="60"/>
        </w:numPr>
      </w:pPr>
      <w:r w:rsidRPr="002C224A">
        <w:t>již existující nebo nově vytvořené nástroje, které jsou zvlášť navrženy k dosažení specifických cílů stanovených v rámci příslušné priority (tzv. tailor-made finanční nástroje).</w:t>
      </w:r>
    </w:p>
    <w:p w:rsidR="006D67F1" w:rsidRPr="002C224A" w:rsidRDefault="006D67F1" w:rsidP="0010631E"/>
    <w:p w:rsidR="006D67F1" w:rsidRPr="002C224A" w:rsidRDefault="006D67F1" w:rsidP="0010631E">
      <w:r w:rsidRPr="002C224A">
        <w:t>Off-the-shelf finanční nástroje jsou podrobněji popsány v prováděcím nařízení Komise (EU) č. 964/2014</w:t>
      </w:r>
      <w:r w:rsidRPr="002C224A">
        <w:rPr>
          <w:rStyle w:val="Znakapoznpodarou"/>
          <w:rFonts w:ascii="Calibri" w:hAnsi="Calibri"/>
        </w:rPr>
        <w:footnoteReference w:id="72"/>
      </w:r>
      <w:r w:rsidRPr="002C224A">
        <w:t>. Toto nařízení popisuje tři standardizované finanční nástroje, z nichž dva se týkají tematických cílů podporovaných OP PIK, jedná se konkrétně o tyto finanční nástroje:</w:t>
      </w:r>
    </w:p>
    <w:p w:rsidR="006D67F1" w:rsidRPr="002C224A" w:rsidRDefault="006D67F1" w:rsidP="00701612">
      <w:pPr>
        <w:ind w:left="360"/>
      </w:pPr>
    </w:p>
    <w:p w:rsidR="006D67F1" w:rsidRPr="002C224A" w:rsidRDefault="006D67F1" w:rsidP="0010631E">
      <w:pPr>
        <w:numPr>
          <w:ilvl w:val="0"/>
          <w:numId w:val="60"/>
        </w:numPr>
      </w:pPr>
      <w:r w:rsidRPr="002C224A">
        <w:t>Úvěr na portfolio se sdílením rizik (Risk Sharing Loan)</w:t>
      </w:r>
    </w:p>
    <w:p w:rsidR="006D67F1" w:rsidRPr="002C224A" w:rsidRDefault="006D67F1" w:rsidP="0010631E">
      <w:pPr>
        <w:numPr>
          <w:ilvl w:val="0"/>
          <w:numId w:val="60"/>
        </w:numPr>
      </w:pPr>
      <w:r w:rsidRPr="002C224A">
        <w:t>Limitovaná portfoliová záruka (Capped Portfolio Guarantee)</w:t>
      </w:r>
    </w:p>
    <w:p w:rsidR="006D67F1" w:rsidRPr="002C224A" w:rsidRDefault="006D67F1" w:rsidP="0010631E"/>
    <w:p w:rsidR="006D67F1" w:rsidRPr="002C224A" w:rsidRDefault="006D67F1" w:rsidP="0010631E">
      <w:pPr>
        <w:rPr>
          <w:b/>
        </w:rPr>
      </w:pPr>
      <w:r w:rsidRPr="002C224A">
        <w:rPr>
          <w:b/>
        </w:rPr>
        <w:t>Standardizované finanční nástroje nebyly shledány jako plně vyhovující identifikovaným potřebám z následujících důvodů:</w:t>
      </w:r>
    </w:p>
    <w:p w:rsidR="006D67F1" w:rsidRPr="002C224A" w:rsidRDefault="006D67F1" w:rsidP="0010631E">
      <w:pPr>
        <w:numPr>
          <w:ilvl w:val="0"/>
          <w:numId w:val="60"/>
        </w:numPr>
      </w:pPr>
      <w:r w:rsidRPr="002C224A">
        <w:t>identifikované finanční nástroje představují v případě úvěrů a záruk kombinaci několika forem podpory (finanční nástroj a subvence úrokové sazby, případně též grant na technickou přípravu projektu) v návaznosti na provedenou analýzu tržní situace, což podmínky konkrétně těchto dvou off-the-shelf finančních nástrojů neumožňují,</w:t>
      </w:r>
    </w:p>
    <w:p w:rsidR="006D67F1" w:rsidRPr="002C224A" w:rsidRDefault="006D67F1" w:rsidP="0010631E">
      <w:pPr>
        <w:numPr>
          <w:ilvl w:val="0"/>
          <w:numId w:val="60"/>
        </w:numPr>
      </w:pPr>
      <w:r w:rsidRPr="002C224A">
        <w:t>jsou v případě zvýhodněných úvěrů spojeny s  předpokladem poolingu soukromých a veřejných zdrojů včetně zdrojů ESIF u finančního zprostředkovatele. Na základě strukturovaných rozhovorů se zástupci strany nabídky financování se však nejedná o preferovanou variantu spolupráce ze strany subjektů na finančním trhu.</w:t>
      </w:r>
    </w:p>
    <w:p w:rsidR="006D67F1" w:rsidRPr="002C224A" w:rsidRDefault="006D67F1" w:rsidP="0010631E">
      <w:pPr>
        <w:numPr>
          <w:ilvl w:val="0"/>
          <w:numId w:val="60"/>
        </w:numPr>
      </w:pPr>
      <w:r w:rsidRPr="002C224A">
        <w:t>v případě záručních nástrojů by využití off-the-shelf finančního nástroje vedlo k omezení poskytování záruk pouze na větší subjekty na finančním trhu, neboť off-the-shelf nástroj je koncipován jako čistě portfoliová záruka, byl by tedy k dispozici pouze těm finančním zprostředkovatelům, kteří by vytvořili dostatečně rozsáhlé portfolio projektů ke sdílení rizik.</w:t>
      </w:r>
    </w:p>
    <w:p w:rsidR="006D67F1" w:rsidRPr="002C224A" w:rsidRDefault="006D67F1" w:rsidP="0010631E">
      <w:pPr>
        <w:numPr>
          <w:ilvl w:val="0"/>
          <w:numId w:val="60"/>
        </w:numPr>
      </w:pPr>
      <w:r w:rsidRPr="002C224A">
        <w:t xml:space="preserve">v oblasti rizikového kapitálu byla identifikována potřeba cílenější podpory; byť je i v tomto předběžném posouzení doporučeno, aby součástí podpory rizikového kapitálu byl též fond fondů, byly identifikovány vhodnější implementační mechanismy, které povedou k naplnění cílů intervence lépe než off-the-shelf finanční nástroj, tedy např. včetně umožnění případných </w:t>
      </w:r>
      <w:r w:rsidRPr="002C224A">
        <w:rPr>
          <w:i/>
        </w:rPr>
        <w:t>ad hoc</w:t>
      </w:r>
      <w:r w:rsidRPr="002C224A">
        <w:t xml:space="preserve"> koinvestic na úrovni jednotlivých projektů konečných příjemců, zahrnutí specifické podpory pre-seed fáze nebo podpory prostřednictvím kvazikapitálových investic.</w:t>
      </w:r>
    </w:p>
    <w:p w:rsidR="002C568C" w:rsidRPr="002C224A" w:rsidRDefault="002C568C" w:rsidP="0010631E">
      <w:pPr>
        <w:numPr>
          <w:ilvl w:val="0"/>
          <w:numId w:val="60"/>
        </w:numPr>
      </w:pPr>
      <w:r w:rsidRPr="002C224A">
        <w:t>Off the shelf nástroje jsou koncipovány jako podpora de minimis, tj. vyřazují všechny</w:t>
      </w:r>
      <w:r w:rsidR="007A476A" w:rsidRPr="002C224A">
        <w:t xml:space="preserve"> </w:t>
      </w:r>
      <w:r w:rsidRPr="002C224A">
        <w:t>ko</w:t>
      </w:r>
      <w:r w:rsidR="00340A99" w:rsidRPr="002C224A">
        <w:t>ne</w:t>
      </w:r>
      <w:r w:rsidRPr="002C224A">
        <w:t>čné příjemce, kteří již mají aktuálně limit de minimis vyčerpaný-.</w:t>
      </w:r>
    </w:p>
    <w:p w:rsidR="006D67F1" w:rsidRPr="002C224A" w:rsidRDefault="006D67F1" w:rsidP="0010631E"/>
    <w:p w:rsidR="006D67F1" w:rsidRPr="002C224A" w:rsidRDefault="006D67F1" w:rsidP="0010631E">
      <w:pPr>
        <w:rPr>
          <w:b/>
        </w:rPr>
      </w:pPr>
      <w:r w:rsidRPr="002C224A">
        <w:rPr>
          <w:b/>
        </w:rPr>
        <w:t>Všechny finanční nástroje navrhované podle tohoto předběžného posouzení proto představují nástroje tailor-made.</w:t>
      </w:r>
    </w:p>
    <w:p w:rsidR="006D67F1" w:rsidRPr="002C224A" w:rsidRDefault="006D67F1" w:rsidP="0010631E"/>
    <w:p w:rsidR="006D67F1" w:rsidRPr="002C224A" w:rsidRDefault="006D67F1" w:rsidP="0010631E">
      <w:pPr>
        <w:rPr>
          <w:b/>
        </w:rPr>
      </w:pPr>
      <w:r w:rsidRPr="002C224A">
        <w:rPr>
          <w:b/>
        </w:rPr>
        <w:t>Obecné nařízení dále uvádí následující možnosti implementace finančních nástrojů z hlediska správy (typu příjemce):</w:t>
      </w:r>
    </w:p>
    <w:p w:rsidR="006D67F1" w:rsidRPr="002C224A" w:rsidRDefault="006D67F1" w:rsidP="0010631E">
      <w:pPr>
        <w:numPr>
          <w:ilvl w:val="0"/>
          <w:numId w:val="59"/>
        </w:numPr>
      </w:pPr>
      <w:r w:rsidRPr="002C224A">
        <w:t>investovat do kapitálu stávajících nebo nově vytvořených právnických osob (včetně těch, které jsou financovány z jiných fondů ESI), jež se věnují provádění finančních nástrojů v souladu s cíli jednotlivých fondů ESI a jež se ujmou prováděcích úkolů; podpora těchto subjektů je omezena částkou nezbytnou pro provádění nových investic a musí být v souladu s cíli Obecného nařízení;</w:t>
      </w:r>
    </w:p>
    <w:p w:rsidR="006D67F1" w:rsidRPr="002C224A" w:rsidRDefault="006D67F1" w:rsidP="0010631E">
      <w:pPr>
        <w:numPr>
          <w:ilvl w:val="0"/>
          <w:numId w:val="59"/>
        </w:numPr>
      </w:pPr>
      <w:r w:rsidRPr="002C224A">
        <w:t>svěřit prováděcí úkoly:</w:t>
      </w:r>
    </w:p>
    <w:p w:rsidR="006D67F1" w:rsidRPr="002C224A" w:rsidRDefault="006D67F1" w:rsidP="0010631E">
      <w:pPr>
        <w:numPr>
          <w:ilvl w:val="1"/>
          <w:numId w:val="59"/>
        </w:numPr>
      </w:pPr>
      <w:r w:rsidRPr="002C224A">
        <w:lastRenderedPageBreak/>
        <w:t>i) EIB;</w:t>
      </w:r>
    </w:p>
    <w:p w:rsidR="006D67F1" w:rsidRPr="002C224A" w:rsidRDefault="006D67F1" w:rsidP="0010631E">
      <w:pPr>
        <w:numPr>
          <w:ilvl w:val="1"/>
          <w:numId w:val="59"/>
        </w:numPr>
      </w:pPr>
      <w:r w:rsidRPr="002C224A">
        <w:t>ii) mezinárodním finančním institucím, jejichž akcionářem je členský stát, nebo finančním institucím se sídlem v členském státě, jejichž úkolem je dosahovat veřejného zájmu pod kontrolou orgánu veřejné správy;</w:t>
      </w:r>
    </w:p>
    <w:p w:rsidR="006D67F1" w:rsidRPr="002C224A" w:rsidRDefault="006D67F1" w:rsidP="0010631E">
      <w:pPr>
        <w:numPr>
          <w:ilvl w:val="1"/>
          <w:numId w:val="59"/>
        </w:numPr>
      </w:pPr>
      <w:r w:rsidRPr="002C224A">
        <w:t>iii) veřejnoprávnímu nebo soukromoprávnímu subjektu</w:t>
      </w:r>
    </w:p>
    <w:p w:rsidR="006D67F1" w:rsidRPr="002C224A" w:rsidRDefault="006D67F1" w:rsidP="0010631E">
      <w:pPr>
        <w:numPr>
          <w:ilvl w:val="0"/>
          <w:numId w:val="59"/>
        </w:numPr>
      </w:pPr>
      <w:r w:rsidRPr="002C224A">
        <w:t xml:space="preserve">v případě finančních nástrojů, které jsou tvořeny pouze </w:t>
      </w:r>
      <w:r w:rsidR="00D014D3">
        <w:t>úvěry</w:t>
      </w:r>
      <w:r w:rsidR="00D014D3" w:rsidRPr="002C224A">
        <w:t xml:space="preserve"> </w:t>
      </w:r>
      <w:r w:rsidRPr="002C224A">
        <w:t>nebo zárukami, se může řídící orgán ujmout prováděcích úkolů přímo.</w:t>
      </w:r>
    </w:p>
    <w:p w:rsidR="006D67F1" w:rsidRPr="002C224A" w:rsidRDefault="006D67F1" w:rsidP="0010631E"/>
    <w:p w:rsidR="006D67F1" w:rsidRPr="002C224A" w:rsidRDefault="006D67F1" w:rsidP="0010631E">
      <w:r w:rsidRPr="002C224A">
        <w:t>V EU i v České republice existují finanční nástroje jako forma podpory podnikání a dalších oblastí veřejného zájmu. Je proto možné při volbě implementačních variant vyjít zejména z dosavadních zkušeností.</w:t>
      </w:r>
    </w:p>
    <w:p w:rsidR="006D67F1" w:rsidRPr="002C224A" w:rsidRDefault="006D67F1" w:rsidP="0010631E"/>
    <w:p w:rsidR="006D67F1" w:rsidRPr="002C224A" w:rsidRDefault="006D67F1" w:rsidP="0010631E">
      <w:r w:rsidRPr="002C224A">
        <w:t>Ministerstvo průmyslu a obchodu má zejména dlouhodobou zkušenost s </w:t>
      </w:r>
      <w:r w:rsidR="009A0A93" w:rsidRPr="002C224A">
        <w:t>ČMZRB</w:t>
      </w:r>
      <w:r w:rsidRPr="002C224A">
        <w:t xml:space="preserve"> jako správcem finančních nástrojů. ČMZRB má zároveň fungující vnitřní systémy bankovní instituce, působí dlouhodobě na českém finančním trhu, zná proto jeho specifika a potřeby důležité pro vhodné detailní parametrické nastavení jednotlivých finančních produktů v rámci finančních nástrojů. Její zkušenosti zároveň směřují zejména do oblasti malých a středních podniků, pro něž je v tomto předběžném posouzení navrhována většina finančních nástrojů.</w:t>
      </w:r>
    </w:p>
    <w:p w:rsidR="006D67F1" w:rsidRPr="002C224A" w:rsidRDefault="006D67F1" w:rsidP="0010631E"/>
    <w:p w:rsidR="006D67F1" w:rsidRPr="002C224A" w:rsidRDefault="006D67F1" w:rsidP="0010631E">
      <w:r w:rsidRPr="002C224A">
        <w:t>ČMZRB prostřednictvím záruk či zvýhodněných úvěrů v období uplynulých více než 20 let podpořila či přímo poskytla financování malým a středním podnikatelům v celkové výši takřka 120 mld. Kč, z toho více než 4 000 projektů bylo podpořeno ze strukturálních fondů EU. Jako finanční manažer zabezpečila banka za dobu svého působení souhrnné financování projektů rozvoje infrastruktury v celkové výši 141 mld. Kč. Služby banky dosud za dobu její existence využilo 51 tisíc klientů, zejména podnikatelů, obcí, fyzických osob, ministerstev, státních fondů a krajů.</w:t>
      </w:r>
    </w:p>
    <w:p w:rsidR="006D67F1" w:rsidRPr="002C224A" w:rsidRDefault="006D67F1" w:rsidP="0010631E"/>
    <w:p w:rsidR="006D67F1" w:rsidRPr="002C224A" w:rsidRDefault="006D67F1" w:rsidP="0010631E">
      <w:r w:rsidRPr="002C224A">
        <w:t>Investice do kapitálu stávajících nebo nově vytvořených právnických osob připadá v návaznosti na dosavadní zkušenosti v úvahu v oblasti kapitálových vstupů, zejména rizikového kapitálu. V letech 2012-2014 bylo připravováno schéma podpory rizikového kapitálu v rámci OP</w:t>
      </w:r>
      <w:r w:rsidR="009A0A93" w:rsidRPr="002C224A">
        <w:t xml:space="preserve"> </w:t>
      </w:r>
      <w:r w:rsidRPr="002C224A">
        <w:t>PI, pro který MPO založilo společnost ČRUIF, a.s. Podobná implementační schémata existují i v jiných zemích</w:t>
      </w:r>
      <w:r w:rsidRPr="002C224A">
        <w:rPr>
          <w:rStyle w:val="Znakapoznpodarou"/>
          <w:rFonts w:ascii="Calibri" w:hAnsi="Calibri"/>
        </w:rPr>
        <w:footnoteReference w:id="73"/>
      </w:r>
      <w:r w:rsidRPr="002C224A">
        <w:t>. Je proto logické, že řídící orgán OP PIK zvažuje v tomto ohledu navázat na již v minulosti připravované schéma.</w:t>
      </w:r>
    </w:p>
    <w:p w:rsidR="006D67F1" w:rsidRPr="002C224A" w:rsidRDefault="006D67F1" w:rsidP="0010631E"/>
    <w:p w:rsidR="006D67F1" w:rsidRPr="002C224A" w:rsidRDefault="006D67F1" w:rsidP="0010631E">
      <w:r w:rsidRPr="002C224A">
        <w:t>Následující tabulka představuje závěry SWOT analýzy výše uvedených možností správy finančních nástrojů:</w:t>
      </w:r>
    </w:p>
    <w:p w:rsidR="006D67F1" w:rsidRPr="002C224A" w:rsidRDefault="006D67F1" w:rsidP="0010631E"/>
    <w:tbl>
      <w:tblPr>
        <w:tblW w:w="0" w:type="auto"/>
        <w:tblBorders>
          <w:bottom w:val="single" w:sz="4" w:space="0" w:color="72C7E7"/>
          <w:insideH w:val="single" w:sz="4" w:space="0" w:color="72C7E7"/>
        </w:tblBorders>
        <w:tblCellMar>
          <w:top w:w="28" w:type="dxa"/>
          <w:left w:w="28" w:type="dxa"/>
          <w:bottom w:w="28" w:type="dxa"/>
          <w:right w:w="28" w:type="dxa"/>
        </w:tblCellMar>
        <w:tblLook w:val="01E0" w:firstRow="1" w:lastRow="1" w:firstColumn="1" w:lastColumn="1" w:noHBand="0" w:noVBand="0"/>
      </w:tblPr>
      <w:tblGrid>
        <w:gridCol w:w="3022"/>
        <w:gridCol w:w="3025"/>
        <w:gridCol w:w="3025"/>
      </w:tblGrid>
      <w:tr w:rsidR="006D67F1" w:rsidRPr="002C224A" w:rsidTr="00841304">
        <w:tc>
          <w:tcPr>
            <w:tcW w:w="3070" w:type="dxa"/>
            <w:shd w:val="clear" w:color="auto" w:fill="72C7E7"/>
          </w:tcPr>
          <w:p w:rsidR="006D67F1" w:rsidRPr="002C224A" w:rsidRDefault="006D67F1" w:rsidP="006D5135">
            <w:pPr>
              <w:rPr>
                <w:b/>
                <w:color w:val="FFFFFF"/>
                <w:sz w:val="19"/>
              </w:rPr>
            </w:pPr>
          </w:p>
        </w:tc>
        <w:tc>
          <w:tcPr>
            <w:tcW w:w="3071" w:type="dxa"/>
            <w:shd w:val="clear" w:color="auto" w:fill="72C7E7"/>
          </w:tcPr>
          <w:p w:rsidR="006D67F1" w:rsidRPr="002C224A" w:rsidRDefault="006D67F1" w:rsidP="006D5135">
            <w:pPr>
              <w:rPr>
                <w:b/>
                <w:color w:val="FFFFFF"/>
                <w:sz w:val="19"/>
              </w:rPr>
            </w:pPr>
            <w:r w:rsidRPr="002C224A">
              <w:rPr>
                <w:b/>
                <w:color w:val="FFFFFF"/>
                <w:sz w:val="19"/>
              </w:rPr>
              <w:t>Silné stránky</w:t>
            </w:r>
          </w:p>
        </w:tc>
        <w:tc>
          <w:tcPr>
            <w:tcW w:w="3071" w:type="dxa"/>
            <w:shd w:val="clear" w:color="auto" w:fill="72C7E7"/>
          </w:tcPr>
          <w:p w:rsidR="006D67F1" w:rsidRPr="002C224A" w:rsidRDefault="006D67F1" w:rsidP="006D5135">
            <w:pPr>
              <w:rPr>
                <w:b/>
                <w:color w:val="FFFFFF"/>
                <w:sz w:val="19"/>
              </w:rPr>
            </w:pPr>
            <w:r w:rsidRPr="002C224A">
              <w:rPr>
                <w:b/>
                <w:color w:val="FFFFFF"/>
                <w:sz w:val="19"/>
              </w:rPr>
              <w:t>Slabé stránky</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Investovat do kapitálu právnických osob</w:t>
            </w:r>
          </w:p>
        </w:tc>
        <w:tc>
          <w:tcPr>
            <w:tcW w:w="3071" w:type="dxa"/>
            <w:shd w:val="clear" w:color="auto" w:fill="FFFFFF"/>
          </w:tcPr>
          <w:p w:rsidR="006D67F1" w:rsidRPr="002C224A" w:rsidRDefault="006D67F1" w:rsidP="006D5135">
            <w:pPr>
              <w:rPr>
                <w:sz w:val="19"/>
              </w:rPr>
            </w:pPr>
            <w:r w:rsidRPr="002C224A">
              <w:rPr>
                <w:sz w:val="19"/>
              </w:rPr>
              <w:t xml:space="preserve">Tato varianta implementačního uspořádání je vhodná zejména pro kapitálové vstupy, které představují velmi specifickou podporu, která je typicky implementačně oddělena od úvěrových a záručních finančních nástrojů (např. v rámci Skupiny EIB tento typ investic provádí specializovaný EIF, pro KfW HTGF apod.). Silnou stránkou této implementační varianty je zejména možnost akumulace potřebného know-how v okruhu státní správy pro tento typ podpory, která dosud v České republice nefunguje. </w:t>
            </w:r>
          </w:p>
        </w:tc>
        <w:tc>
          <w:tcPr>
            <w:tcW w:w="3071" w:type="dxa"/>
            <w:shd w:val="clear" w:color="auto" w:fill="FFFFFF"/>
          </w:tcPr>
          <w:p w:rsidR="006D67F1" w:rsidRPr="002C224A" w:rsidRDefault="006D67F1" w:rsidP="006D5135">
            <w:pPr>
              <w:rPr>
                <w:sz w:val="19"/>
              </w:rPr>
            </w:pPr>
            <w:r w:rsidRPr="002C224A">
              <w:rPr>
                <w:sz w:val="19"/>
              </w:rPr>
              <w:t>V případě jiných forem finančních nástrojů než kapitálových vstupů, které jsou vyhraněné a představují s ohledem na závěry bloku I. podporu v řádu desítek je tato varianta neefektivní, neboť by znamenala vytvoření nové finanční instituce, která by musela disponovat dostatečnou materiálně-technickou a administrativní kapacitou pro hladkou implementaci tisíců obchodních případů (s ohledem na očekávané výsledky navrhovaných finančních nástrojů).</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lastRenderedPageBreak/>
              <w:t>EIB</w:t>
            </w:r>
          </w:p>
        </w:tc>
        <w:tc>
          <w:tcPr>
            <w:tcW w:w="3071" w:type="dxa"/>
            <w:shd w:val="clear" w:color="auto" w:fill="FFFFFF"/>
          </w:tcPr>
          <w:p w:rsidR="006D67F1" w:rsidRPr="002C224A" w:rsidRDefault="006D67F1" w:rsidP="006D5135">
            <w:pPr>
              <w:rPr>
                <w:sz w:val="19"/>
              </w:rPr>
            </w:pPr>
            <w:r w:rsidRPr="002C224A">
              <w:rPr>
                <w:sz w:val="19"/>
              </w:rPr>
              <w:t xml:space="preserve">Skupina EIB disponuje jednoznačně velmi silným know-how v oblasti implementace finančních nástrojů ze zdrojů rozpočtu EU, nejen z ESIF, ale též unijních a komunitárních programů. Výhodou je také možnost svěření implementačních úkolů na základě přímého zadání, což může zrychlit přípravnou fázi. Skupina EIB spolupracuje </w:t>
            </w:r>
          </w:p>
        </w:tc>
        <w:tc>
          <w:tcPr>
            <w:tcW w:w="3071" w:type="dxa"/>
            <w:shd w:val="clear" w:color="auto" w:fill="FFFFFF"/>
          </w:tcPr>
          <w:p w:rsidR="006D67F1" w:rsidRPr="002C224A" w:rsidRDefault="006D67F1" w:rsidP="006D5135">
            <w:pPr>
              <w:rPr>
                <w:sz w:val="19"/>
              </w:rPr>
            </w:pPr>
            <w:r w:rsidRPr="002C224A">
              <w:rPr>
                <w:sz w:val="19"/>
              </w:rPr>
              <w:t>Slabou stránkou může být delší doba přípravy a nutnost vzájemné adaptace na odlišné právní prostředí. EIB nemá v České republice žádnou pobočku. Byť Skupina EIB spolupracuje na různých, Je tedy možné, že by EIB musela blíže zjišťovat podmínky a specifika českého finančního trhu. Určitou překážkou spolupráce může být chybějící „track record“ užší spolupráce s EIB na vládní úrovni právě v oblasti ESIF. Zároveň je slabou stránku této varianty řešení pokračování schémat po exitu EIB, kdy nemusí být na straně ČR dostatečné know-how k efektivní správě daného nástroje.</w:t>
            </w:r>
          </w:p>
          <w:p w:rsidR="006D67F1" w:rsidRPr="002C224A" w:rsidRDefault="006D67F1" w:rsidP="006D5135">
            <w:pPr>
              <w:rPr>
                <w:sz w:val="19"/>
              </w:rPr>
            </w:pP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 xml:space="preserve">Mezinárodní nebo národní </w:t>
            </w:r>
            <w:r w:rsidR="009A0A93" w:rsidRPr="002C224A">
              <w:rPr>
                <w:b/>
                <w:sz w:val="19"/>
              </w:rPr>
              <w:t>S</w:t>
            </w:r>
            <w:r w:rsidRPr="002C224A">
              <w:rPr>
                <w:b/>
                <w:sz w:val="19"/>
              </w:rPr>
              <w:t>pecializovaná finanční instituce</w:t>
            </w:r>
          </w:p>
        </w:tc>
        <w:tc>
          <w:tcPr>
            <w:tcW w:w="3071" w:type="dxa"/>
            <w:shd w:val="clear" w:color="auto" w:fill="FFFFFF"/>
          </w:tcPr>
          <w:p w:rsidR="006D67F1" w:rsidRPr="002C224A" w:rsidRDefault="006D67F1" w:rsidP="006D5135">
            <w:pPr>
              <w:rPr>
                <w:sz w:val="19"/>
              </w:rPr>
            </w:pPr>
            <w:r w:rsidRPr="002C224A">
              <w:rPr>
                <w:sz w:val="19"/>
              </w:rPr>
              <w:t xml:space="preserve">Česká republika se podílí na řízení a aktivitách řady dalších mezinárodních finančních institucí, nicméně žádná z nich není zaměřena na Evropské strukturální a investiční fondy. Národních specializovanou finanční instituci je např. ČMZRB, která poskytuje podporu prostřednictvím finančních nástrojů od roku </w:t>
            </w:r>
            <w:smartTag w:uri="urn:schemas-microsoft-com:office:smarttags" w:element="metricconverter">
              <w:smartTagPr>
                <w:attr w:name="ProductID" w:val="1992 a"/>
              </w:smartTagPr>
              <w:r w:rsidRPr="002C224A">
                <w:rPr>
                  <w:sz w:val="19"/>
                </w:rPr>
                <w:t>1992 a</w:t>
              </w:r>
            </w:smartTag>
            <w:r w:rsidRPr="002C224A">
              <w:rPr>
                <w:sz w:val="19"/>
              </w:rPr>
              <w:t xml:space="preserve"> je národní rozvojovou bankou 100% vlastněnou Českou republikou. Kromě ČMZRB má Česká republika obchodní podíl v několika dalších vnitrostátních finančních institucích.</w:t>
            </w:r>
          </w:p>
        </w:tc>
        <w:tc>
          <w:tcPr>
            <w:tcW w:w="3071" w:type="dxa"/>
            <w:shd w:val="clear" w:color="auto" w:fill="FFFFFF"/>
          </w:tcPr>
          <w:p w:rsidR="006D67F1" w:rsidRPr="008366D3" w:rsidRDefault="006D67F1" w:rsidP="00397226">
            <w:pPr>
              <w:rPr>
                <w:sz w:val="19"/>
                <w:highlight w:val="yellow"/>
              </w:rPr>
            </w:pPr>
            <w:r w:rsidRPr="00331BB7">
              <w:rPr>
                <w:sz w:val="19"/>
              </w:rPr>
              <w:t>Slabou stránku u většiny mezinárodních i národních finančních institucí, ve kterých má Česká republika obchodní podíl, je fakt, že jejich cílem není provádění podpory z ESIF. Slabou stránkou ČMZRB byly zejména  potíže spojené s</w:t>
            </w:r>
            <w:r w:rsidR="006E3EC6" w:rsidRPr="00331BB7">
              <w:rPr>
                <w:sz w:val="19"/>
              </w:rPr>
              <w:t> </w:t>
            </w:r>
            <w:r w:rsidRPr="00331BB7">
              <w:rPr>
                <w:sz w:val="19"/>
              </w:rPr>
              <w:t>implementací</w:t>
            </w:r>
            <w:r w:rsidR="006E3EC6" w:rsidRPr="00331BB7">
              <w:rPr>
                <w:sz w:val="19"/>
              </w:rPr>
              <w:t xml:space="preserve"> finančních nást</w:t>
            </w:r>
            <w:r w:rsidR="00397226" w:rsidRPr="00331BB7">
              <w:rPr>
                <w:sz w:val="19"/>
              </w:rPr>
              <w:t>r</w:t>
            </w:r>
            <w:r w:rsidR="006E3EC6" w:rsidRPr="00331BB7">
              <w:rPr>
                <w:sz w:val="19"/>
              </w:rPr>
              <w:t>ojů OPPI</w:t>
            </w:r>
            <w:r w:rsidRPr="00331BB7">
              <w:rPr>
                <w:sz w:val="19"/>
              </w:rPr>
              <w:t xml:space="preserve">, a to jak z hlediska kontroly řídícím orgánem, kdy nebylo vyjasněno, zda je ČMZRB zprostředkujícím subjektem nebo příjemcem, tak </w:t>
            </w:r>
            <w:r w:rsidR="006E3EC6" w:rsidRPr="00331BB7">
              <w:rPr>
                <w:sz w:val="19"/>
              </w:rPr>
              <w:t xml:space="preserve">z hlediska auditu EK. Záležitost byla nicméně vyřešena </w:t>
            </w:r>
            <w:r w:rsidR="00397226" w:rsidRPr="00331BB7">
              <w:rPr>
                <w:sz w:val="19"/>
              </w:rPr>
              <w:t>upravením vlastnické struktury ČMZRB.</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Veřejnoprávní nebo soukromoprávní subjekt</w:t>
            </w:r>
          </w:p>
        </w:tc>
        <w:tc>
          <w:tcPr>
            <w:tcW w:w="3071" w:type="dxa"/>
            <w:shd w:val="clear" w:color="auto" w:fill="FFFFFF"/>
          </w:tcPr>
          <w:p w:rsidR="006D67F1" w:rsidRPr="002C224A" w:rsidRDefault="006D67F1" w:rsidP="006D5135">
            <w:pPr>
              <w:rPr>
                <w:sz w:val="19"/>
              </w:rPr>
            </w:pPr>
            <w:r w:rsidRPr="002C224A">
              <w:rPr>
                <w:sz w:val="19"/>
              </w:rPr>
              <w:t>Tato forma svěření implementačních úkolů může potenciálně přinést úsporu nákladů a poplatků za správu, neboť se jedná typicky o svěření implementačních úkolů např. prostřednictvím otevřeného zadávacího řízení.</w:t>
            </w:r>
          </w:p>
        </w:tc>
        <w:tc>
          <w:tcPr>
            <w:tcW w:w="3071" w:type="dxa"/>
            <w:shd w:val="clear" w:color="auto" w:fill="FFFFFF"/>
          </w:tcPr>
          <w:p w:rsidR="006D67F1" w:rsidRPr="002C224A" w:rsidRDefault="006D67F1" w:rsidP="006D5135">
            <w:pPr>
              <w:rPr>
                <w:sz w:val="19"/>
              </w:rPr>
            </w:pPr>
            <w:r w:rsidRPr="002C224A">
              <w:rPr>
                <w:sz w:val="19"/>
              </w:rPr>
              <w:t>Zkušenosti s přípravou podpory rizikového kapitálu OPPI a přípravy úvěrových nástrojů JESSICA ROP Střední Morava a OPPK z období 2007-2013 poukazují na zejména rizika značných zpoždění v harmonogramu spojená s výběrem příjemce pro finanční nástroj v otevřeném zadávacím řízení, která mohou v konečném důsledku ohrozit realizovatelnost finančního nástroje, k čemuž došlo v popsaných případech, kdy ani jeden z těchto nástrojů nebyl spuštěn. Jediný finanční nástroj, který úspěšně využil procesů veřejného zadávání, byl nástroj JESSICA IOP.</w:t>
            </w:r>
          </w:p>
        </w:tc>
      </w:tr>
      <w:tr w:rsidR="006D67F1" w:rsidRPr="002C224A" w:rsidTr="00841304">
        <w:tc>
          <w:tcPr>
            <w:tcW w:w="3070" w:type="dxa"/>
            <w:shd w:val="clear" w:color="auto" w:fill="FFFFFF"/>
          </w:tcPr>
          <w:p w:rsidR="006D67F1" w:rsidRPr="002C224A" w:rsidRDefault="006D67F1" w:rsidP="006D5135">
            <w:pPr>
              <w:rPr>
                <w:b/>
                <w:sz w:val="19"/>
              </w:rPr>
            </w:pPr>
            <w:r w:rsidRPr="002C224A">
              <w:rPr>
                <w:b/>
                <w:sz w:val="19"/>
              </w:rPr>
              <w:t>Řídící orgán</w:t>
            </w:r>
          </w:p>
        </w:tc>
        <w:tc>
          <w:tcPr>
            <w:tcW w:w="3071" w:type="dxa"/>
            <w:shd w:val="clear" w:color="auto" w:fill="FFFFFF"/>
          </w:tcPr>
          <w:p w:rsidR="006D67F1" w:rsidRPr="002C224A" w:rsidRDefault="006D67F1" w:rsidP="006D5135">
            <w:pPr>
              <w:rPr>
                <w:sz w:val="19"/>
              </w:rPr>
            </w:pPr>
            <w:r w:rsidRPr="002C224A">
              <w:rPr>
                <w:sz w:val="19"/>
              </w:rPr>
              <w:t>Výhodou může být tato implementační varianta např. tehdy, když jsou finanční nástroje vnímány jako doplňková podpora a jsou poskytovány v malých objemech (např. v oblastech podpory ESF).</w:t>
            </w:r>
          </w:p>
        </w:tc>
        <w:tc>
          <w:tcPr>
            <w:tcW w:w="3071" w:type="dxa"/>
            <w:shd w:val="clear" w:color="auto" w:fill="FFFFFF"/>
          </w:tcPr>
          <w:p w:rsidR="006D67F1" w:rsidRPr="002C224A" w:rsidRDefault="006D67F1" w:rsidP="006D5135">
            <w:pPr>
              <w:rPr>
                <w:sz w:val="19"/>
              </w:rPr>
            </w:pPr>
            <w:r w:rsidRPr="002C224A">
              <w:rPr>
                <w:sz w:val="19"/>
              </w:rPr>
              <w:t xml:space="preserve">Národní legislativa neumožňuje ústřednímu orgánu státní správy, kterým je Ministerstvo průmyslu a obchodu, poskytovat úvěry a záruky. Agentura pro podporu podnikání a  investic CzechInvest rovněž nemá ve své působnosti poskytování podpory ve formě finančních nástrojů. Jako agentura pro investice a zprostředkující subjekt pro dotační </w:t>
            </w:r>
            <w:r w:rsidRPr="002C224A">
              <w:rPr>
                <w:sz w:val="19"/>
              </w:rPr>
              <w:lastRenderedPageBreak/>
              <w:t>programy navíc nedisponuje potřebnými zkušenostmi, technickým zázemím a administrativní kapacitou pro svěření implementačních úkolů spojených s finančními nástroji.</w:t>
            </w:r>
          </w:p>
        </w:tc>
      </w:tr>
    </w:tbl>
    <w:p w:rsidR="006D67F1" w:rsidRPr="002C224A" w:rsidRDefault="006D67F1" w:rsidP="0010631E"/>
    <w:tbl>
      <w:tblPr>
        <w:tblW w:w="0" w:type="auto"/>
        <w:tblBorders>
          <w:bottom w:val="single" w:sz="4" w:space="0" w:color="72C7E7"/>
          <w:insideH w:val="single" w:sz="4" w:space="0" w:color="72C7E7"/>
        </w:tblBorders>
        <w:tblCellMar>
          <w:top w:w="28" w:type="dxa"/>
          <w:left w:w="28" w:type="dxa"/>
          <w:bottom w:w="28" w:type="dxa"/>
          <w:right w:w="28" w:type="dxa"/>
        </w:tblCellMar>
        <w:tblLook w:val="01E0" w:firstRow="1" w:lastRow="1" w:firstColumn="1" w:lastColumn="1" w:noHBand="0" w:noVBand="0"/>
      </w:tblPr>
      <w:tblGrid>
        <w:gridCol w:w="3023"/>
        <w:gridCol w:w="3029"/>
        <w:gridCol w:w="3020"/>
      </w:tblGrid>
      <w:tr w:rsidR="006D67F1" w:rsidRPr="002C224A" w:rsidTr="00841304">
        <w:tc>
          <w:tcPr>
            <w:tcW w:w="3070" w:type="dxa"/>
            <w:shd w:val="clear" w:color="auto" w:fill="72C7E7"/>
          </w:tcPr>
          <w:p w:rsidR="006D67F1" w:rsidRPr="002C224A" w:rsidRDefault="006D67F1" w:rsidP="006D5135">
            <w:pPr>
              <w:rPr>
                <w:b/>
                <w:color w:val="FFFFFF"/>
                <w:sz w:val="19"/>
              </w:rPr>
            </w:pPr>
          </w:p>
        </w:tc>
        <w:tc>
          <w:tcPr>
            <w:tcW w:w="3071" w:type="dxa"/>
            <w:shd w:val="clear" w:color="auto" w:fill="72C7E7"/>
          </w:tcPr>
          <w:p w:rsidR="006D67F1" w:rsidRPr="002C224A" w:rsidRDefault="006D67F1" w:rsidP="006D5135">
            <w:pPr>
              <w:rPr>
                <w:b/>
                <w:color w:val="FFFFFF"/>
                <w:sz w:val="19"/>
              </w:rPr>
            </w:pPr>
            <w:r w:rsidRPr="002C224A">
              <w:rPr>
                <w:b/>
                <w:color w:val="FFFFFF"/>
                <w:sz w:val="19"/>
              </w:rPr>
              <w:t>Příležitosti</w:t>
            </w:r>
          </w:p>
        </w:tc>
        <w:tc>
          <w:tcPr>
            <w:tcW w:w="3071" w:type="dxa"/>
            <w:shd w:val="clear" w:color="auto" w:fill="72C7E7"/>
          </w:tcPr>
          <w:p w:rsidR="006D67F1" w:rsidRPr="002C224A" w:rsidRDefault="006D67F1" w:rsidP="006D5135">
            <w:pPr>
              <w:rPr>
                <w:b/>
                <w:color w:val="FFFFFF"/>
                <w:sz w:val="19"/>
              </w:rPr>
            </w:pPr>
            <w:r w:rsidRPr="002C224A">
              <w:rPr>
                <w:b/>
                <w:color w:val="FFFFFF"/>
                <w:sz w:val="19"/>
              </w:rPr>
              <w:t>Hrozby</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Investovat do kapitálu právnických osob</w:t>
            </w:r>
          </w:p>
        </w:tc>
        <w:tc>
          <w:tcPr>
            <w:tcW w:w="3071" w:type="dxa"/>
            <w:shd w:val="clear" w:color="auto" w:fill="FFFFFF"/>
          </w:tcPr>
          <w:p w:rsidR="006D67F1" w:rsidRPr="002C224A" w:rsidRDefault="006D67F1" w:rsidP="006D5135">
            <w:pPr>
              <w:rPr>
                <w:sz w:val="19"/>
              </w:rPr>
            </w:pPr>
            <w:r w:rsidRPr="002C224A">
              <w:rPr>
                <w:sz w:val="19"/>
              </w:rPr>
              <w:t>Příležitostí je zejména vytvoření know-how podpory rizikového kapitálu a startupů, které může Česká republika využít i po skončení programového období.</w:t>
            </w:r>
          </w:p>
        </w:tc>
        <w:tc>
          <w:tcPr>
            <w:tcW w:w="3071" w:type="dxa"/>
            <w:shd w:val="clear" w:color="auto" w:fill="FFFFFF"/>
          </w:tcPr>
          <w:p w:rsidR="006D67F1" w:rsidRPr="002C224A" w:rsidRDefault="006D67F1" w:rsidP="006D5135">
            <w:pPr>
              <w:rPr>
                <w:sz w:val="19"/>
              </w:rPr>
            </w:pPr>
            <w:r w:rsidRPr="002C224A">
              <w:rPr>
                <w:sz w:val="19"/>
              </w:rPr>
              <w:t>Opakování scénáře z období 2007-2013, kdy finanční nástroj rizikového kapitálu nebyl vůbec spuštěn zejména z důvodu průtahů správního řízení ÚOHS. Tomu lze předejít spoluprací s EIF a in-house řešením správy finančních nástrojů.</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EIB</w:t>
            </w:r>
          </w:p>
        </w:tc>
        <w:tc>
          <w:tcPr>
            <w:tcW w:w="3071" w:type="dxa"/>
            <w:shd w:val="clear" w:color="auto" w:fill="FFFFFF"/>
          </w:tcPr>
          <w:p w:rsidR="006D67F1" w:rsidRPr="002C224A" w:rsidRDefault="006D67F1" w:rsidP="006D5135">
            <w:pPr>
              <w:rPr>
                <w:sz w:val="19"/>
              </w:rPr>
            </w:pPr>
            <w:r w:rsidRPr="002C224A">
              <w:rPr>
                <w:sz w:val="19"/>
              </w:rPr>
              <w:t>Transfer know-how mezinárodní finanční instituce s nezpochybnitelnou zkušeností v oblasti finančních nástrojů ESIF. Transfer know-how lze zajistit např. prostřednictvím vytvoření společného týmu pro přípravu FN s EIB/EIF.</w:t>
            </w:r>
          </w:p>
        </w:tc>
        <w:tc>
          <w:tcPr>
            <w:tcW w:w="3071" w:type="dxa"/>
            <w:shd w:val="clear" w:color="auto" w:fill="FFFFFF"/>
          </w:tcPr>
          <w:p w:rsidR="006D67F1" w:rsidRPr="002C224A" w:rsidRDefault="006D67F1" w:rsidP="006D5135">
            <w:pPr>
              <w:rPr>
                <w:sz w:val="19"/>
              </w:rPr>
            </w:pPr>
            <w:r w:rsidRPr="002C224A">
              <w:rPr>
                <w:sz w:val="19"/>
              </w:rPr>
              <w:t>Zdlouhavý proces přípravy finančních nástrojů spojený s nutností adaptace EIB/EIF na podmínky České republiky a OP</w:t>
            </w:r>
            <w:r w:rsidR="002D09B7" w:rsidRPr="002C224A">
              <w:rPr>
                <w:sz w:val="19"/>
              </w:rPr>
              <w:t xml:space="preserve"> </w:t>
            </w:r>
            <w:r w:rsidRPr="002C224A">
              <w:rPr>
                <w:sz w:val="19"/>
              </w:rPr>
              <w:t>PIK.</w:t>
            </w:r>
          </w:p>
          <w:p w:rsidR="006D67F1" w:rsidRPr="002C224A" w:rsidRDefault="006D67F1" w:rsidP="006D5135">
            <w:pPr>
              <w:rPr>
                <w:sz w:val="19"/>
              </w:rPr>
            </w:pPr>
            <w:r w:rsidRPr="002C224A">
              <w:rPr>
                <w:sz w:val="19"/>
              </w:rPr>
              <w:t>Rizikem je také fáze exitu EIB/EIF, kdy nemusí být k dispozici na straně státní správy v ČR dostatečné know-how pro pokračování v předávaných aktivitách, což může vést k potížím např. při ukončování finančního nástroje.</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Mezinárodní nebo národní specializovaná finanční instituce</w:t>
            </w:r>
          </w:p>
        </w:tc>
        <w:tc>
          <w:tcPr>
            <w:tcW w:w="3071" w:type="dxa"/>
            <w:shd w:val="clear" w:color="auto" w:fill="FFFFFF"/>
          </w:tcPr>
          <w:p w:rsidR="006D67F1" w:rsidRPr="002C224A" w:rsidRDefault="006D67F1" w:rsidP="006D5135">
            <w:pPr>
              <w:rPr>
                <w:sz w:val="19"/>
              </w:rPr>
            </w:pPr>
            <w:r w:rsidRPr="002C224A">
              <w:rPr>
                <w:sz w:val="19"/>
              </w:rPr>
              <w:t>Příležitostí v případě je zejména vytvoření národního know-how pro provádění finančních nástrojů i po skončení programového období. V tomto ohledu je důležitá též snaha vlády o aktivizaci ČMZRB jako investiční banky České republiky po vzoru úspěšných zahraničních rozvojových bank.</w:t>
            </w:r>
          </w:p>
        </w:tc>
        <w:tc>
          <w:tcPr>
            <w:tcW w:w="3071" w:type="dxa"/>
            <w:shd w:val="clear" w:color="auto" w:fill="FFFFFF"/>
          </w:tcPr>
          <w:p w:rsidR="006D67F1" w:rsidRPr="002C224A" w:rsidRDefault="006D67F1" w:rsidP="006D5135">
            <w:pPr>
              <w:rPr>
                <w:sz w:val="19"/>
              </w:rPr>
            </w:pPr>
            <w:r w:rsidRPr="002C224A">
              <w:rPr>
                <w:sz w:val="19"/>
              </w:rPr>
              <w:t>Opakování scénáře z období 2007-2013, kdy finanční nástroje OP</w:t>
            </w:r>
            <w:r w:rsidR="00994D2A" w:rsidRPr="002C224A">
              <w:rPr>
                <w:sz w:val="19"/>
              </w:rPr>
              <w:t xml:space="preserve"> </w:t>
            </w:r>
            <w:r w:rsidRPr="002C224A">
              <w:rPr>
                <w:sz w:val="19"/>
              </w:rPr>
              <w:t>PI byly spuštěny jako první, nicméně později zaznamenaly významné potíže při auditu EK. Tomu lze předejít zejména důslednější kontrolou a monitoringem procesů, např. zavedením investiční rady, a užší koordinací s EK.</w:t>
            </w:r>
          </w:p>
        </w:tc>
      </w:tr>
      <w:tr w:rsidR="006D67F1" w:rsidRPr="002C224A" w:rsidTr="00841304">
        <w:tc>
          <w:tcPr>
            <w:tcW w:w="3070" w:type="dxa"/>
            <w:shd w:val="clear" w:color="auto" w:fill="FFFFFF"/>
          </w:tcPr>
          <w:p w:rsidR="006D67F1" w:rsidRPr="002C224A" w:rsidRDefault="006D67F1" w:rsidP="00841304">
            <w:pPr>
              <w:jc w:val="left"/>
              <w:rPr>
                <w:b/>
                <w:sz w:val="19"/>
              </w:rPr>
            </w:pPr>
            <w:r w:rsidRPr="002C224A">
              <w:rPr>
                <w:b/>
                <w:sz w:val="19"/>
              </w:rPr>
              <w:t>Veřejnoprávní nebo soukromoprávní subjekt</w:t>
            </w:r>
          </w:p>
        </w:tc>
        <w:tc>
          <w:tcPr>
            <w:tcW w:w="3071" w:type="dxa"/>
            <w:shd w:val="clear" w:color="auto" w:fill="FFFFFF"/>
          </w:tcPr>
          <w:p w:rsidR="006D67F1" w:rsidRPr="002C224A" w:rsidRDefault="006D67F1" w:rsidP="006D5135">
            <w:pPr>
              <w:rPr>
                <w:sz w:val="19"/>
              </w:rPr>
            </w:pPr>
            <w:r w:rsidRPr="002C224A">
              <w:rPr>
                <w:sz w:val="19"/>
              </w:rPr>
              <w:t>Příležitostí je v tomto smyslu zejména kvazi-PPP spolupráce státu a soukromého managera finančního nástroje, která může vést k vzájemnému přenosu know-how</w:t>
            </w:r>
          </w:p>
        </w:tc>
        <w:tc>
          <w:tcPr>
            <w:tcW w:w="3071" w:type="dxa"/>
            <w:shd w:val="clear" w:color="auto" w:fill="FFFFFF"/>
          </w:tcPr>
          <w:p w:rsidR="006D67F1" w:rsidRPr="002C224A" w:rsidRDefault="006D67F1" w:rsidP="006D5135">
            <w:pPr>
              <w:rPr>
                <w:sz w:val="19"/>
              </w:rPr>
            </w:pPr>
            <w:r w:rsidRPr="002C224A">
              <w:rPr>
                <w:sz w:val="19"/>
              </w:rPr>
              <w:t>Hrozbou vyplývající ze slabých stránek je především významné časové zpoždění přípravné fáze finančního nástroje, které může vést až k nerealizaci plánovaných schémat.</w:t>
            </w:r>
          </w:p>
        </w:tc>
      </w:tr>
      <w:tr w:rsidR="006D67F1" w:rsidRPr="002C224A" w:rsidTr="00841304">
        <w:tc>
          <w:tcPr>
            <w:tcW w:w="3070" w:type="dxa"/>
            <w:shd w:val="clear" w:color="auto" w:fill="FFFFFF"/>
          </w:tcPr>
          <w:p w:rsidR="006D67F1" w:rsidRPr="002C224A" w:rsidRDefault="006D67F1" w:rsidP="006D5135">
            <w:pPr>
              <w:rPr>
                <w:b/>
                <w:sz w:val="19"/>
              </w:rPr>
            </w:pPr>
            <w:r w:rsidRPr="002C224A">
              <w:rPr>
                <w:b/>
                <w:sz w:val="19"/>
              </w:rPr>
              <w:t>Řídící orgán</w:t>
            </w:r>
          </w:p>
        </w:tc>
        <w:tc>
          <w:tcPr>
            <w:tcW w:w="3071" w:type="dxa"/>
            <w:shd w:val="clear" w:color="auto" w:fill="FFFFFF"/>
          </w:tcPr>
          <w:p w:rsidR="006D67F1" w:rsidRPr="002C224A" w:rsidRDefault="006D67F1" w:rsidP="006D5135">
            <w:pPr>
              <w:rPr>
                <w:sz w:val="19"/>
              </w:rPr>
            </w:pPr>
            <w:r w:rsidRPr="002C224A">
              <w:rPr>
                <w:sz w:val="19"/>
              </w:rPr>
              <w:t>V případě OP</w:t>
            </w:r>
            <w:r w:rsidR="002D09B7" w:rsidRPr="002C224A">
              <w:rPr>
                <w:sz w:val="19"/>
              </w:rPr>
              <w:t xml:space="preserve"> </w:t>
            </w:r>
            <w:r w:rsidRPr="002C224A">
              <w:rPr>
                <w:sz w:val="19"/>
              </w:rPr>
              <w:t>PIK nelze s ohledem na slabé stránky žádnou příležitost identifikovat.</w:t>
            </w:r>
          </w:p>
        </w:tc>
        <w:tc>
          <w:tcPr>
            <w:tcW w:w="3071" w:type="dxa"/>
            <w:shd w:val="clear" w:color="auto" w:fill="FFFFFF"/>
          </w:tcPr>
          <w:p w:rsidR="006D67F1" w:rsidRPr="002C224A" w:rsidRDefault="006D67F1" w:rsidP="006D5135">
            <w:pPr>
              <w:rPr>
                <w:sz w:val="19"/>
              </w:rPr>
            </w:pPr>
            <w:r w:rsidRPr="002C224A">
              <w:rPr>
                <w:sz w:val="19"/>
              </w:rPr>
              <w:t>Hrozbou vyplývající ze slabých stránek jsou potíže s nastavením implementační struktury a související ohrožení splnění pravidla n+3.</w:t>
            </w:r>
          </w:p>
        </w:tc>
      </w:tr>
    </w:tbl>
    <w:p w:rsidR="00823695" w:rsidRPr="002C224A" w:rsidRDefault="00823695" w:rsidP="00823695">
      <w:pPr>
        <w:pStyle w:val="Titulek"/>
      </w:pPr>
      <w:r w:rsidRPr="002C224A">
        <w:t xml:space="preserve">Tabulka </w:t>
      </w:r>
      <w:r w:rsidR="00AC6EB9">
        <w:t>136</w:t>
      </w:r>
      <w:r w:rsidRPr="002C224A">
        <w:t>: závěry SWOT analýzy výše uvedených možností správy finančních nástrojů</w:t>
      </w:r>
    </w:p>
    <w:p w:rsidR="006D67F1" w:rsidRPr="002C224A" w:rsidRDefault="006D67F1" w:rsidP="00823695">
      <w:pPr>
        <w:pStyle w:val="Titulek"/>
      </w:pPr>
    </w:p>
    <w:p w:rsidR="006D67F1" w:rsidRPr="002C224A" w:rsidRDefault="006D67F1" w:rsidP="0008236A">
      <w:r w:rsidRPr="00A50943">
        <w:t>Na základě závěrů SWOT analýzy, dosavadních zkušeností a v návaznosti na usnesení vlády České republiky č. 85 ze dne 9. února 2015, které uvažuje o centralizaci správy finančních nástrojů v ČMZRB, předběžné poso</w:t>
      </w:r>
      <w:r w:rsidRPr="002C224A">
        <w:t>uzení finančních nástrojů doporučuje:</w:t>
      </w:r>
    </w:p>
    <w:p w:rsidR="006D67F1" w:rsidRPr="002C224A" w:rsidRDefault="006D67F1" w:rsidP="0010631E"/>
    <w:p w:rsidR="006D67F1" w:rsidRPr="002C224A" w:rsidRDefault="006D67F1" w:rsidP="0010631E">
      <w:pPr>
        <w:numPr>
          <w:ilvl w:val="0"/>
          <w:numId w:val="61"/>
        </w:numPr>
        <w:rPr>
          <w:b/>
        </w:rPr>
      </w:pPr>
      <w:r w:rsidRPr="002C224A">
        <w:rPr>
          <w:b/>
        </w:rPr>
        <w:t>v případě finančních nástrojů zahrnujících zvýhodněné úvěry a záruky svěřit implementační úkoly Českomoravské záruční a rozvojové bance, a.s.</w:t>
      </w:r>
      <w:r w:rsidRPr="002C224A">
        <w:t xml:space="preserve"> v souladu s čl. 38, odst. 4 písm. b) ii) a v návaznosti na § 18 odst. 1) písm. e) zákona č. 137/2006 Sb., o veřejných zakázkách a § 5 odst. 1 písm. b) zákona č. 47/2002 Sb., o podpoře malého a středního podnikání,</w:t>
      </w:r>
    </w:p>
    <w:p w:rsidR="006D67F1" w:rsidRPr="002C224A" w:rsidRDefault="006D67F1" w:rsidP="00703AD5">
      <w:pPr>
        <w:ind w:left="360"/>
        <w:rPr>
          <w:b/>
        </w:rPr>
      </w:pPr>
    </w:p>
    <w:p w:rsidR="007D75C6" w:rsidRPr="00437EFF" w:rsidRDefault="007D75C6" w:rsidP="007D75C6">
      <w:pPr>
        <w:pStyle w:val="Odstavecseseznamem"/>
        <w:numPr>
          <w:ilvl w:val="0"/>
          <w:numId w:val="97"/>
        </w:numPr>
        <w:rPr>
          <w:b/>
          <w:bCs/>
        </w:rPr>
      </w:pPr>
      <w:r w:rsidRPr="00437EFF">
        <w:rPr>
          <w:b/>
          <w:bCs/>
        </w:rPr>
        <w:t>v případě finančních nástrojů zahrnujících kapitálové vstupy v SC 1.2 a SC 2.1 investovat do kapitálu stávajících nebo nově vytvořených právnických osob</w:t>
      </w:r>
      <w:r>
        <w:t xml:space="preserve"> v souladu s čl. 38, odst. 4 písm. a) a v návaznosti na § 18 odst. 1) písm. e) zákona č. 137/2006 Sb., o veřejných zakázkách, </w:t>
      </w:r>
      <w:r>
        <w:lastRenderedPageBreak/>
        <w:t xml:space="preserve">případně </w:t>
      </w:r>
      <w:r w:rsidRPr="00437EFF">
        <w:rPr>
          <w:b/>
          <w:bCs/>
        </w:rPr>
        <w:t>svěřit implementační úkoly EIB (EIF) v souladu s čl. 38, odst. 4 písm. b) i). Předběžné posouzení navrhuje vytvoření nového národního subjektu Národní inovační fond, investiční společnost, a.s., avšak zejména na počátku implementace doporučuje spolupráci s EIF, buď přímo formou časově omezené správy FN, nebo využitím poradenství např. při výběru a nastavení podmínek spolupráce s finančními zprostředkovateli a spoluinvestory – v závislosti na konkrétních podmínkách dohody s EIF.</w:t>
      </w:r>
    </w:p>
    <w:p w:rsidR="00654F69" w:rsidRDefault="00654F69" w:rsidP="0008236A"/>
    <w:p w:rsidR="006D67F1" w:rsidRPr="002C224A" w:rsidRDefault="006D67F1" w:rsidP="0008236A">
      <w:r w:rsidRPr="002C224A">
        <w:t xml:space="preserve">Obecné nařízení dále umožňuje finanční nástroje implementovat odděleně, nebo prostřednictvím fondu fondů. </w:t>
      </w:r>
      <w:r w:rsidR="005916EA">
        <w:t>MPO</w:t>
      </w:r>
      <w:r w:rsidRPr="002C224A">
        <w:t xml:space="preserve"> nemá dosud zkušenosti s implementací finančních nástrojů prostřednictvím fondu fondů, nicméně se v současnosti účastní jednání s Ministerstvem financí o studii proveditelnosti centralizace provádění finančních nástrojů prostřednictvím národního fondu fondů ČMZRB.  </w:t>
      </w:r>
      <w:r w:rsidRPr="002C224A">
        <w:rPr>
          <w:b/>
        </w:rPr>
        <w:t>S ohledem na závěry činěné v návrhu investiční strategie v jednotlivých specifických cílech předběžné posouzení doporučuje</w:t>
      </w:r>
      <w:r w:rsidRPr="002C224A">
        <w:t>:</w:t>
      </w:r>
      <w:r w:rsidR="00F33E46" w:rsidRPr="002C224A">
        <w:t xml:space="preserve"> </w:t>
      </w:r>
    </w:p>
    <w:p w:rsidR="006D67F1" w:rsidRPr="002C224A" w:rsidRDefault="006D67F1" w:rsidP="0010631E"/>
    <w:p w:rsidR="006D67F1" w:rsidRPr="002C224A" w:rsidRDefault="006D67F1" w:rsidP="0010631E">
      <w:pPr>
        <w:numPr>
          <w:ilvl w:val="0"/>
          <w:numId w:val="61"/>
        </w:numPr>
      </w:pPr>
      <w:r w:rsidRPr="002C224A">
        <w:rPr>
          <w:b/>
        </w:rPr>
        <w:t>v případě úvěrových finančních nástrojů (kombinovaných typicky se subvencí úrokové sazby nebo též grantem na technickou přípravu projektu) uzavřít jednu dohodu o financování na vytvoření úvěrového fondu u příjemce</w:t>
      </w:r>
      <w:r w:rsidRPr="002C224A">
        <w:t xml:space="preserve">. Tento úvěrový fond bude vnitřně členěn dle jednotlivých prioritních os a specifických cílů. Vzhledem k faktu, že spolupráce s dalšími finančními institucemi není s ohledem na závěry návrhu investiční strategie </w:t>
      </w:r>
      <w:r w:rsidR="00084A59" w:rsidRPr="002C224A">
        <w:t xml:space="preserve">plánována ve smyslu zapojení finančních zprostředkovatelů, ale jako rámcová </w:t>
      </w:r>
      <w:r w:rsidRPr="002C224A">
        <w:t xml:space="preserve">koordinace, nejedná se podle závěrů tohoto předběžného posouzení o fond fondů, ale </w:t>
      </w:r>
      <w:r w:rsidR="009A0A93" w:rsidRPr="002C224A">
        <w:t xml:space="preserve">o </w:t>
      </w:r>
      <w:r w:rsidRPr="002C224A">
        <w:t>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však předběžné posouzení doporučuje projednat schéma úvěrového fondu OP</w:t>
      </w:r>
      <w:r w:rsidR="002D09B7" w:rsidRPr="002C224A">
        <w:t xml:space="preserve"> </w:t>
      </w:r>
      <w:r w:rsidRPr="002C224A">
        <w:t>PIK s Evropskou komisí před jeho spuštěním.</w:t>
      </w:r>
    </w:p>
    <w:p w:rsidR="006D67F1" w:rsidRPr="002C224A" w:rsidRDefault="006D67F1" w:rsidP="0010631E">
      <w:pPr>
        <w:ind w:left="360"/>
      </w:pPr>
    </w:p>
    <w:p w:rsidR="006D67F1" w:rsidRPr="002C224A" w:rsidRDefault="006D67F1" w:rsidP="0010631E">
      <w:pPr>
        <w:numPr>
          <w:ilvl w:val="0"/>
          <w:numId w:val="61"/>
        </w:numPr>
      </w:pPr>
      <w:r w:rsidRPr="002C224A">
        <w:rPr>
          <w:b/>
        </w:rPr>
        <w:t>v případě záručních finančních nástrojů (kombinovaných typicky se subvencí úrokové sazby) uzavřít jednu dohodu o financování na vytvoření záručního fondu u příjemce</w:t>
      </w:r>
      <w:r w:rsidRPr="002C224A">
        <w:t>. Tento úvěrový fond bude vnitřně členěn dle jednotlivých prioritních os a specifických cílů. Podle závěrů tohoto předběžného posouzení se jedná o 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však předběžné posouzení doporučuje projednat schéma záručního fondu OP</w:t>
      </w:r>
      <w:r w:rsidR="002D09B7" w:rsidRPr="002C224A">
        <w:t xml:space="preserve"> </w:t>
      </w:r>
      <w:r w:rsidRPr="002C224A">
        <w:t>PIK s Evropskou komisí před jeho spuštěním.</w:t>
      </w:r>
    </w:p>
    <w:p w:rsidR="006D67F1" w:rsidRPr="002C224A" w:rsidRDefault="006D67F1" w:rsidP="0010631E"/>
    <w:p w:rsidR="007D75C6" w:rsidRDefault="007D75C6" w:rsidP="007D75C6">
      <w:pPr>
        <w:pStyle w:val="Odstavecseseznamem"/>
        <w:numPr>
          <w:ilvl w:val="0"/>
          <w:numId w:val="97"/>
        </w:numPr>
      </w:pPr>
      <w:r w:rsidRPr="00437EFF">
        <w:rPr>
          <w:b/>
          <w:bCs/>
        </w:rPr>
        <w:t>v případě finančních nástrojů kapitálových vstupů uzavřít jednu či dvě dohody o financování. První bude uzavřena s EIF v případě, že bude pověřena přímou správou fondu rizikového kapitálu SC 2.1 v úvodu programovacího období. Druhá bude uzavřena s nově vytvořeným subjektem Národní inovační fond, investiční společnost, a.s.</w:t>
      </w:r>
      <w:r>
        <w:t xml:space="preserve"> S ohledem na specifické tailor-made implementační uspořádání však předběžné posouzení doporučuje projednat schéma záručního fondu OP PIK s Evropskou komisí před jeho spuštěním.</w:t>
      </w:r>
    </w:p>
    <w:p w:rsidR="006D67F1" w:rsidRDefault="006D67F1" w:rsidP="0010631E"/>
    <w:p w:rsidR="00D43CBA" w:rsidRPr="0080748B" w:rsidRDefault="00187EDD" w:rsidP="0010631E">
      <w:r w:rsidRPr="0080748B">
        <w:t>Úhrada poplatků a nákladů na řízení a jejich výše pro</w:t>
      </w:r>
      <w:r w:rsidR="00D43CBA" w:rsidRPr="0080748B">
        <w:t xml:space="preserve"> příjemc</w:t>
      </w:r>
      <w:r w:rsidRPr="0080748B">
        <w:t>e</w:t>
      </w:r>
      <w:r w:rsidR="00D43CBA" w:rsidRPr="0080748B">
        <w:t xml:space="preserve"> a případně též finanční zprostředkovatel</w:t>
      </w:r>
      <w:r w:rsidRPr="0080748B">
        <w:t>e</w:t>
      </w:r>
      <w:r w:rsidR="00D43CBA" w:rsidRPr="0080748B">
        <w:t xml:space="preserve"> by měl</w:t>
      </w:r>
      <w:r w:rsidRPr="0080748B">
        <w:t>a</w:t>
      </w:r>
      <w:r w:rsidR="00D43CBA" w:rsidRPr="0080748B">
        <w:t xml:space="preserve"> být v souladu s aplikovatelnou legislativou, z</w:t>
      </w:r>
      <w:r w:rsidR="00030C52" w:rsidRPr="0080748B">
        <w:t xml:space="preserve">ejména čl. </w:t>
      </w:r>
      <w:smartTag w:uri="urn:schemas-microsoft-com:office:smarttags" w:element="metricconverter">
        <w:smartTagPr>
          <w:attr w:name="ProductID" w:val="13 a"/>
        </w:smartTagPr>
        <w:r w:rsidR="00030C52" w:rsidRPr="0080748B">
          <w:t>13 a</w:t>
        </w:r>
      </w:smartTag>
      <w:r w:rsidR="00030C52" w:rsidRPr="0080748B">
        <w:t xml:space="preserve"> násl. nařízení K</w:t>
      </w:r>
      <w:r w:rsidR="00D43CBA" w:rsidRPr="0080748B">
        <w:t>omise v přenesené pravomoci č. 480/2014.</w:t>
      </w:r>
    </w:p>
    <w:p w:rsidR="00D43CBA" w:rsidRPr="002C224A" w:rsidRDefault="00D43CBA" w:rsidP="0010631E"/>
    <w:p w:rsidR="006D67F1" w:rsidRPr="002C224A" w:rsidRDefault="006D67F1" w:rsidP="0010631E">
      <w:pPr>
        <w:rPr>
          <w:b/>
        </w:rPr>
      </w:pPr>
      <w:r w:rsidRPr="002C224A">
        <w:rPr>
          <w:b/>
        </w:rPr>
        <w:t>Předběžné posouzení finančních nástrojů doporučuje pro tyto konkrétní závěry projednat podobu implementačního uspořádání s Evropskou komisí.</w:t>
      </w:r>
      <w:r w:rsidR="00F33E46" w:rsidRPr="002C224A">
        <w:rPr>
          <w:b/>
        </w:rPr>
        <w:t xml:space="preserve"> </w:t>
      </w:r>
    </w:p>
    <w:p w:rsidR="006D67F1" w:rsidRPr="002C224A" w:rsidRDefault="006D67F1" w:rsidP="0010631E">
      <w:pPr>
        <w:pStyle w:val="Nadpis3"/>
        <w:rPr>
          <w:rFonts w:ascii="Calibri" w:hAnsi="Calibri"/>
        </w:rPr>
      </w:pPr>
      <w:bookmarkStart w:id="1424" w:name="_Toc421534334"/>
      <w:r w:rsidRPr="002C224A">
        <w:rPr>
          <w:rFonts w:ascii="Calibri" w:hAnsi="Calibri"/>
        </w:rPr>
        <w:lastRenderedPageBreak/>
        <w:t>Způsob zajištění finančního a věcného monitoringu provádění finančních nástrojů</w:t>
      </w:r>
      <w:bookmarkEnd w:id="1424"/>
    </w:p>
    <w:p w:rsidR="006D67F1" w:rsidRPr="002C224A" w:rsidRDefault="006D67F1" w:rsidP="0010631E">
      <w:r w:rsidRPr="00A50943">
        <w:t>Náležitosti finančního a věcného monitoringu finančních nástrojů jsou na národní úrovni řešeny zejména v Metodice monitorování 2014-2020 Národního orgánu pro koordinaci a Metodickém p</w:t>
      </w:r>
      <w:r w:rsidRPr="002C224A">
        <w:t>okynu finančních to</w:t>
      </w:r>
      <w:r w:rsidR="0073644A" w:rsidRPr="002C224A">
        <w:t>ků</w:t>
      </w:r>
      <w:r w:rsidRPr="002C224A">
        <w:t>. Základní principy v rámci OP</w:t>
      </w:r>
      <w:r w:rsidR="002D09B7" w:rsidRPr="002C224A">
        <w:t xml:space="preserve"> </w:t>
      </w:r>
      <w:r w:rsidRPr="002C224A">
        <w:t xml:space="preserve">PIK jsou dále řešeny v nepovinné příloze č. </w:t>
      </w:r>
      <w:smartTag w:uri="urn:schemas-microsoft-com:office:smarttags" w:element="metricconverter">
        <w:smartTagPr>
          <w:attr w:name="ProductID" w:val="3 a"/>
        </w:smartTagPr>
        <w:r w:rsidRPr="002C224A">
          <w:t>3 a</w:t>
        </w:r>
      </w:smartTag>
      <w:r w:rsidRPr="002C224A">
        <w:t xml:space="preserve"> metodické dokumentaci OP</w:t>
      </w:r>
      <w:r w:rsidR="002D09B7" w:rsidRPr="002C224A">
        <w:t xml:space="preserve"> </w:t>
      </w:r>
      <w:r w:rsidRPr="002C224A">
        <w:t>PIK, která je v současnosti v přípravě.</w:t>
      </w:r>
    </w:p>
    <w:p w:rsidR="005916EA" w:rsidRDefault="005916EA" w:rsidP="0010631E"/>
    <w:p w:rsidR="005916EA" w:rsidRDefault="00030E3E" w:rsidP="0010631E">
      <w:r w:rsidRPr="00331BB7">
        <w:t>Požadavky na sběr dat a pravidelný i ad hoc věcný a finanční monitoring dle indikátorů navrhovaných v předběžném posouzení budou určeny v dohodě o financování mezi ŘO a příjemcem. Příjemce (správce FN) bude zodpovědný za sběr dat od konečných příjemců. ŘO bude sledov</w:t>
      </w:r>
      <w:r w:rsidR="004F415B" w:rsidRPr="00331BB7">
        <w:t xml:space="preserve">at </w:t>
      </w:r>
      <w:r w:rsidRPr="00331BB7">
        <w:t xml:space="preserve">monitorovacích </w:t>
      </w:r>
      <w:r w:rsidR="004F415B" w:rsidRPr="00331BB7">
        <w:t>zprávy příjemce a</w:t>
      </w:r>
      <w:r w:rsidRPr="00331BB7">
        <w:t xml:space="preserve"> provád</w:t>
      </w:r>
      <w:r w:rsidR="004F415B" w:rsidRPr="00331BB7">
        <w:t>ět</w:t>
      </w:r>
      <w:r w:rsidRPr="00331BB7">
        <w:t xml:space="preserve"> kontrolní činnost.</w:t>
      </w:r>
    </w:p>
    <w:p w:rsidR="00030E3E" w:rsidRPr="002C224A" w:rsidRDefault="00030E3E" w:rsidP="0010631E"/>
    <w:p w:rsidR="006D67F1" w:rsidRPr="002C224A" w:rsidRDefault="006D67F1" w:rsidP="0010631E"/>
    <w:p w:rsidR="006D67F1" w:rsidRPr="002C224A" w:rsidRDefault="00B06B3F" w:rsidP="0010631E">
      <w:r>
        <w:t xml:space="preserve">V případě FN je udržitelnost projektu </w:t>
      </w:r>
      <w:r w:rsidRPr="00852E03">
        <w:t>podle čl. 71 Obecného nařízení</w:t>
      </w:r>
      <w:r>
        <w:t xml:space="preserve"> dána zejména schopností konečného příjemce dostát svým závazkům vůči FN (schopností splácet). </w:t>
      </w:r>
      <w:r w:rsidR="006D67F1" w:rsidRPr="002C224A">
        <w:t>Předběžné posouzení</w:t>
      </w:r>
      <w:r>
        <w:t xml:space="preserve"> z toho důvodu</w:t>
      </w:r>
      <w:r w:rsidR="006D67F1" w:rsidRPr="002C224A">
        <w:t xml:space="preserve"> nedoporučuje stanovení závazných indikátorů </w:t>
      </w:r>
      <w:r w:rsidR="00C3768F">
        <w:t xml:space="preserve">k naplnění </w:t>
      </w:r>
      <w:r w:rsidR="006D67F1" w:rsidRPr="002C224A">
        <w:t>pro konečné příjemce.</w:t>
      </w:r>
    </w:p>
    <w:p w:rsidR="006D67F1" w:rsidRPr="002C224A" w:rsidRDefault="006D67F1" w:rsidP="0010631E"/>
    <w:p w:rsidR="006D67F1" w:rsidRPr="002C224A" w:rsidRDefault="006D67F1" w:rsidP="008E37E7">
      <w:r w:rsidRPr="00331BB7">
        <w:t xml:space="preserve">Předběžné posouzení proto doporučuje tzv. řešení v MS2014+ „bez výzvy“, tedy evidenci údajů o provádění finančních nástrojů včetně údajů o projektech konečných příjemců na základě datové věty nebo přímé nahrání údajů </w:t>
      </w:r>
      <w:r w:rsidR="004F415B" w:rsidRPr="00331BB7">
        <w:t xml:space="preserve">o projektech konečných příjemců </w:t>
      </w:r>
      <w:r w:rsidRPr="00331BB7">
        <w:t>do databáze MS2014+.</w:t>
      </w:r>
      <w:r w:rsidR="004F415B" w:rsidRPr="004F415B">
        <w:t xml:space="preserve"> </w:t>
      </w:r>
      <w:r w:rsidR="004F415B">
        <w:t>Ú</w:t>
      </w:r>
      <w:r w:rsidR="004F415B" w:rsidRPr="00331BB7">
        <w:t>věrové instituce nebo investiční fondy zapojené do provádění finančních nástrojů disponují vlastními auditovanými informačními systémy.</w:t>
      </w:r>
    </w:p>
    <w:p w:rsidR="006D67F1" w:rsidRPr="002C224A" w:rsidRDefault="006D67F1" w:rsidP="0010631E"/>
    <w:p w:rsidR="006D67F1" w:rsidRPr="002C224A" w:rsidRDefault="006D67F1" w:rsidP="0010631E">
      <w:pPr>
        <w:pStyle w:val="Nadpis2"/>
        <w:rPr>
          <w:rFonts w:ascii="Calibri" w:hAnsi="Calibri"/>
        </w:rPr>
      </w:pPr>
      <w:bookmarkStart w:id="1425" w:name="_Toc421534335"/>
      <w:r w:rsidRPr="002C224A">
        <w:rPr>
          <w:rFonts w:ascii="Calibri" w:hAnsi="Calibri"/>
        </w:rPr>
        <w:t>Průřezové závěry návrhu investiční strategie</w:t>
      </w:r>
      <w:bookmarkEnd w:id="1425"/>
    </w:p>
    <w:p w:rsidR="006D67F1" w:rsidRPr="002C224A" w:rsidRDefault="006D67F1" w:rsidP="0010631E">
      <w:pPr>
        <w:pStyle w:val="Nadpis3"/>
        <w:rPr>
          <w:rFonts w:ascii="Calibri" w:hAnsi="Calibri"/>
        </w:rPr>
      </w:pPr>
      <w:bookmarkStart w:id="1426" w:name="_Toc421534336"/>
      <w:r w:rsidRPr="002C224A">
        <w:rPr>
          <w:rFonts w:ascii="Calibri" w:hAnsi="Calibri"/>
        </w:rPr>
        <w:t>Kombinace finančních nástrojů s dalšími formami podpory</w:t>
      </w:r>
      <w:bookmarkEnd w:id="1426"/>
    </w:p>
    <w:p w:rsidR="007A3667" w:rsidRPr="00331BB7" w:rsidRDefault="007A3667" w:rsidP="008366D3">
      <w:r w:rsidRPr="00331BB7">
        <w:t>Finanční nástroje lze kombinovat s granty, se subvencemi úrokových sazeb a se subvencemi poplatků za záruky podle</w:t>
      </w:r>
      <w:r w:rsidR="006D67F1" w:rsidRPr="00331BB7">
        <w:t xml:space="preserve"> čl. 37 odst. </w:t>
      </w:r>
      <w:smartTag w:uri="urn:schemas-microsoft-com:office:smarttags" w:element="metricconverter">
        <w:smartTagPr>
          <w:attr w:name="ProductID" w:val="7 a"/>
        </w:smartTagPr>
        <w:r w:rsidR="006D67F1" w:rsidRPr="00331BB7">
          <w:t xml:space="preserve">7 </w:t>
        </w:r>
        <w:r w:rsidR="001F73F6" w:rsidRPr="00331BB7">
          <w:t>a</w:t>
        </w:r>
      </w:smartTag>
      <w:r w:rsidR="00923DBF" w:rsidRPr="00331BB7">
        <w:t xml:space="preserve"> odst. 8</w:t>
      </w:r>
      <w:r w:rsidR="006D67F1" w:rsidRPr="00331BB7">
        <w:t xml:space="preserve"> </w:t>
      </w:r>
      <w:r w:rsidR="00923DBF" w:rsidRPr="00331BB7">
        <w:t xml:space="preserve">Obecného nařízení. </w:t>
      </w:r>
      <w:r w:rsidR="001F73F6" w:rsidRPr="00331BB7">
        <w:t>Dle těchto dvou odstavců můžeme možnou kombinaci FN s dalšími formami podpory rozdělit na dva případy:</w:t>
      </w:r>
    </w:p>
    <w:p w:rsidR="007A627B" w:rsidRPr="00331BB7" w:rsidRDefault="007A3667" w:rsidP="008366D3">
      <w:pPr>
        <w:numPr>
          <w:ilvl w:val="0"/>
          <w:numId w:val="95"/>
        </w:numPr>
        <w:rPr>
          <w:rFonts w:cs="EUAlbertina"/>
          <w:color w:val="000000"/>
          <w:szCs w:val="19"/>
        </w:rPr>
      </w:pPr>
      <w:r w:rsidRPr="00331BB7">
        <w:rPr>
          <w:b/>
        </w:rPr>
        <w:t>FN kombinované s dalším druhem podpory v rámci jedné operace</w:t>
      </w:r>
      <w:r w:rsidRPr="00331BB7">
        <w:t xml:space="preserve"> – to se týká příspěvku na technickou přípravu projektu, </w:t>
      </w:r>
      <w:r w:rsidR="007A627B" w:rsidRPr="00331BB7">
        <w:t>subvenc</w:t>
      </w:r>
      <w:r w:rsidR="00DB5D0A" w:rsidRPr="00331BB7">
        <w:t>e</w:t>
      </w:r>
      <w:r w:rsidR="007A627B" w:rsidRPr="00331BB7">
        <w:t xml:space="preserve"> úrokové </w:t>
      </w:r>
      <w:r w:rsidR="00DB5D0A" w:rsidRPr="00331BB7">
        <w:t xml:space="preserve">sazby </w:t>
      </w:r>
      <w:r w:rsidR="007A627B" w:rsidRPr="00331BB7">
        <w:t>a subvenc</w:t>
      </w:r>
      <w:r w:rsidR="00DB5D0A" w:rsidRPr="00331BB7">
        <w:t>e</w:t>
      </w:r>
      <w:r w:rsidR="007A627B" w:rsidRPr="00331BB7">
        <w:t xml:space="preserve"> poplatku za záruku. Tato doplňková podpora bude</w:t>
      </w:r>
      <w:r w:rsidR="00531C64" w:rsidRPr="00331BB7">
        <w:t xml:space="preserve"> určena pro stejného konečného příjemce jako FN a bude</w:t>
      </w:r>
      <w:r w:rsidR="007A627B" w:rsidRPr="00331BB7">
        <w:t xml:space="preserve"> poskytována správcem FN nebo přímo ŘO</w:t>
      </w:r>
      <w:r w:rsidR="00923DBF" w:rsidRPr="00331BB7">
        <w:t>.</w:t>
      </w:r>
      <w:r w:rsidR="007A627B" w:rsidRPr="00331BB7">
        <w:t>;</w:t>
      </w:r>
    </w:p>
    <w:p w:rsidR="00433FCD" w:rsidRPr="00331BB7" w:rsidRDefault="001F73F6" w:rsidP="008366D3">
      <w:pPr>
        <w:numPr>
          <w:ilvl w:val="0"/>
          <w:numId w:val="95"/>
        </w:numPr>
        <w:rPr>
          <w:b/>
        </w:rPr>
      </w:pPr>
      <w:r w:rsidRPr="00331BB7">
        <w:rPr>
          <w:b/>
        </w:rPr>
        <w:t>FN a další podpora z ESIF jsou kombinovány</w:t>
      </w:r>
      <w:r w:rsidR="001725BB" w:rsidRPr="00331BB7">
        <w:rPr>
          <w:b/>
        </w:rPr>
        <w:t xml:space="preserve"> v rámci jednoho či více SC</w:t>
      </w:r>
      <w:r w:rsidRPr="00331BB7">
        <w:rPr>
          <w:b/>
        </w:rPr>
        <w:t xml:space="preserve"> </w:t>
      </w:r>
      <w:r w:rsidR="0068594C" w:rsidRPr="00331BB7">
        <w:rPr>
          <w:b/>
        </w:rPr>
        <w:t>jako oddělené operace.</w:t>
      </w:r>
      <w:r w:rsidR="0068594C" w:rsidRPr="00331BB7">
        <w:t xml:space="preserve"> Podpora musí směřovat na odlišné způsobilé výdaje a nesmí přesáhnout limity veřejné podpory. Tento případ se týká kombinace FN s </w:t>
      </w:r>
      <w:r w:rsidR="00187EDD">
        <w:t>grantovou</w:t>
      </w:r>
      <w:r w:rsidR="00187EDD" w:rsidRPr="00331BB7">
        <w:t xml:space="preserve"> </w:t>
      </w:r>
      <w:r w:rsidR="0068594C" w:rsidRPr="00331BB7">
        <w:t>podporou mimo uvedené případy v bodě 1)</w:t>
      </w:r>
      <w:r w:rsidR="00580A89" w:rsidRPr="00331BB7">
        <w:t>, obdobně se vztahuje též na kombinaci s tzv. repayable assistance.</w:t>
      </w:r>
      <w:r w:rsidR="0068594C" w:rsidRPr="00331BB7">
        <w:t xml:space="preserve"> </w:t>
      </w:r>
      <w:r w:rsidR="00580A89" w:rsidRPr="00331BB7">
        <w:t xml:space="preserve">FN nesmí být </w:t>
      </w:r>
      <w:r w:rsidR="001C1AB5">
        <w:t xml:space="preserve">podle Obecného nařízení </w:t>
      </w:r>
      <w:r w:rsidR="00580A89" w:rsidRPr="00331BB7">
        <w:t>využit</w:t>
      </w:r>
      <w:r w:rsidR="001725BB" w:rsidRPr="00331BB7">
        <w:t xml:space="preserve"> na předfinancování </w:t>
      </w:r>
      <w:r w:rsidR="00187EDD">
        <w:t>grantu</w:t>
      </w:r>
      <w:r w:rsidR="00187EDD" w:rsidRPr="00331BB7">
        <w:t xml:space="preserve"> </w:t>
      </w:r>
      <w:r w:rsidR="001725BB" w:rsidRPr="00331BB7">
        <w:t xml:space="preserve">a </w:t>
      </w:r>
      <w:r w:rsidR="00187EDD">
        <w:t>grant</w:t>
      </w:r>
      <w:r w:rsidR="00DB6327">
        <w:t xml:space="preserve"> </w:t>
      </w:r>
      <w:r w:rsidR="001725BB" w:rsidRPr="00331BB7">
        <w:t>nesmí být užita na uhrazení splátky podpory FN.</w:t>
      </w:r>
      <w:r w:rsidR="00AD1C17" w:rsidRPr="00331BB7">
        <w:t xml:space="preserve"> </w:t>
      </w:r>
      <w:r w:rsidR="00187EDD">
        <w:t xml:space="preserve">Z hlediska české právní úpravy je možné grant vnímat zejména jako dotaci nebo finanční příspěvek (pokud se nejedná o finanční příspěvek např. na úhradu úroků). </w:t>
      </w:r>
      <w:r w:rsidR="00AD1C17" w:rsidRPr="00331BB7">
        <w:t xml:space="preserve">V dalším textu bude tato kombinace zjednodušeně označována jako </w:t>
      </w:r>
      <w:r w:rsidR="00AD1C17" w:rsidRPr="00331BB7">
        <w:rPr>
          <w:b/>
        </w:rPr>
        <w:t xml:space="preserve">kombinace </w:t>
      </w:r>
      <w:r w:rsidR="00B436E4" w:rsidRPr="00331BB7">
        <w:rPr>
          <w:b/>
        </w:rPr>
        <w:t xml:space="preserve">FN </w:t>
      </w:r>
      <w:r w:rsidR="00AD1C17" w:rsidRPr="00331BB7">
        <w:rPr>
          <w:b/>
        </w:rPr>
        <w:t>s</w:t>
      </w:r>
      <w:r w:rsidR="00187EDD">
        <w:rPr>
          <w:b/>
        </w:rPr>
        <w:t> </w:t>
      </w:r>
      <w:r w:rsidR="00AD1C17" w:rsidRPr="00331BB7">
        <w:rPr>
          <w:b/>
        </w:rPr>
        <w:t>dotací</w:t>
      </w:r>
      <w:r w:rsidR="00187EDD">
        <w:rPr>
          <w:b/>
        </w:rPr>
        <w:t xml:space="preserve"> (grantem)</w:t>
      </w:r>
      <w:r w:rsidR="00AD1C17" w:rsidRPr="00331BB7">
        <w:rPr>
          <w:b/>
        </w:rPr>
        <w:t>.</w:t>
      </w:r>
      <w:r w:rsidR="00343403" w:rsidRPr="00331BB7">
        <w:rPr>
          <w:b/>
        </w:rPr>
        <w:t xml:space="preserve"> </w:t>
      </w:r>
    </w:p>
    <w:p w:rsidR="00544909" w:rsidRPr="00331BB7" w:rsidRDefault="00544909" w:rsidP="00433FCD">
      <w:pPr>
        <w:pStyle w:val="Odstavecseseznamem1"/>
        <w:overflowPunct/>
        <w:autoSpaceDE/>
        <w:autoSpaceDN/>
        <w:adjustRightInd/>
        <w:spacing w:after="120"/>
        <w:ind w:left="0"/>
        <w:textAlignment w:val="auto"/>
      </w:pPr>
    </w:p>
    <w:p w:rsidR="00343403" w:rsidRPr="00331BB7" w:rsidRDefault="00343403" w:rsidP="00433FCD">
      <w:pPr>
        <w:pStyle w:val="Odstavecseseznamem1"/>
        <w:overflowPunct/>
        <w:autoSpaceDE/>
        <w:autoSpaceDN/>
        <w:adjustRightInd/>
        <w:spacing w:after="120"/>
        <w:ind w:left="0"/>
        <w:textAlignment w:val="auto"/>
        <w:rPr>
          <w:b/>
        </w:rPr>
      </w:pPr>
      <w:r w:rsidRPr="00331BB7">
        <w:rPr>
          <w:b/>
        </w:rPr>
        <w:t xml:space="preserve">Kombinaci FN s dalšími druhy podpory podle bodu 1) doporučujeme s ohledem na identifikovaná tržní selhání a jejich řešení aplikovat u všech navrhovaných SC, viz detailní popis </w:t>
      </w:r>
      <w:r w:rsidR="00E43E85">
        <w:rPr>
          <w:b/>
        </w:rPr>
        <w:t xml:space="preserve">finančních </w:t>
      </w:r>
      <w:r w:rsidRPr="00331BB7">
        <w:rPr>
          <w:b/>
        </w:rPr>
        <w:t xml:space="preserve">nástrojů. Kombinace dotace s FN dle bodu 2) je dle našeho názoru potenciálně využitelná v případě SC 1.2, 2.3, 3.1, </w:t>
      </w:r>
      <w:smartTag w:uri="urn:schemas-microsoft-com:office:smarttags" w:element="metricconverter">
        <w:smartTagPr>
          <w:attr w:name="ProductID" w:val="3.2 a"/>
        </w:smartTagPr>
        <w:r w:rsidRPr="00331BB7">
          <w:rPr>
            <w:b/>
          </w:rPr>
          <w:t>3.2 a</w:t>
        </w:r>
      </w:smartTag>
      <w:r w:rsidRPr="00331BB7">
        <w:rPr>
          <w:b/>
        </w:rPr>
        <w:t xml:space="preserve"> 3.5</w:t>
      </w:r>
      <w:r w:rsidR="002D56F4" w:rsidRPr="00331BB7">
        <w:rPr>
          <w:b/>
        </w:rPr>
        <w:t>, kde za určitých okolností umožní rozšíření použití FN</w:t>
      </w:r>
      <w:r w:rsidR="00D41C0E" w:rsidRPr="00331BB7">
        <w:rPr>
          <w:b/>
        </w:rPr>
        <w:t xml:space="preserve"> a jeho efektivní provázání s dotovanými projekty</w:t>
      </w:r>
      <w:r w:rsidRPr="00331BB7">
        <w:rPr>
          <w:b/>
        </w:rPr>
        <w:t>.</w:t>
      </w:r>
    </w:p>
    <w:p w:rsidR="00343403" w:rsidRDefault="00343403" w:rsidP="00433FCD">
      <w:pPr>
        <w:pStyle w:val="Odstavecseseznamem1"/>
        <w:overflowPunct/>
        <w:autoSpaceDE/>
        <w:autoSpaceDN/>
        <w:adjustRightInd/>
        <w:spacing w:after="120"/>
        <w:ind w:left="0"/>
        <w:textAlignment w:val="auto"/>
      </w:pPr>
    </w:p>
    <w:p w:rsidR="00E43E85" w:rsidRPr="00331BB7" w:rsidRDefault="00E43E85" w:rsidP="00433FCD">
      <w:pPr>
        <w:pStyle w:val="Odstavecseseznamem1"/>
        <w:overflowPunct/>
        <w:autoSpaceDE/>
        <w:autoSpaceDN/>
        <w:adjustRightInd/>
        <w:spacing w:after="120"/>
        <w:ind w:left="0"/>
        <w:textAlignment w:val="auto"/>
      </w:pPr>
      <w:r>
        <w:t xml:space="preserve">V době zpracování předběžného posouzení </w:t>
      </w:r>
      <w:r w:rsidR="0069764E">
        <w:t>jsou</w:t>
      </w:r>
      <w:r>
        <w:t xml:space="preserve"> k dispozici </w:t>
      </w:r>
      <w:r w:rsidR="0069764E">
        <w:t>pouze návrh metodického pokynu Komise k repayable assistance a návrh metodického pokynu Komise ke kombinaci různých forem podpory. Text předběžného posouzení proto z hlediska možné kombinace forem podpor vychází pouze z těchto návrhů, které mohou být v budoucnu upraveny.</w:t>
      </w:r>
    </w:p>
    <w:p w:rsidR="006D67F1" w:rsidRPr="00331BB7" w:rsidRDefault="006D67F1" w:rsidP="008366D3">
      <w:pPr>
        <w:pStyle w:val="Nadpis4"/>
      </w:pPr>
      <w:r w:rsidRPr="00331BB7">
        <w:t>Popis modelového fungování z pohledu konečného příjemce</w:t>
      </w:r>
    </w:p>
    <w:p w:rsidR="006D67F1" w:rsidRPr="002C224A" w:rsidRDefault="006D67F1" w:rsidP="00847809">
      <w:pPr>
        <w:rPr>
          <w:rFonts w:cs="EUAlbertina"/>
          <w:color w:val="000000"/>
          <w:szCs w:val="19"/>
        </w:rPr>
      </w:pPr>
      <w:r w:rsidRPr="00331BB7">
        <w:rPr>
          <w:rFonts w:cs="EUAlbertina"/>
          <w:color w:val="000000"/>
          <w:szCs w:val="19"/>
        </w:rPr>
        <w:t>Ve sledovaných případech navrhuje</w:t>
      </w:r>
      <w:r w:rsidR="00D1735A" w:rsidRPr="00331BB7">
        <w:rPr>
          <w:rFonts w:cs="EUAlbertina"/>
          <w:color w:val="000000"/>
          <w:szCs w:val="19"/>
        </w:rPr>
        <w:t>me</w:t>
      </w:r>
      <w:r w:rsidRPr="00331BB7">
        <w:rPr>
          <w:rFonts w:cs="EUAlbertina"/>
          <w:color w:val="000000"/>
          <w:szCs w:val="19"/>
        </w:rPr>
        <w:t xml:space="preserve"> alokaci na </w:t>
      </w:r>
      <w:r w:rsidR="00D1735A" w:rsidRPr="00331BB7">
        <w:rPr>
          <w:rFonts w:cs="EUAlbertina"/>
          <w:color w:val="000000"/>
          <w:szCs w:val="19"/>
        </w:rPr>
        <w:t>FN</w:t>
      </w:r>
      <w:r w:rsidRPr="00331BB7">
        <w:rPr>
          <w:rFonts w:cs="EUAlbertina"/>
          <w:color w:val="000000"/>
          <w:szCs w:val="19"/>
        </w:rPr>
        <w:t xml:space="preserve"> využít poměrově na poskytnutí zvýhodněného úvěru a klasickou dotační podporu </w:t>
      </w:r>
      <w:r w:rsidR="00433FCD" w:rsidRPr="00331BB7">
        <w:t xml:space="preserve">či repayable assistance </w:t>
      </w:r>
      <w:r w:rsidRPr="00331BB7">
        <w:rPr>
          <w:rFonts w:cs="EUAlbertina"/>
          <w:color w:val="000000"/>
          <w:szCs w:val="19"/>
        </w:rPr>
        <w:t xml:space="preserve">tak, </w:t>
      </w:r>
      <w:r w:rsidR="00D1735A" w:rsidRPr="00331BB7">
        <w:rPr>
          <w:rFonts w:cs="EUAlbertina"/>
          <w:color w:val="000000"/>
          <w:szCs w:val="19"/>
        </w:rPr>
        <w:t>aby byla</w:t>
      </w:r>
      <w:r w:rsidRPr="00331BB7">
        <w:rPr>
          <w:rFonts w:cs="EUAlbertina"/>
          <w:color w:val="000000"/>
          <w:szCs w:val="19"/>
        </w:rPr>
        <w:t xml:space="preserve"> dodržena pravidla omezení intenzity podpory veřejné podpory (dle přepočtu na hrubý grantový ekvivalent)</w:t>
      </w:r>
      <w:r w:rsidR="00D1735A" w:rsidRPr="00331BB7">
        <w:rPr>
          <w:rFonts w:cs="EUAlbertina"/>
          <w:color w:val="000000"/>
          <w:szCs w:val="19"/>
        </w:rPr>
        <w:t>.</w:t>
      </w:r>
      <w:r w:rsidRPr="00331BB7">
        <w:rPr>
          <w:rFonts w:cs="EUAlbertina"/>
          <w:color w:val="000000"/>
          <w:szCs w:val="19"/>
        </w:rPr>
        <w:t xml:space="preserve"> Mechanismu</w:t>
      </w:r>
      <w:r w:rsidR="00D1735A" w:rsidRPr="00331BB7">
        <w:rPr>
          <w:rFonts w:cs="EUAlbertina"/>
          <w:color w:val="000000"/>
          <w:szCs w:val="19"/>
        </w:rPr>
        <w:t>s</w:t>
      </w:r>
      <w:r w:rsidRPr="00331BB7">
        <w:rPr>
          <w:rFonts w:cs="EUAlbertina"/>
          <w:color w:val="000000"/>
          <w:szCs w:val="19"/>
        </w:rPr>
        <w:t xml:space="preserve"> fungování kombinovaného nástroje znázorňuje</w:t>
      </w:r>
      <w:r w:rsidR="00D1735A" w:rsidRPr="00331BB7">
        <w:rPr>
          <w:rFonts w:cs="EUAlbertina"/>
          <w:color w:val="000000"/>
          <w:szCs w:val="19"/>
        </w:rPr>
        <w:t xml:space="preserve"> zjednodušené</w:t>
      </w:r>
      <w:r w:rsidRPr="00331BB7">
        <w:rPr>
          <w:rFonts w:cs="EUAlbertina"/>
          <w:color w:val="000000"/>
          <w:szCs w:val="19"/>
        </w:rPr>
        <w:t xml:space="preserve"> modelové grafické znázornění níže</w:t>
      </w:r>
      <w:r w:rsidR="00D1735A" w:rsidRPr="00331BB7">
        <w:rPr>
          <w:rFonts w:cs="EUAlbertina"/>
          <w:color w:val="000000"/>
          <w:szCs w:val="19"/>
        </w:rPr>
        <w:t xml:space="preserve"> (mimo SC 1.2)</w:t>
      </w:r>
      <w:r w:rsidRPr="00331BB7">
        <w:rPr>
          <w:rFonts w:cs="EUAlbertina"/>
          <w:color w:val="000000"/>
          <w:szCs w:val="19"/>
        </w:rPr>
        <w:t>.</w:t>
      </w:r>
    </w:p>
    <w:p w:rsidR="006D67F1" w:rsidRPr="002C224A" w:rsidRDefault="006D67F1" w:rsidP="00847809">
      <w:pPr>
        <w:rPr>
          <w:rFonts w:cs="EUAlbertina"/>
          <w:color w:val="000000"/>
          <w:szCs w:val="19"/>
        </w:rPr>
      </w:pPr>
    </w:p>
    <w:p w:rsidR="006D67F1" w:rsidRPr="002C224A" w:rsidRDefault="007A3F34" w:rsidP="00847809">
      <w:pPr>
        <w:pStyle w:val="Titulek"/>
        <w:jc w:val="center"/>
      </w:pPr>
      <w:r w:rsidRPr="002C224A">
        <w:rPr>
          <w:noProof/>
          <w:lang w:eastAsia="cs-CZ"/>
        </w:rPr>
        <w:drawing>
          <wp:inline distT="0" distB="0" distL="0" distR="0" wp14:anchorId="7DFD80F3" wp14:editId="0148F426">
            <wp:extent cx="5695950" cy="2057400"/>
            <wp:effectExtent l="19050" t="19050" r="19050" b="19050"/>
            <wp:docPr id="47"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95950" cy="2057400"/>
                    </a:xfrm>
                    <a:prstGeom prst="rect">
                      <a:avLst/>
                    </a:prstGeom>
                    <a:noFill/>
                    <a:ln w="9525" cmpd="sng">
                      <a:solidFill>
                        <a:srgbClr val="1F497D"/>
                      </a:solidFill>
                      <a:miter lim="800000"/>
                      <a:headEnd/>
                      <a:tailEnd/>
                    </a:ln>
                    <a:effectLst/>
                  </pic:spPr>
                </pic:pic>
              </a:graphicData>
            </a:graphic>
          </wp:inline>
        </w:drawing>
      </w:r>
      <w:r w:rsidR="006D67F1" w:rsidRPr="002C224A">
        <w:t>Obrázek</w:t>
      </w:r>
      <w:r w:rsidR="00642F05">
        <w:t xml:space="preserve"> </w:t>
      </w:r>
      <w:r w:rsidR="007578E3">
        <w:t>64</w:t>
      </w:r>
      <w:r w:rsidR="006D67F1" w:rsidRPr="002C224A">
        <w:t>: Příklad kombinace finančního nástroje a dotace</w:t>
      </w:r>
    </w:p>
    <w:p w:rsidR="006D67F1" w:rsidRPr="00A50943" w:rsidRDefault="006D67F1" w:rsidP="00847809"/>
    <w:p w:rsidR="006D67F1" w:rsidRPr="00331BB7" w:rsidRDefault="006D67F1" w:rsidP="00847809">
      <w:r w:rsidRPr="00331BB7">
        <w:t>U uvedeného modelového příkladu je zřejmé, že dochází ke dvěma klíčovým efektům:</w:t>
      </w:r>
    </w:p>
    <w:p w:rsidR="006D67F1" w:rsidRPr="00331BB7" w:rsidRDefault="006D67F1" w:rsidP="00847809">
      <w:pPr>
        <w:pStyle w:val="Odstavecseseznamem1"/>
        <w:numPr>
          <w:ilvl w:val="0"/>
          <w:numId w:val="69"/>
        </w:numPr>
        <w:overflowPunct/>
        <w:autoSpaceDE/>
        <w:autoSpaceDN/>
        <w:adjustRightInd/>
        <w:spacing w:after="120"/>
        <w:textAlignment w:val="auto"/>
      </w:pPr>
      <w:r w:rsidRPr="00331BB7">
        <w:t>Na jednu stranu dochází k poklesu reálně poskytnuté podpory konečnému příjemci. Jedná</w:t>
      </w:r>
      <w:r w:rsidR="0017502C" w:rsidRPr="00331BB7">
        <w:t xml:space="preserve"> se</w:t>
      </w:r>
      <w:r w:rsidRPr="00331BB7">
        <w:t xml:space="preserve"> o pokles z maximálního limitu grantového ekvivalentu 60</w:t>
      </w:r>
      <w:r w:rsidR="0017502C" w:rsidRPr="00331BB7">
        <w:t xml:space="preserve"> </w:t>
      </w:r>
      <w:r w:rsidRPr="00331BB7">
        <w:t>% investičních nákladů</w:t>
      </w:r>
      <w:r w:rsidR="0017502C" w:rsidRPr="00331BB7">
        <w:t>.</w:t>
      </w:r>
      <w:r w:rsidRPr="00331BB7">
        <w:t xml:space="preserve"> </w:t>
      </w:r>
      <w:r w:rsidR="0017502C" w:rsidRPr="00331BB7">
        <w:t>P</w:t>
      </w:r>
      <w:r w:rsidRPr="00331BB7">
        <w:t>rotože 80</w:t>
      </w:r>
      <w:r w:rsidR="0017502C" w:rsidRPr="00331BB7">
        <w:t xml:space="preserve"> </w:t>
      </w:r>
      <w:r w:rsidRPr="00331BB7">
        <w:t>% podpory tvoří vratný zvýhodněný úvěr, reálná veřejná podpora je nižší.</w:t>
      </w:r>
    </w:p>
    <w:p w:rsidR="006D67F1" w:rsidRPr="00331BB7" w:rsidRDefault="006D67F1" w:rsidP="00847809">
      <w:pPr>
        <w:pStyle w:val="Odstavecseseznamem1"/>
        <w:numPr>
          <w:ilvl w:val="0"/>
          <w:numId w:val="69"/>
        </w:numPr>
        <w:overflowPunct/>
        <w:autoSpaceDE/>
        <w:autoSpaceDN/>
        <w:adjustRightInd/>
        <w:spacing w:after="120"/>
        <w:textAlignment w:val="auto"/>
      </w:pPr>
      <w:r w:rsidRPr="00331BB7">
        <w:t xml:space="preserve">Na druhou stranu kombinovaný nástroj je nově možné použít na </w:t>
      </w:r>
      <w:r w:rsidR="0017502C" w:rsidRPr="00331BB7">
        <w:t>větší procento</w:t>
      </w:r>
      <w:r w:rsidRPr="00331BB7">
        <w:t xml:space="preserve"> investičních nákladů, tedy celé investiční plánování je pro konečného příjemce snazší</w:t>
      </w:r>
      <w:r w:rsidR="0017502C" w:rsidRPr="00331BB7">
        <w:t>, včetně spolufinancování</w:t>
      </w:r>
      <w:r w:rsidRPr="00331BB7">
        <w:t>.</w:t>
      </w:r>
    </w:p>
    <w:p w:rsidR="006D67F1" w:rsidRPr="00331BB7" w:rsidRDefault="006D67F1" w:rsidP="00847809">
      <w:r w:rsidRPr="00331BB7">
        <w:t>V důsledku je konečný příjemce podpořen menším reálným příspěvkem, ale stále za výhodnějších podmínek, než v případě plně nezávislého financování, případně pouze za využití komerčního úvěrování – konkrétní výše výhody shrnují srovnání poskytn</w:t>
      </w:r>
      <w:r w:rsidR="009B522C" w:rsidRPr="00331BB7">
        <w:t>u</w:t>
      </w:r>
      <w:r w:rsidRPr="00331BB7">
        <w:t xml:space="preserve">té výhody konečnému příjemci na typovém příkladu – viz jednotlivé části v rámci kapitoly 5 této zprávy. </w:t>
      </w:r>
      <w:r w:rsidRPr="00331BB7">
        <w:rPr>
          <w:b/>
        </w:rPr>
        <w:t>Dotační složka v rámci finančního nástroje má zabezpečit, že dojde k aktivizaci projektů, které typicky vykazují delší dobu ekonomické návratnosti</w:t>
      </w:r>
      <w:r w:rsidR="0017502C" w:rsidRPr="00331BB7">
        <w:rPr>
          <w:b/>
        </w:rPr>
        <w:t xml:space="preserve"> nad tržně akceptovatelnou hodnotu</w:t>
      </w:r>
      <w:r w:rsidRPr="00331BB7">
        <w:t>,</w:t>
      </w:r>
      <w:r w:rsidR="0017502C" w:rsidRPr="00331BB7">
        <w:t xml:space="preserve"> </w:t>
      </w:r>
      <w:r w:rsidR="0017502C" w:rsidRPr="00331BB7">
        <w:rPr>
          <w:b/>
        </w:rPr>
        <w:t>případně</w:t>
      </w:r>
      <w:r w:rsidRPr="00331BB7">
        <w:t xml:space="preserve"> </w:t>
      </w:r>
      <w:r w:rsidRPr="00331BB7">
        <w:rPr>
          <w:b/>
        </w:rPr>
        <w:t>k realizaci investice existuje ekonomicky méně náročný substitut, který však nepodporuje plnění cílů OP</w:t>
      </w:r>
      <w:r w:rsidR="002D09B7" w:rsidRPr="00331BB7">
        <w:rPr>
          <w:b/>
        </w:rPr>
        <w:t xml:space="preserve"> </w:t>
      </w:r>
      <w:r w:rsidRPr="00331BB7">
        <w:rPr>
          <w:b/>
        </w:rPr>
        <w:t>PIK</w:t>
      </w:r>
      <w:r w:rsidR="0017502C" w:rsidRPr="00331BB7">
        <w:rPr>
          <w:b/>
        </w:rPr>
        <w:t>. Kombinovaná podpora tak umožní větší využití návratných zdrojů, které mohou být následně použity v dalším období.</w:t>
      </w:r>
    </w:p>
    <w:p w:rsidR="006D67F1" w:rsidRPr="00331BB7" w:rsidRDefault="006D67F1" w:rsidP="008366D3">
      <w:pPr>
        <w:pStyle w:val="Nadpis4"/>
      </w:pPr>
      <w:r w:rsidRPr="00331BB7">
        <w:t>Popis fungování kombinovaného nástroje z pohledu poskytovatele</w:t>
      </w:r>
      <w:r w:rsidR="00503611" w:rsidRPr="00331BB7">
        <w:t xml:space="preserve"> a rizika</w:t>
      </w:r>
    </w:p>
    <w:p w:rsidR="00503611" w:rsidRDefault="00503611" w:rsidP="00847809">
      <w:r w:rsidRPr="00331BB7">
        <w:t>Potenciální využití</w:t>
      </w:r>
      <w:r w:rsidR="00187EDD">
        <w:t xml:space="preserve"> kombinace </w:t>
      </w:r>
      <w:r w:rsidR="002E6DA9" w:rsidRPr="00331BB7">
        <w:t> různých podpor</w:t>
      </w:r>
      <w:r w:rsidRPr="00331BB7">
        <w:t xml:space="preserve"> je sice v rámci </w:t>
      </w:r>
      <w:r w:rsidR="002E6DA9" w:rsidRPr="00331BB7">
        <w:t xml:space="preserve">ESIF umožněno, je však nutné ho pečlivě posoudit s ohledem na uvedená omezení dle pravidel Obecného nařízení. Podmínka oddělených operací a odlišných způsobilých výdajů </w:t>
      </w:r>
      <w:r w:rsidR="00187EDD">
        <w:t xml:space="preserve">v případě kombinace s grantem (dotací) či repayable assistance </w:t>
      </w:r>
      <w:r w:rsidR="002E6DA9" w:rsidRPr="00331BB7">
        <w:t>může v jednotlivých specifických cílech znamenat závažnou překážku pro technickou realizaci takové podpory a smysluplné rozdělení projektu na část dotační a FN. Další realizaci této kombinace mimo SC 1.2 předběžné posouzení doporučuje realizovat až v závislosti na vytvořené implementační struktuře, detailním posouzení technické proveditelnosti a zkušenosti ŘO s implementací stávajících samostatných FN v OP PIK.</w:t>
      </w:r>
    </w:p>
    <w:p w:rsidR="0069764E" w:rsidRDefault="0069764E" w:rsidP="00847809"/>
    <w:p w:rsidR="0069764E" w:rsidRPr="00331BB7" w:rsidRDefault="00025356" w:rsidP="00847809">
      <w:r>
        <w:t xml:space="preserve">Mimo přímou kombinaci podpory u jednotlivých projektů je </w:t>
      </w:r>
      <w:r w:rsidR="0069764E">
        <w:t xml:space="preserve">možné uvažovat i o </w:t>
      </w:r>
      <w:r w:rsidR="00377F1B">
        <w:t>nepřímých variantách kombinace dotací a finančních nástrojů, např. prostřednictvím časového odlišení výzev</w:t>
      </w:r>
      <w:r>
        <w:t xml:space="preserve"> -</w:t>
      </w:r>
      <w:r w:rsidR="00377F1B">
        <w:t xml:space="preserve"> tedy v první vlně např. vyhlásit dotační výzvu a ke konci programového období na shodné aktivity již výzvy pouze na finanční nástroje. </w:t>
      </w:r>
      <w:r>
        <w:t>M</w:t>
      </w:r>
      <w:r w:rsidR="00377F1B">
        <w:t xml:space="preserve">ožností kombinace podpor v rámci shodného specifického cíle </w:t>
      </w:r>
      <w:r>
        <w:t xml:space="preserve">je </w:t>
      </w:r>
      <w:r w:rsidR="00377F1B">
        <w:t>též vyhlášení synergických výzev, jedné dotační a druhé na finanční nástroj</w:t>
      </w:r>
      <w:r>
        <w:t>,</w:t>
      </w:r>
      <w:r w:rsidR="00377F1B">
        <w:t xml:space="preserve"> s tím, že v případě účasti žadatele ve finančním nástroji dojde k jeho bodovému zvýhodnění při žádosti o dotaci. Tato varianta je však za současného znění metodického pokynu Komise možná pouze pro případ, kdy by bylo možné v rámci projektu konečného příjemce odlišit výdaje způsobilé pro finanční nástroj a výdaje způsobilé pro dotaci</w:t>
      </w:r>
      <w:r w:rsidR="004666F5">
        <w:t xml:space="preserve"> do dvou operací</w:t>
      </w:r>
      <w:r w:rsidR="00377F1B">
        <w:t>.</w:t>
      </w:r>
    </w:p>
    <w:p w:rsidR="002E6DA9" w:rsidRPr="00331BB7" w:rsidRDefault="002E6DA9" w:rsidP="00847809"/>
    <w:p w:rsidR="002E6DA9" w:rsidRPr="00331BB7" w:rsidRDefault="002E6DA9" w:rsidP="00847809">
      <w:pPr>
        <w:rPr>
          <w:b/>
        </w:rPr>
      </w:pPr>
      <w:r w:rsidRPr="00331BB7">
        <w:rPr>
          <w:b/>
        </w:rPr>
        <w:t>Proof-of-concept (SC 1.2)</w:t>
      </w:r>
    </w:p>
    <w:p w:rsidR="002E6DA9" w:rsidRPr="000F1064" w:rsidRDefault="002E6DA9" w:rsidP="00847809">
      <w:r w:rsidRPr="00331BB7">
        <w:t xml:space="preserve">V případě programu Proof-of-concept (Pre-seed fond OP PIK) je </w:t>
      </w:r>
      <w:r w:rsidR="00E608C5" w:rsidRPr="00331BB7">
        <w:t>kombinace dotační podpory s FN usnadněna logickou návazností obou kroků</w:t>
      </w:r>
      <w:r w:rsidR="001C1AB5">
        <w:t>, kdy je potenciálně možné odlišit výdaje způsobilé pro dotační podporu a výdaje způsobilé pro podporu z finančního nástroje</w:t>
      </w:r>
      <w:r w:rsidR="00290C35">
        <w:t>.</w:t>
      </w:r>
      <w:r w:rsidR="00E608C5" w:rsidRPr="00331BB7">
        <w:t xml:space="preserve"> V první fázi P</w:t>
      </w:r>
      <w:r w:rsidR="00187EDD">
        <w:t>o</w:t>
      </w:r>
      <w:r w:rsidR="00E608C5" w:rsidRPr="00331BB7">
        <w:t>C mohou projekty čerpat dotační podporu na ověření jejich proveditelnosti a komercializačního potenciálu, které umožní jejich ocenění. Úspěšné projekty poté mohou žádat o podporu v rámci FN Pre-seed fondu. Oddělení operací je zcela v souladu s Obecným nařízením</w:t>
      </w:r>
      <w:r w:rsidR="003A27BE" w:rsidRPr="00331BB7">
        <w:t xml:space="preserve"> a efektivně kombinuje návratnou a nenávratnou podporu</w:t>
      </w:r>
      <w:r w:rsidR="00E608C5" w:rsidRPr="00331BB7">
        <w:t>.</w:t>
      </w:r>
    </w:p>
    <w:p w:rsidR="002E6DA9" w:rsidRPr="000F1064" w:rsidRDefault="002E6DA9" w:rsidP="008366D3">
      <w:pPr>
        <w:rPr>
          <w:b/>
        </w:rPr>
      </w:pPr>
    </w:p>
    <w:p w:rsidR="00290C35" w:rsidRDefault="00290C35" w:rsidP="008366D3">
      <w:pPr>
        <w:rPr>
          <w:b/>
        </w:rPr>
      </w:pPr>
      <w:r>
        <w:rPr>
          <w:b/>
        </w:rPr>
        <w:t>Přístup MSP k financování (SC 2.1)</w:t>
      </w:r>
    </w:p>
    <w:p w:rsidR="00290C35" w:rsidRDefault="00290C35" w:rsidP="008366D3">
      <w:r>
        <w:t>V rámci tohoto specifického cíle jsou navrhovány zvýhodněné úvěry a záruky, které by měly být na základě závěrů předběžného posouzení kombinovány se subvencí úrokové sazby</w:t>
      </w:r>
      <w:r w:rsidR="001B475D">
        <w:t>, případně též</w:t>
      </w:r>
      <w:r w:rsidR="001B475D" w:rsidRPr="001B475D">
        <w:t xml:space="preserve"> </w:t>
      </w:r>
      <w:r w:rsidR="001B475D">
        <w:t>subvencí ceny záruky</w:t>
      </w:r>
      <w:r>
        <w:t xml:space="preserve">. Vzhledem k technologické povaze projektů </w:t>
      </w:r>
      <w:r w:rsidR="001B475D">
        <w:t>nelze v podstatě odlišit výdaje potenciálně způsobilé pro dotaci a výdaje způsobilé pro finanční nástroj</w:t>
      </w:r>
      <w:r>
        <w:t>. S ohledem na současné znění metodického pokynu Komise ke kombinaci forem p</w:t>
      </w:r>
      <w:r w:rsidR="001B475D">
        <w:t>odpor, která neumožňuje kombinaci dotace a finančního nástroje na shodné způsobilé výdaje, lze konstatovat, že kombinace s dotací není pro tyto finanční nástroje využitelná</w:t>
      </w:r>
      <w:r>
        <w:t>.</w:t>
      </w:r>
      <w:r w:rsidR="001B475D">
        <w:t xml:space="preserve"> </w:t>
      </w:r>
      <w:r>
        <w:t xml:space="preserve">Zároveň technická příprava projektu konečného příjemce </w:t>
      </w:r>
      <w:r w:rsidR="001B475D">
        <w:t>u typových projektů není</w:t>
      </w:r>
      <w:r>
        <w:t xml:space="preserve"> spojena</w:t>
      </w:r>
      <w:r w:rsidR="001B475D">
        <w:t xml:space="preserve"> se zvláštními náklady</w:t>
      </w:r>
      <w:r>
        <w:t>. Kombinace s</w:t>
      </w:r>
      <w:r w:rsidR="001B475D">
        <w:t xml:space="preserve"> dotací </w:t>
      </w:r>
      <w:r>
        <w:t>proto u těchto nástrojů není navrhována</w:t>
      </w:r>
      <w:r w:rsidR="001B475D">
        <w:t>,</w:t>
      </w:r>
      <w:r w:rsidR="001B475D" w:rsidRPr="001B475D">
        <w:t xml:space="preserve"> </w:t>
      </w:r>
      <w:r w:rsidR="001B475D">
        <w:t>a to ani na technickou přípravu projektu</w:t>
      </w:r>
      <w:r>
        <w:t>.</w:t>
      </w:r>
      <w:r w:rsidR="001B475D">
        <w:t xml:space="preserve"> Naopak subvence úrokové sazby je navrhována jak pro zvýhodněné úvěry, tak záruky, neboť poskytnutí záruky zlepší konečnému příjemci přístup k financován, ale prakticky jej nezlevní z hlediska finančních nákladů, proto je vhodné umožnit kombinaci se subvencí úrokové sazby i v případě záruk.</w:t>
      </w:r>
    </w:p>
    <w:p w:rsidR="00290C35" w:rsidRDefault="00290C35" w:rsidP="008366D3"/>
    <w:p w:rsidR="00290C35" w:rsidRPr="00331BB7" w:rsidRDefault="00290C35" w:rsidP="008366D3">
      <w:r>
        <w:t xml:space="preserve">Co se týče finančních nástrojů rizikového kapitálu, zde je potřeba vnímat podporu v širším kontextu současného stavu inovačního ekosystému v České republice. Jednak je proto důležitá návaznost tohoto finančního nástroje na SC 1.2 z hlediska absorpční kapacity (projektům proof-of-concept fáze by měla být umožněna podpora v SC 2.1 v případě komercializace ve formě založení spin-off). Zároveň je vhodné samotný kapitálový vstup kombinovat s další dotační podporou (specializované poradenské služby SC </w:t>
      </w:r>
      <w:smartTag w:uri="urn:schemas-microsoft-com:office:smarttags" w:element="metricconverter">
        <w:smartTagPr>
          <w:attr w:name="ProductID" w:val="1.2 a"/>
        </w:smartTagPr>
        <w:r>
          <w:t>1.2 a</w:t>
        </w:r>
      </w:smartTag>
      <w:r>
        <w:t xml:space="preserve"> 2.2, podpora úhrady nákladů na scouting  pro investory, podpora pro usnadnění exitu), kde by se však mělo jednat o oddělené operace. Pouze v případě úhrady nákladů na scouting a usnadnění exitu jsme toho názoru, že je lze vnímat jako technickou přípravu projektu konečného příjemce a proto je lze kombinovat ve stejné operaci s kapitálovým vstupem.</w:t>
      </w:r>
    </w:p>
    <w:p w:rsidR="00290C35" w:rsidRDefault="00290C35" w:rsidP="008366D3">
      <w:pPr>
        <w:rPr>
          <w:b/>
        </w:rPr>
      </w:pPr>
    </w:p>
    <w:p w:rsidR="006D67F1" w:rsidRPr="000F1064" w:rsidRDefault="006D67F1" w:rsidP="008366D3">
      <w:pPr>
        <w:rPr>
          <w:b/>
        </w:rPr>
      </w:pPr>
      <w:r w:rsidRPr="000F1064">
        <w:rPr>
          <w:b/>
        </w:rPr>
        <w:t>Zvýšit využitelnost infrastruktury pro podnikání (SC 2.3)</w:t>
      </w:r>
    </w:p>
    <w:p w:rsidR="006D67F1" w:rsidRPr="002C224A" w:rsidRDefault="006D67F1" w:rsidP="0008236A">
      <w:r w:rsidRPr="000F1064">
        <w:t>Navrhovaná dotační složka</w:t>
      </w:r>
      <w:r w:rsidR="00433FCD" w:rsidRPr="000F1064">
        <w:t xml:space="preserve"> či repayable assistance </w:t>
      </w:r>
      <w:r w:rsidRPr="000F1064">
        <w:t>by měla pokrýt dodatečné náklady spo</w:t>
      </w:r>
      <w:r w:rsidRPr="002C224A">
        <w:t xml:space="preserve">jené především s úpravou pozemku do stavu tzv. zelené plochy, tedy tato podpora by měla být svázána především s úvodní fází projektu. </w:t>
      </w:r>
      <w:r w:rsidRPr="002C224A">
        <w:rPr>
          <w:b/>
        </w:rPr>
        <w:t xml:space="preserve">Tato složka by měla být poskytována pouze projektům, které usilují o komplexní </w:t>
      </w:r>
      <w:r w:rsidR="001D70F8" w:rsidRPr="002C224A">
        <w:rPr>
          <w:b/>
        </w:rPr>
        <w:t xml:space="preserve">regeneraci </w:t>
      </w:r>
      <w:r w:rsidRPr="002C224A">
        <w:rPr>
          <w:b/>
        </w:rPr>
        <w:t xml:space="preserve">daného </w:t>
      </w:r>
      <w:r w:rsidR="001D70F8" w:rsidRPr="002C224A">
        <w:rPr>
          <w:b/>
        </w:rPr>
        <w:t xml:space="preserve">BF </w:t>
      </w:r>
      <w:r w:rsidRPr="002C224A">
        <w:rPr>
          <w:b/>
        </w:rPr>
        <w:t xml:space="preserve">a neměla by být poskytována na projekty </w:t>
      </w:r>
      <w:r w:rsidR="00EB63D7" w:rsidRPr="002C224A">
        <w:rPr>
          <w:b/>
        </w:rPr>
        <w:t>rekonstrukcí</w:t>
      </w:r>
      <w:r w:rsidRPr="002C224A">
        <w:rPr>
          <w:b/>
        </w:rPr>
        <w:t xml:space="preserve"> </w:t>
      </w:r>
      <w:r w:rsidR="00EB63D7" w:rsidRPr="002C224A">
        <w:rPr>
          <w:b/>
        </w:rPr>
        <w:t xml:space="preserve">využívaných </w:t>
      </w:r>
      <w:r w:rsidRPr="002C224A">
        <w:rPr>
          <w:b/>
        </w:rPr>
        <w:t>nemovitostí (budov, kde již probíhá ekonomická aktivita žadatele).</w:t>
      </w:r>
      <w:r w:rsidRPr="002C224A">
        <w:t xml:space="preserve"> Výše dotační složky by měla být rozdělena do pásem a spojena s hodnotícími kritérii, které by určily výši, na kterou má projekt nárok</w:t>
      </w:r>
      <w:r w:rsidR="00802B96">
        <w:t>.</w:t>
      </w:r>
      <w:r w:rsidR="00187EDD" w:rsidRPr="00187EDD">
        <w:t xml:space="preserve"> </w:t>
      </w:r>
      <w:r w:rsidR="00187EDD">
        <w:t>Zároveň</w:t>
      </w:r>
      <w:r w:rsidR="00187EDD" w:rsidRPr="002C224A">
        <w:t xml:space="preserve"> </w:t>
      </w:r>
      <w:r w:rsidR="00187EDD">
        <w:t xml:space="preserve">by měl dotčený finanční nástroj umožnit kombinaci s grantovou podporou na </w:t>
      </w:r>
      <w:r w:rsidR="00187EDD">
        <w:lastRenderedPageBreak/>
        <w:t>technickou přípravu projektu konečného příjemce, neboť u typových projektů lze očekávat poměrově významné náklady na přípravu projektu v rámci celkových nákladů projektu.</w:t>
      </w:r>
    </w:p>
    <w:p w:rsidR="00D7558E" w:rsidRPr="002C224A" w:rsidRDefault="00D7558E" w:rsidP="00847809"/>
    <w:p w:rsidR="006D67F1" w:rsidRPr="008366D3" w:rsidRDefault="006D67F1" w:rsidP="008366D3">
      <w:pPr>
        <w:rPr>
          <w:b/>
        </w:rPr>
      </w:pPr>
      <w:r w:rsidRPr="008366D3">
        <w:rPr>
          <w:b/>
        </w:rPr>
        <w:t>Zvýšit energetickou účinnost podnikatelského sektoru a zvýšit využívání energetických služeb (SC 3.2)</w:t>
      </w:r>
    </w:p>
    <w:p w:rsidR="006D67F1" w:rsidRPr="002C224A" w:rsidRDefault="0017512B" w:rsidP="00847809">
      <w:r w:rsidRPr="002C224A">
        <w:t>Kombinace dotace se zvýhodněnými úvěry je vhodná k využití u déle návratných komplexnějších projektů, pro které by podpora čistě FN znamenala významnou ztrátu absorpční kapacity. D</w:t>
      </w:r>
      <w:r w:rsidR="006D67F1" w:rsidRPr="002C224A">
        <w:t xml:space="preserve">otační složka by měla motivovat příjemce k provádění komplexních opatření na zvýšení energetické účinnosti. </w:t>
      </w:r>
      <w:r w:rsidRPr="002C224A">
        <w:t>Oddělení operací by mohlo fungovat na bázi rozdělení opatření v projektu na způsobilé výdaje podporované dotačně a způsobilé výdaje podporované finančním nástrojem.</w:t>
      </w:r>
      <w:r w:rsidR="0085311F">
        <w:rPr>
          <w:b/>
        </w:rPr>
        <w:t xml:space="preserve"> </w:t>
      </w:r>
      <w:r w:rsidR="006D67F1" w:rsidRPr="002C224A">
        <w:rPr>
          <w:b/>
        </w:rPr>
        <w:t>Výše dotační složky by měla být rozdělena do pásem a spojena s hodnotícími kritérii (uspořená energie), které určí výši, na kterou má projekt nárok.</w:t>
      </w:r>
      <w:r w:rsidR="001B475D" w:rsidRPr="00331BB7">
        <w:t xml:space="preserve"> </w:t>
      </w:r>
      <w:r w:rsidR="00187EDD">
        <w:t>Zároveň</w:t>
      </w:r>
      <w:r w:rsidR="00187EDD" w:rsidRPr="002C224A">
        <w:t xml:space="preserve"> </w:t>
      </w:r>
      <w:r w:rsidR="00187EDD">
        <w:t>by měl dotčený finanční nástroj umožnit kombinaci s grantovou podporou na technickou přípravu projektu konečného příjemce, neboť u typových projektů lze očekávat poměrově významné náklady na přípravu projektu v rámci celkových nákladů projektu.</w:t>
      </w:r>
    </w:p>
    <w:p w:rsidR="00503611" w:rsidRDefault="00503611" w:rsidP="008366D3">
      <w:pPr>
        <w:rPr>
          <w:b/>
        </w:rPr>
      </w:pPr>
    </w:p>
    <w:p w:rsidR="006D67F1" w:rsidRPr="008366D3" w:rsidRDefault="006D67F1" w:rsidP="008366D3">
      <w:pPr>
        <w:rPr>
          <w:b/>
        </w:rPr>
      </w:pPr>
      <w:r w:rsidRPr="008366D3">
        <w:rPr>
          <w:b/>
        </w:rPr>
        <w:t>Zvýšit účinnost soustav zásobování teplem (SC 3.5)</w:t>
      </w:r>
    </w:p>
    <w:p w:rsidR="006D67F1" w:rsidRPr="002C224A" w:rsidRDefault="008C0054" w:rsidP="008C0054">
      <w:r>
        <w:t xml:space="preserve">Kombinace dotace s FN v závislosti na vývoji čerpání může rozšířit absorpční kapacitu v oblasti KVET i do méně ekonomicky návratných projektů. Technicky problematické může být dělení způsobilých </w:t>
      </w:r>
      <w:r w:rsidR="00E43E85">
        <w:t>výdajů</w:t>
      </w:r>
      <w:r>
        <w:t>.</w:t>
      </w:r>
      <w:r w:rsidR="006D67F1" w:rsidRPr="002C224A">
        <w:t xml:space="preserve"> </w:t>
      </w:r>
      <w:r w:rsidR="006D67F1" w:rsidRPr="002C224A">
        <w:rPr>
          <w:b/>
        </w:rPr>
        <w:t xml:space="preserve">Výše dotační složky by měla být </w:t>
      </w:r>
      <w:r>
        <w:rPr>
          <w:b/>
        </w:rPr>
        <w:t xml:space="preserve">v případě aplikace této kombinace </w:t>
      </w:r>
      <w:r w:rsidR="006D67F1" w:rsidRPr="002C224A">
        <w:rPr>
          <w:b/>
        </w:rPr>
        <w:t>rozdělena do pásem a spojena s hodnotícími kritérii, které by určily výši, na kterou má projekt nárok právě v závislosti na lokalitě, kde by projekt měl být realizován (vazba na hustotu osídlení a vzdálenost mezi KVET a odběrným místem).</w:t>
      </w:r>
      <w:r w:rsidR="00187EDD">
        <w:rPr>
          <w:b/>
        </w:rPr>
        <w:t xml:space="preserve"> </w:t>
      </w:r>
      <w:r w:rsidR="00187EDD">
        <w:t>Zároveň</w:t>
      </w:r>
      <w:r w:rsidR="00187EDD" w:rsidRPr="002C224A">
        <w:t xml:space="preserve"> </w:t>
      </w:r>
      <w:r w:rsidR="00187EDD">
        <w:t>by měl dotčený finanční nástroj umožnit kombinaci s grantovou podporou na technickou přípravu projektu konečného příjemce, neboť u typových projektů lze očekávat poměrově významné n</w:t>
      </w:r>
      <w:bookmarkStart w:id="1427" w:name="_GoBack"/>
      <w:bookmarkEnd w:id="1427"/>
      <w:r w:rsidR="00187EDD">
        <w:t>áklady na přípravu projektu v rámci celkových nákladů projektu.</w:t>
      </w:r>
    </w:p>
    <w:p w:rsidR="006D67F1" w:rsidRPr="002C224A" w:rsidRDefault="006D67F1" w:rsidP="00847809"/>
    <w:p w:rsidR="006D67F1" w:rsidRPr="002C224A" w:rsidRDefault="006D67F1" w:rsidP="0010631E">
      <w:pPr>
        <w:pStyle w:val="Nadpis3"/>
        <w:rPr>
          <w:rFonts w:ascii="Calibri" w:hAnsi="Calibri"/>
        </w:rPr>
      </w:pPr>
      <w:bookmarkStart w:id="1428" w:name="_Toc421534337"/>
      <w:r w:rsidRPr="002C224A">
        <w:rPr>
          <w:rFonts w:ascii="Calibri" w:hAnsi="Calibri"/>
        </w:rPr>
        <w:t>Regionální dimenze a integrované přístupy</w:t>
      </w:r>
      <w:bookmarkEnd w:id="1428"/>
      <w:r w:rsidRPr="002C224A">
        <w:rPr>
          <w:rFonts w:ascii="Calibri" w:hAnsi="Calibri"/>
        </w:rPr>
        <w:t xml:space="preserve"> </w:t>
      </w:r>
    </w:p>
    <w:p w:rsidR="006D67F1" w:rsidRPr="002C224A" w:rsidRDefault="006D67F1" w:rsidP="0008236A">
      <w:r w:rsidRPr="00A50943">
        <w:t>Regionální dimenzi podpory finančních nástrojů představuje prioritní orientace finančního nástroje SC 2.3 na revitalizaci brownfields v Hospodářsky problémových regionech a území s vysokou mírou nezaměstnan</w:t>
      </w:r>
      <w:r w:rsidRPr="002C224A">
        <w:t>osti v oblastech Ústeckého a Moravskoslezského kraje, které jsou nejvíce zatíženy pozůstatky po dřívější průmyslové činnosti v podobě vysokého počtu brownfield lokalit a zároveň jde o regiony s vysokou nezaměstnaností a dlouhodobými strukturálními problémy.</w:t>
      </w:r>
    </w:p>
    <w:p w:rsidR="006D67F1" w:rsidRPr="002C224A" w:rsidRDefault="006D67F1" w:rsidP="0010631E">
      <w:pPr>
        <w:pStyle w:val="Nadpis3"/>
        <w:rPr>
          <w:rFonts w:ascii="Calibri" w:hAnsi="Calibri"/>
        </w:rPr>
      </w:pPr>
      <w:bookmarkStart w:id="1429" w:name="_Toc421534338"/>
      <w:r w:rsidRPr="002C224A">
        <w:rPr>
          <w:rFonts w:ascii="Calibri" w:hAnsi="Calibri"/>
        </w:rPr>
        <w:t>Horizontální principy</w:t>
      </w:r>
      <w:bookmarkEnd w:id="1429"/>
    </w:p>
    <w:p w:rsidR="006D67F1" w:rsidRPr="002C224A" w:rsidRDefault="006D67F1" w:rsidP="002C224A">
      <w:pPr>
        <w:pStyle w:val="Nadpis4"/>
        <w:rPr>
          <w:rFonts w:ascii="Calibri" w:hAnsi="Calibri"/>
        </w:rPr>
      </w:pPr>
      <w:r w:rsidRPr="002C224A">
        <w:rPr>
          <w:rFonts w:ascii="Calibri" w:hAnsi="Calibri"/>
        </w:rPr>
        <w:t>Udržitelný rozvoj</w:t>
      </w:r>
    </w:p>
    <w:p w:rsidR="006D67F1" w:rsidRPr="002C224A" w:rsidRDefault="006D67F1" w:rsidP="002C224A">
      <w:bookmarkStart w:id="1430" w:name="_Toc417682953"/>
      <w:r w:rsidRPr="00A50943">
        <w:t>Udržitelný rozvoj je takový rozvoj, který umožňuje zlepšování životní úrovně a blahobytu lidí v mezích kapacity ekosystémů při zachování přírodních hodnot a biologické rozmanitosti pro současné a příští generace. D</w:t>
      </w:r>
      <w:r w:rsidRPr="002C224A">
        <w:t>le čl. 8 Obecného nařízení mají členské státy a Komise při přípravě a provádění smluv o partnerství a programů zajistit podporu požadavků na ochranu životního prostředí, účinného využívání zdrojů, opatření ke zmírňování změny klimatu a přizpůsobení se této změně, odolnosti proti katastrofám a předcházení rizikům. Stav v jednotlivých oblastech udržitelného rozvoje v ČR je sledován pomocí sady indikátorů.</w:t>
      </w:r>
      <w:bookmarkEnd w:id="1430"/>
    </w:p>
    <w:p w:rsidR="006D67F1" w:rsidRPr="002C224A" w:rsidRDefault="006D67F1" w:rsidP="002C224A">
      <w:bookmarkStart w:id="1431" w:name="_Toc417682954"/>
      <w:r w:rsidRPr="002C224A">
        <w:t xml:space="preserve">Povinnost respektovat udržitelný rozvoj bude stanovena již ve specifikaci podmínek podpory pro konečné příjemce, které budou obsahovat část týkající se horizontálních ukazatelů předkládaného projektu. Dopady na životní prostředí budou posuzovány zejména během hodnocení intervencí zahrnujících stavební práce, nákup technologií, přístrojů, zařízení, tj. takových, u kterých je pravděpodobnost dopadu na životní prostředí či efektivní využívání zdrojů (zejména energetických) vysoká, investice v rámci realizace takovýchto intervencí budou muset splňovat nejvyšší standardy. Zásadně tedy bude platit, že v rámci operačního programu a implementace jeho jednotlivých prioritních os nebudou podporovány žádné projekty, které by negativně ovlivňovaly udržitelný rozvoj. </w:t>
      </w:r>
      <w:r w:rsidRPr="002C224A">
        <w:lastRenderedPageBreak/>
        <w:t>Dodržování zásad udržitelného rozvoje bude vyžadováno na úrovni každého projektu, budou posuzovány v rámci hodnocení přijatelnosti projektu.</w:t>
      </w:r>
      <w:bookmarkEnd w:id="1431"/>
    </w:p>
    <w:p w:rsidR="006D67F1" w:rsidRPr="002C224A" w:rsidRDefault="006D67F1" w:rsidP="002C224A">
      <w:pPr>
        <w:pStyle w:val="Nadpis4"/>
        <w:rPr>
          <w:rFonts w:ascii="Calibri" w:hAnsi="Calibri"/>
        </w:rPr>
      </w:pPr>
      <w:r w:rsidRPr="002C224A">
        <w:rPr>
          <w:rFonts w:ascii="Calibri" w:hAnsi="Calibri"/>
        </w:rPr>
        <w:t>Rovné příležitosti a zákaz diskriminace</w:t>
      </w:r>
    </w:p>
    <w:p w:rsidR="006D67F1" w:rsidRPr="002C224A" w:rsidRDefault="006D67F1" w:rsidP="002C224A">
      <w:bookmarkStart w:id="1432" w:name="_Toc417682956"/>
      <w:r w:rsidRPr="00A50943">
        <w:t>Na základě čl. 7 Obecného nařízení přijmou členské státy a Komise vhodná opatření, aby během přípravy a provádění programů nedocházelo k diskriminaci na základě pohlaví, rasového nebo</w:t>
      </w:r>
      <w:r w:rsidRPr="002C224A">
        <w:t xml:space="preserve"> etnického původu, náboženského vyznání nebo víry, zdravotního postižení, věku nebo sexuální orientace. Horizontální téma rovné příležitosti a ochrana před diskriminací slouží k dosažení cíle sociální spravedlnosti a soudržnosti a zakládá se na podpoře sociálního začlenění, dodržování základních lidských práv a zachování kulturní rozmanitosti.</w:t>
      </w:r>
      <w:bookmarkEnd w:id="1432"/>
    </w:p>
    <w:p w:rsidR="00BF25A9" w:rsidRPr="002C224A" w:rsidRDefault="00BF25A9" w:rsidP="002C224A"/>
    <w:p w:rsidR="006D67F1" w:rsidRPr="002C224A" w:rsidRDefault="006D67F1" w:rsidP="002C224A">
      <w:bookmarkStart w:id="1433" w:name="_Toc417682957"/>
      <w:r w:rsidRPr="002C224A">
        <w:t>Zákaz diskriminace v souladu s českým i evropským právem a podpora rovných příležitostí jsou základními principy realizace OP PIK a budou respektovány a podporovány ve všech prioritních osách a investičních prioritách. Při realizaci finančních nástrojů OP PIK bude brán zřetel na příspěvek k rovnému zacházení, aby měly všechny sociální skupiny stejný přístup k čerpání prostředků EFRR.</w:t>
      </w:r>
      <w:bookmarkEnd w:id="1433"/>
      <w:r w:rsidRPr="002C224A">
        <w:t xml:space="preserve"> </w:t>
      </w:r>
    </w:p>
    <w:p w:rsidR="00BF25A9" w:rsidRPr="002C224A" w:rsidRDefault="00BF25A9" w:rsidP="002C224A"/>
    <w:p w:rsidR="006D67F1" w:rsidRPr="002C224A" w:rsidRDefault="006D67F1" w:rsidP="002C224A">
      <w:bookmarkStart w:id="1434" w:name="_Toc417682958"/>
      <w:r w:rsidRPr="002C224A">
        <w:t>Stejně jako u udržitelného rozvoje bude stanovena podmínka respektovat rovné příležitosti a rovné zacházení již ve specifikaci podmínek k poskytnutí podpory v rámci jednotlivých subprogramů podpory. V rámci prioritní osy 2, specifického cíle 2.1 budou zvýhodňovány projekty podnikatelů, které realizací projektu prokáží vytvoření a udržitelnost nových pracovních míst a tím přispějí k zaměstnatelnosti osob z ohrožených skupin (osoby se zdravotním postižením, matky s dětmi a další pečující osoby, senioři, příslušníci etnických menšin, včetně romské menšiny, cizinci, atd.).</w:t>
      </w:r>
      <w:bookmarkEnd w:id="1434"/>
    </w:p>
    <w:p w:rsidR="00BF25A9" w:rsidRPr="002C224A" w:rsidRDefault="00BF25A9" w:rsidP="002C224A"/>
    <w:p w:rsidR="003601AC" w:rsidRDefault="006D67F1" w:rsidP="003601AC">
      <w:bookmarkStart w:id="1435" w:name="_Toc417682959"/>
      <w:r w:rsidRPr="002C224A">
        <w:t>Vzhledem k zaměření OP PIK (podpora podnikání, inovací v podnikatelském sektoru, energetické úspory, ICT infrastruktury) nemá žádné speciální programy zaměřené na konkrétní znevýhodněné skupiny. Tato oblast je řešena jinými operačními programy, využívajícími zejména prostředků Evropského sociálního fondu.</w:t>
      </w:r>
      <w:bookmarkEnd w:id="1435"/>
      <w:r w:rsidR="003601AC">
        <w:t xml:space="preserve"> Předběžné posouzení nicméně doporučuje, aby FN OPPIK, zejména úvěry na záruky ve specifickém cíli 2.1, podporovaly též sociální rozměr podnikání v souladu s textem programového dokumentu OP PIK. Zároveň je toto opatření v souladu s Koncepcí podpory malých a středních podnikatelů na období let 2014.</w:t>
      </w:r>
    </w:p>
    <w:p w:rsidR="00BF25A9" w:rsidRPr="002C224A" w:rsidRDefault="00BF25A9" w:rsidP="002C224A"/>
    <w:p w:rsidR="006D67F1" w:rsidRPr="002C224A" w:rsidRDefault="006D67F1" w:rsidP="002C224A">
      <w:pPr>
        <w:rPr>
          <w:b/>
          <w:bCs/>
        </w:rPr>
      </w:pPr>
      <w:bookmarkStart w:id="1436" w:name="_Toc417682961"/>
      <w:r w:rsidRPr="002C224A">
        <w:rPr>
          <w:b/>
          <w:bCs/>
        </w:rPr>
        <w:t>Horizontální téma rovnost žen a mužů předpokládá čl. 7 Obecného nařízení. Dle tohoto článku členské státy a Komise zajistí podporu rovnosti žen a mužů a začlenění z hlediska rovnosti pohlaví při přípravě a provádění programů.</w:t>
      </w:r>
      <w:bookmarkEnd w:id="1436"/>
    </w:p>
    <w:p w:rsidR="00BF25A9" w:rsidRPr="002C224A" w:rsidRDefault="00BF25A9" w:rsidP="002C224A">
      <w:pPr>
        <w:rPr>
          <w:b/>
          <w:bCs/>
        </w:rPr>
      </w:pPr>
    </w:p>
    <w:p w:rsidR="006D67F1" w:rsidRPr="002C224A" w:rsidRDefault="006D67F1" w:rsidP="002C224A">
      <w:pPr>
        <w:rPr>
          <w:b/>
          <w:bCs/>
        </w:rPr>
      </w:pPr>
      <w:bookmarkStart w:id="1437" w:name="_Toc417682962"/>
      <w:r w:rsidRPr="002C224A">
        <w:rPr>
          <w:b/>
          <w:bCs/>
        </w:rPr>
        <w:t>Indikátory na úrovni programu a specifických cílů, které mají přímou vazbu na respektování rovných příležitostí (např. Počet nově vytvořených pracovních míst) budou sledovány v členění na muže a ženy.</w:t>
      </w:r>
      <w:bookmarkEnd w:id="1437"/>
    </w:p>
    <w:p w:rsidR="006D67F1" w:rsidRPr="00A50943" w:rsidRDefault="006D67F1" w:rsidP="0010631E"/>
    <w:p w:rsidR="006D67F1" w:rsidRPr="002C224A" w:rsidRDefault="006D67F1" w:rsidP="0010631E">
      <w:pPr>
        <w:pStyle w:val="Nadpis2"/>
        <w:rPr>
          <w:rFonts w:ascii="Calibri" w:hAnsi="Calibri"/>
        </w:rPr>
      </w:pPr>
      <w:bookmarkStart w:id="1438" w:name="_Toc421534339"/>
      <w:r w:rsidRPr="002C224A">
        <w:rPr>
          <w:rFonts w:ascii="Calibri" w:hAnsi="Calibri"/>
        </w:rPr>
        <w:t>Přezkoumatelnost závěrů předběžného posouzení</w:t>
      </w:r>
      <w:bookmarkEnd w:id="1438"/>
    </w:p>
    <w:p w:rsidR="004727E5" w:rsidRPr="00A50943" w:rsidRDefault="004727E5" w:rsidP="0008236A">
      <w:r w:rsidRPr="00A50943">
        <w:t xml:space="preserve">Důvodem pro provedení revize závěrů předběžného posouzení mohou být změněné podmínky na trhu, resp. podmínky </w:t>
      </w:r>
      <w:r w:rsidR="00F77791" w:rsidRPr="002C224A">
        <w:t>lišící se od předpokladů původních závěrů, nové skutečnosti a změny legislativního rámce. Závěry předběžného posouzení mohou být upraveny na základě zkušeností s reálnou implementací FN v OP PIK.</w:t>
      </w:r>
    </w:p>
    <w:p w:rsidR="00F77791" w:rsidRPr="002C224A" w:rsidRDefault="00F77791" w:rsidP="0074622E"/>
    <w:p w:rsidR="006D67F1" w:rsidRPr="002C224A" w:rsidRDefault="006D67F1" w:rsidP="0074622E">
      <w:r w:rsidRPr="002C224A">
        <w:t>Řídící orgán,</w:t>
      </w:r>
      <w:r w:rsidR="00EB0FD1" w:rsidRPr="002C224A">
        <w:t xml:space="preserve"> </w:t>
      </w:r>
      <w:r w:rsidRPr="002C224A">
        <w:t xml:space="preserve">příjemce, finanční zprostředkovatel, investiční rada finančního nástroje nebo provedená roční, </w:t>
      </w:r>
      <w:r w:rsidRPr="002C224A">
        <w:rPr>
          <w:i/>
        </w:rPr>
        <w:t>ad hoc</w:t>
      </w:r>
      <w:r w:rsidRPr="002C224A">
        <w:t xml:space="preserve">  či mid-term evaluace mohou na základě odlišného vývoje od předpokladů uvedených v tomto předběžném posouzení navrhnout jeho revizi.</w:t>
      </w:r>
    </w:p>
    <w:p w:rsidR="006D67F1" w:rsidRPr="002C224A" w:rsidRDefault="006D67F1" w:rsidP="00A50943"/>
    <w:p w:rsidR="006D67F1" w:rsidRPr="002C224A" w:rsidRDefault="006D67F1" w:rsidP="002C224A">
      <w:r w:rsidRPr="002C224A">
        <w:lastRenderedPageBreak/>
        <w:t>Řídicí orgán následně usoudí, zda předběžné posouzení vystihuje aktuální podmínky na trhu v době provádění a provede případnou aktualizaci.</w:t>
      </w:r>
    </w:p>
    <w:p w:rsidR="006D67F1" w:rsidRPr="002C224A" w:rsidRDefault="006D67F1" w:rsidP="0010631E"/>
    <w:p w:rsidR="006D67F1" w:rsidRPr="002C224A" w:rsidRDefault="006D67F1" w:rsidP="006F771D"/>
    <w:p w:rsidR="006D67F1" w:rsidRPr="002C224A" w:rsidRDefault="006D67F1" w:rsidP="006F771D"/>
    <w:p w:rsidR="006D67F1" w:rsidRPr="002C224A" w:rsidRDefault="006D67F1" w:rsidP="00FA5A53">
      <w:pPr>
        <w:pStyle w:val="Nadpis1"/>
        <w:rPr>
          <w:rFonts w:ascii="Calibri" w:hAnsi="Calibri"/>
        </w:rPr>
      </w:pPr>
      <w:r w:rsidRPr="002C224A">
        <w:rPr>
          <w:rFonts w:ascii="Calibri" w:hAnsi="Calibri"/>
          <w:b w:val="0"/>
          <w:bCs w:val="0"/>
        </w:rPr>
        <w:br w:type="page"/>
      </w:r>
      <w:bookmarkStart w:id="1439" w:name="_Toc416909783"/>
      <w:bookmarkStart w:id="1440" w:name="_Toc417545164"/>
      <w:bookmarkStart w:id="1441" w:name="_Toc416909784"/>
      <w:bookmarkStart w:id="1442" w:name="_Toc417545165"/>
      <w:bookmarkStart w:id="1443" w:name="_Toc416909785"/>
      <w:bookmarkStart w:id="1444" w:name="_Toc417545166"/>
      <w:bookmarkStart w:id="1445" w:name="_Toc416909786"/>
      <w:bookmarkStart w:id="1446" w:name="_Toc417545167"/>
      <w:bookmarkStart w:id="1447" w:name="_Toc416909788"/>
      <w:bookmarkStart w:id="1448" w:name="_Toc417545169"/>
      <w:bookmarkStart w:id="1449" w:name="_Toc416909789"/>
      <w:bookmarkStart w:id="1450" w:name="_Toc417545170"/>
      <w:bookmarkStart w:id="1451" w:name="_Toc416909793"/>
      <w:bookmarkStart w:id="1452" w:name="_Toc417545174"/>
      <w:bookmarkStart w:id="1453" w:name="_Toc416909794"/>
      <w:bookmarkStart w:id="1454" w:name="_Toc417545175"/>
      <w:bookmarkStart w:id="1455" w:name="_Toc416909796"/>
      <w:bookmarkStart w:id="1456" w:name="_Toc417545177"/>
      <w:bookmarkStart w:id="1457" w:name="_Toc416909797"/>
      <w:bookmarkStart w:id="1458" w:name="_Toc417545178"/>
      <w:bookmarkStart w:id="1459" w:name="_Toc416909798"/>
      <w:bookmarkStart w:id="1460" w:name="_Toc417545179"/>
      <w:bookmarkStart w:id="1461" w:name="_Toc416909799"/>
      <w:bookmarkStart w:id="1462" w:name="_Toc417545180"/>
      <w:bookmarkStart w:id="1463" w:name="_Toc416909801"/>
      <w:bookmarkStart w:id="1464" w:name="_Toc417545182"/>
      <w:bookmarkStart w:id="1465" w:name="_Toc416909807"/>
      <w:bookmarkStart w:id="1466" w:name="_Toc417545188"/>
      <w:bookmarkStart w:id="1467" w:name="_Toc416909808"/>
      <w:bookmarkStart w:id="1468" w:name="_Toc417545189"/>
      <w:bookmarkStart w:id="1469" w:name="_Toc416909809"/>
      <w:bookmarkStart w:id="1470" w:name="_Toc417545190"/>
      <w:bookmarkStart w:id="1471" w:name="_Toc416909810"/>
      <w:bookmarkStart w:id="1472" w:name="_Toc417545191"/>
      <w:bookmarkStart w:id="1473" w:name="_Toc416384134"/>
      <w:bookmarkStart w:id="1474" w:name="_Toc416384135"/>
      <w:bookmarkStart w:id="1475" w:name="_Toc416448085"/>
      <w:bookmarkStart w:id="1476" w:name="_Toc416384136"/>
      <w:bookmarkStart w:id="1477" w:name="_Toc416448086"/>
      <w:bookmarkStart w:id="1478" w:name="_Toc416384137"/>
      <w:bookmarkStart w:id="1479" w:name="_Toc416448087"/>
      <w:bookmarkStart w:id="1480" w:name="_Toc416384138"/>
      <w:bookmarkStart w:id="1481" w:name="_Toc416448088"/>
      <w:bookmarkStart w:id="1482" w:name="_Toc416384139"/>
      <w:bookmarkStart w:id="1483" w:name="_Toc416448089"/>
      <w:bookmarkStart w:id="1484" w:name="_Toc416384140"/>
      <w:bookmarkStart w:id="1485" w:name="_Toc416448090"/>
      <w:bookmarkStart w:id="1486" w:name="_Toc416384141"/>
      <w:bookmarkStart w:id="1487" w:name="_Toc416448091"/>
      <w:bookmarkStart w:id="1488" w:name="_Toc416384142"/>
      <w:bookmarkStart w:id="1489" w:name="_Toc416448092"/>
      <w:bookmarkStart w:id="1490" w:name="_Toc416384143"/>
      <w:bookmarkStart w:id="1491" w:name="_Toc416448093"/>
      <w:bookmarkStart w:id="1492" w:name="_Toc416384144"/>
      <w:bookmarkStart w:id="1493" w:name="_Toc416448094"/>
      <w:bookmarkStart w:id="1494" w:name="_Toc416384145"/>
      <w:bookmarkStart w:id="1495" w:name="_Toc416448095"/>
      <w:bookmarkStart w:id="1496" w:name="_Toc416384147"/>
      <w:bookmarkStart w:id="1497" w:name="_Toc416448097"/>
      <w:bookmarkStart w:id="1498" w:name="_Toc416909825"/>
      <w:bookmarkStart w:id="1499" w:name="_Toc417545206"/>
      <w:bookmarkStart w:id="1500" w:name="_Toc416909828"/>
      <w:bookmarkStart w:id="1501" w:name="_Toc417545209"/>
      <w:bookmarkStart w:id="1502" w:name="_Toc416909850"/>
      <w:bookmarkStart w:id="1503" w:name="_Toc417545231"/>
      <w:bookmarkStart w:id="1504" w:name="_Toc416909881"/>
      <w:bookmarkStart w:id="1505" w:name="_Toc417545262"/>
      <w:bookmarkStart w:id="1506" w:name="_Toc416909882"/>
      <w:bookmarkStart w:id="1507" w:name="_Toc417545263"/>
      <w:bookmarkStart w:id="1508" w:name="_Toc416909883"/>
      <w:bookmarkStart w:id="1509" w:name="_Toc417545264"/>
      <w:bookmarkStart w:id="1510" w:name="_Toc416909949"/>
      <w:bookmarkStart w:id="1511" w:name="_Toc417545330"/>
      <w:bookmarkStart w:id="1512" w:name="_Toc421534340"/>
      <w:bookmarkEnd w:id="1420"/>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2C224A">
        <w:rPr>
          <w:rFonts w:ascii="Calibri" w:hAnsi="Calibri"/>
        </w:rPr>
        <w:lastRenderedPageBreak/>
        <w:t>Technická příloha</w:t>
      </w:r>
      <w:bookmarkEnd w:id="1512"/>
    </w:p>
    <w:p w:rsidR="006D67F1" w:rsidRPr="002C224A" w:rsidRDefault="006D67F1" w:rsidP="00FA5A53">
      <w:pPr>
        <w:pStyle w:val="Nadpis2"/>
        <w:rPr>
          <w:rFonts w:ascii="Calibri" w:hAnsi="Calibri"/>
        </w:rPr>
      </w:pPr>
      <w:bookmarkStart w:id="1513" w:name="_Toc421534341"/>
      <w:r w:rsidRPr="002C224A">
        <w:rPr>
          <w:rFonts w:ascii="Calibri" w:hAnsi="Calibri"/>
        </w:rPr>
        <w:t>Dotazníková šetření</w:t>
      </w:r>
      <w:bookmarkEnd w:id="1513"/>
    </w:p>
    <w:p w:rsidR="006D67F1" w:rsidRPr="002C224A" w:rsidRDefault="006D67F1" w:rsidP="00FA5A53">
      <w:pPr>
        <w:pStyle w:val="Nadpis3"/>
        <w:rPr>
          <w:rFonts w:ascii="Calibri" w:hAnsi="Calibri"/>
        </w:rPr>
      </w:pPr>
      <w:bookmarkStart w:id="1514" w:name="_Toc421534342"/>
      <w:r w:rsidRPr="002C224A">
        <w:rPr>
          <w:rFonts w:ascii="Calibri" w:hAnsi="Calibri"/>
        </w:rPr>
        <w:t>Základní informace o provedených dotazníkových šetřeních</w:t>
      </w:r>
      <w:bookmarkEnd w:id="1514"/>
    </w:p>
    <w:p w:rsidR="006D67F1" w:rsidRPr="002C224A" w:rsidRDefault="006D67F1" w:rsidP="00FA5A53">
      <w:r w:rsidRPr="00A50943">
        <w:t>Pro podporu a zpřesnění analytických i návrhových závěrů využil dodavatel instrumentu dotazníkového šetření,</w:t>
      </w:r>
      <w:r w:rsidRPr="002C224A">
        <w:t xml:space="preserve"> kdy dvě šetření se snažila především:</w:t>
      </w:r>
    </w:p>
    <w:p w:rsidR="006D67F1" w:rsidRPr="002C224A" w:rsidRDefault="006D67F1" w:rsidP="00FA5A53">
      <w:pPr>
        <w:pStyle w:val="Odstavecseseznamem1"/>
        <w:numPr>
          <w:ilvl w:val="0"/>
          <w:numId w:val="56"/>
        </w:numPr>
        <w:overflowPunct/>
        <w:autoSpaceDE/>
        <w:autoSpaceDN/>
        <w:adjustRightInd/>
        <w:spacing w:after="120"/>
        <w:textAlignment w:val="auto"/>
      </w:pPr>
      <w:r w:rsidRPr="002C224A">
        <w:t>Zmapovat zkušenosti respondentů s minulými investičními aktivitami, s důrazem na podmínky a dostupnost externího financování;</w:t>
      </w:r>
    </w:p>
    <w:p w:rsidR="006D67F1" w:rsidRPr="002C224A" w:rsidRDefault="006D67F1" w:rsidP="00FA5A53">
      <w:pPr>
        <w:pStyle w:val="Odstavecseseznamem1"/>
        <w:numPr>
          <w:ilvl w:val="0"/>
          <w:numId w:val="56"/>
        </w:numPr>
        <w:overflowPunct/>
        <w:autoSpaceDE/>
        <w:autoSpaceDN/>
        <w:adjustRightInd/>
        <w:spacing w:after="120"/>
        <w:textAlignment w:val="auto"/>
      </w:pPr>
      <w:r w:rsidRPr="002C224A">
        <w:t>Zmapovat plánované investiční záměry respondentů v nejbližších letech, ve vazbě na připravované programy podpory OP</w:t>
      </w:r>
      <w:r w:rsidR="002D09B7" w:rsidRPr="002C224A">
        <w:t xml:space="preserve"> </w:t>
      </w:r>
      <w:r w:rsidRPr="002C224A">
        <w:t>PIK;</w:t>
      </w:r>
    </w:p>
    <w:p w:rsidR="006D67F1" w:rsidRPr="002C224A" w:rsidRDefault="006D67F1" w:rsidP="00FA5A53">
      <w:pPr>
        <w:pStyle w:val="Odstavecseseznamem1"/>
        <w:numPr>
          <w:ilvl w:val="0"/>
          <w:numId w:val="56"/>
        </w:numPr>
        <w:overflowPunct/>
        <w:autoSpaceDE/>
        <w:autoSpaceDN/>
        <w:adjustRightInd/>
        <w:spacing w:after="120"/>
        <w:textAlignment w:val="auto"/>
      </w:pPr>
      <w:r w:rsidRPr="002C224A">
        <w:t>Zmapovat potenciální zájem o podporu OP</w:t>
      </w:r>
      <w:r w:rsidR="002D09B7" w:rsidRPr="002C224A">
        <w:t xml:space="preserve"> </w:t>
      </w:r>
      <w:r w:rsidRPr="002C224A">
        <w:t>PIK v případě, kdy by byla poskytována jednou ze zvažovaných forem finančních nástrojů, konkrétně:</w:t>
      </w:r>
    </w:p>
    <w:p w:rsidR="006D67F1" w:rsidRPr="002C224A" w:rsidRDefault="006D67F1" w:rsidP="00FA5A53">
      <w:pPr>
        <w:pStyle w:val="Odstavecseseznamem1"/>
        <w:numPr>
          <w:ilvl w:val="1"/>
          <w:numId w:val="56"/>
        </w:numPr>
        <w:overflowPunct/>
        <w:autoSpaceDE/>
        <w:autoSpaceDN/>
        <w:adjustRightInd/>
        <w:spacing w:after="120"/>
        <w:textAlignment w:val="auto"/>
      </w:pPr>
      <w:r w:rsidRPr="002C224A">
        <w:t>Zvýhodněný úvěr</w:t>
      </w:r>
    </w:p>
    <w:p w:rsidR="006D67F1" w:rsidRPr="002C224A" w:rsidRDefault="006D67F1" w:rsidP="00FA5A53">
      <w:pPr>
        <w:pStyle w:val="Odstavecseseznamem1"/>
        <w:numPr>
          <w:ilvl w:val="1"/>
          <w:numId w:val="56"/>
        </w:numPr>
        <w:overflowPunct/>
        <w:autoSpaceDE/>
        <w:autoSpaceDN/>
        <w:adjustRightInd/>
        <w:spacing w:after="120"/>
        <w:textAlignment w:val="auto"/>
      </w:pPr>
      <w:r w:rsidRPr="002C224A">
        <w:t>Zvýhodněný úvěr s dotační složkou</w:t>
      </w:r>
    </w:p>
    <w:p w:rsidR="006D67F1" w:rsidRPr="002C224A" w:rsidRDefault="006D67F1" w:rsidP="00FA5A53">
      <w:pPr>
        <w:pStyle w:val="Odstavecseseznamem1"/>
        <w:numPr>
          <w:ilvl w:val="1"/>
          <w:numId w:val="56"/>
        </w:numPr>
        <w:overflowPunct/>
        <w:autoSpaceDE/>
        <w:autoSpaceDN/>
        <w:adjustRightInd/>
        <w:spacing w:after="120"/>
        <w:textAlignment w:val="auto"/>
      </w:pPr>
      <w:r w:rsidRPr="002C224A">
        <w:t>Záruka za komerční úvěr</w:t>
      </w:r>
    </w:p>
    <w:p w:rsidR="006D67F1" w:rsidRPr="002C224A" w:rsidRDefault="006D67F1" w:rsidP="00FA5A53">
      <w:pPr>
        <w:pStyle w:val="Odstavecseseznamem1"/>
        <w:numPr>
          <w:ilvl w:val="1"/>
          <w:numId w:val="56"/>
        </w:numPr>
        <w:overflowPunct/>
        <w:autoSpaceDE/>
        <w:autoSpaceDN/>
        <w:adjustRightInd/>
        <w:spacing w:after="120"/>
        <w:textAlignment w:val="auto"/>
      </w:pPr>
      <w:r w:rsidRPr="002C224A">
        <w:t>Kapitálový vstup.</w:t>
      </w:r>
    </w:p>
    <w:p w:rsidR="006D67F1" w:rsidRPr="002C224A" w:rsidRDefault="006D67F1" w:rsidP="00FA5A53">
      <w:r w:rsidRPr="002C224A">
        <w:t>V rámci projektu ex-ante analýzy byly realizovány celkem dvě dotazníková šetření.</w:t>
      </w:r>
    </w:p>
    <w:p w:rsidR="006D67F1" w:rsidRPr="002C224A" w:rsidRDefault="006D67F1" w:rsidP="00FA5A53">
      <w:pPr>
        <w:pStyle w:val="Neslovannadpisy"/>
      </w:pPr>
    </w:p>
    <w:p w:rsidR="006D67F1" w:rsidRPr="002C224A" w:rsidRDefault="00823695" w:rsidP="00823695">
      <w:pPr>
        <w:pStyle w:val="Titulek"/>
      </w:pPr>
      <w:r w:rsidRPr="002C224A">
        <w:t xml:space="preserve">Tabulka </w:t>
      </w:r>
      <w:r w:rsidR="00AC6EB9">
        <w:t>137</w:t>
      </w:r>
      <w:r w:rsidRPr="002C224A">
        <w:t xml:space="preserve">: </w:t>
      </w:r>
      <w:r w:rsidR="006D67F1" w:rsidRPr="002C224A">
        <w:t>Dotazníkové šetření č. 1 – zaměření na celý OP PIK</w:t>
      </w:r>
    </w:p>
    <w:tbl>
      <w:tblPr>
        <w:tblW w:w="9226" w:type="dxa"/>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438"/>
        <w:gridCol w:w="6788"/>
      </w:tblGrid>
      <w:tr w:rsidR="006D67F1" w:rsidRPr="002C224A" w:rsidTr="00E67ABD">
        <w:tc>
          <w:tcPr>
            <w:tcW w:w="9226" w:type="dxa"/>
            <w:gridSpan w:val="2"/>
            <w:shd w:val="clear" w:color="auto" w:fill="ECFFC3"/>
          </w:tcPr>
          <w:p w:rsidR="006D67F1" w:rsidRPr="002C224A" w:rsidRDefault="006D67F1" w:rsidP="00E67ABD">
            <w:pPr>
              <w:ind w:left="38"/>
              <w:rPr>
                <w:b/>
              </w:rPr>
            </w:pPr>
            <w:r w:rsidRPr="00A50943">
              <w:rPr>
                <w:b/>
              </w:rPr>
              <w:t>Dotazníkové šetření č. 1 – Zaměření na celý OP</w:t>
            </w:r>
            <w:r w:rsidR="002D09B7" w:rsidRPr="002C224A">
              <w:rPr>
                <w:b/>
              </w:rPr>
              <w:t xml:space="preserve"> </w:t>
            </w:r>
            <w:r w:rsidRPr="002C224A">
              <w:rPr>
                <w:b/>
              </w:rPr>
              <w:t>PIK</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Tematické zaměření</w:t>
            </w:r>
          </w:p>
        </w:tc>
        <w:tc>
          <w:tcPr>
            <w:tcW w:w="6788" w:type="dxa"/>
            <w:shd w:val="clear" w:color="auto" w:fill="FFFFFF"/>
            <w:noWrap/>
          </w:tcPr>
          <w:p w:rsidR="006D67F1" w:rsidRPr="002C224A" w:rsidRDefault="006D67F1" w:rsidP="00E67ABD">
            <w:r w:rsidRPr="002C224A">
              <w:t>SC 1.1, 2.1, 2.3, 3.1, 3.2, 3.5, 4</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Termín realizace šetření</w:t>
            </w:r>
          </w:p>
        </w:tc>
        <w:tc>
          <w:tcPr>
            <w:tcW w:w="6788" w:type="dxa"/>
            <w:shd w:val="clear" w:color="auto" w:fill="FFFFFF"/>
            <w:noWrap/>
          </w:tcPr>
          <w:p w:rsidR="006D67F1" w:rsidRPr="002C224A" w:rsidRDefault="006D67F1" w:rsidP="00E67ABD">
            <w:pPr>
              <w:rPr>
                <w:i/>
              </w:rPr>
            </w:pPr>
            <w:r w:rsidRPr="002C224A">
              <w:rPr>
                <w:i/>
              </w:rPr>
              <w:t>22-31.1.2015</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Počet oslovených</w:t>
            </w:r>
          </w:p>
        </w:tc>
        <w:tc>
          <w:tcPr>
            <w:tcW w:w="6788" w:type="dxa"/>
            <w:shd w:val="clear" w:color="auto" w:fill="FFFFFF"/>
            <w:noWrap/>
          </w:tcPr>
          <w:p w:rsidR="006D67F1" w:rsidRPr="002C224A" w:rsidRDefault="006D67F1" w:rsidP="00E67ABD">
            <w:pPr>
              <w:rPr>
                <w:i/>
              </w:rPr>
            </w:pPr>
            <w:r w:rsidRPr="002C224A">
              <w:rPr>
                <w:i/>
              </w:rPr>
              <w:t>15 000</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Výběr oslovených</w:t>
            </w:r>
          </w:p>
        </w:tc>
        <w:tc>
          <w:tcPr>
            <w:tcW w:w="6788" w:type="dxa"/>
            <w:shd w:val="clear" w:color="auto" w:fill="FFFFFF"/>
            <w:noWrap/>
          </w:tcPr>
          <w:p w:rsidR="006D67F1" w:rsidRPr="002C224A" w:rsidRDefault="006D67F1" w:rsidP="00E67ABD">
            <w:pPr>
              <w:rPr>
                <w:i/>
              </w:rPr>
            </w:pPr>
            <w:r w:rsidRPr="002C224A">
              <w:rPr>
                <w:i/>
              </w:rPr>
              <w:t>Databáze kontaktů shromážděných v rámci minulé podpory</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Forma oslovení</w:t>
            </w:r>
          </w:p>
        </w:tc>
        <w:tc>
          <w:tcPr>
            <w:tcW w:w="6788" w:type="dxa"/>
            <w:shd w:val="clear" w:color="auto" w:fill="FFFFFF"/>
            <w:noWrap/>
          </w:tcPr>
          <w:p w:rsidR="006D67F1" w:rsidRPr="002C224A" w:rsidRDefault="00F56B33" w:rsidP="0008236A">
            <w:pPr>
              <w:rPr>
                <w:i/>
              </w:rPr>
            </w:pPr>
            <w:r w:rsidRPr="002C224A">
              <w:rPr>
                <w:i/>
              </w:rPr>
              <w:t>Přímá, e</w:t>
            </w:r>
            <w:r w:rsidR="006D67F1" w:rsidRPr="002C224A">
              <w:rPr>
                <w:i/>
              </w:rPr>
              <w:t>-mail</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Počet odpovědí</w:t>
            </w:r>
          </w:p>
        </w:tc>
        <w:tc>
          <w:tcPr>
            <w:tcW w:w="6788" w:type="dxa"/>
            <w:shd w:val="clear" w:color="auto" w:fill="FFFFFF"/>
            <w:noWrap/>
          </w:tcPr>
          <w:p w:rsidR="006D67F1" w:rsidRPr="002C224A" w:rsidRDefault="006D67F1" w:rsidP="00E67ABD">
            <w:pPr>
              <w:rPr>
                <w:i/>
              </w:rPr>
            </w:pPr>
            <w:r w:rsidRPr="002C224A">
              <w:rPr>
                <w:i/>
              </w:rPr>
              <w:t>1077</w:t>
            </w:r>
          </w:p>
        </w:tc>
      </w:tr>
    </w:tbl>
    <w:p w:rsidR="006D67F1" w:rsidRDefault="006D67F1" w:rsidP="00FA5A53"/>
    <w:p w:rsidR="004763C8" w:rsidRPr="002C224A" w:rsidRDefault="004763C8" w:rsidP="00FA5A53">
      <w:r>
        <w:t xml:space="preserve">Uvedený vzorek odpovědí obsahuje </w:t>
      </w:r>
      <w:r w:rsidR="008F1C31">
        <w:t xml:space="preserve">18 % mikropodniků, </w:t>
      </w:r>
      <w:r>
        <w:t>43 % malých, 29 % středních a 10 % velkých</w:t>
      </w:r>
      <w:r w:rsidRPr="004763C8">
        <w:t xml:space="preserve"> </w:t>
      </w:r>
      <w:r>
        <w:t>podniků. Zastoupeny jsou všechny regiony krom hl. města Prahy. Nejvíce je zastoupen zpracovatelský průmysl (52 %), následován stavebnictvím (11 %), informační a komunikační činností (10 %) a profesní, vědeckou a technickou činností (9 %).</w:t>
      </w:r>
    </w:p>
    <w:p w:rsidR="006D67F1" w:rsidRPr="002C224A" w:rsidRDefault="006D67F1" w:rsidP="00FA5A53"/>
    <w:p w:rsidR="006D67F1" w:rsidRPr="002C224A" w:rsidRDefault="00823695" w:rsidP="00823695">
      <w:pPr>
        <w:pStyle w:val="Titulek"/>
      </w:pPr>
      <w:r w:rsidRPr="002C224A">
        <w:t xml:space="preserve">Tabulka </w:t>
      </w:r>
      <w:r w:rsidR="00AC6EB9">
        <w:t>138</w:t>
      </w:r>
      <w:r w:rsidRPr="002C224A">
        <w:t xml:space="preserve">: </w:t>
      </w:r>
      <w:r w:rsidR="006D67F1" w:rsidRPr="002C224A">
        <w:t>Dotazníkové šetření č. 2 - Zaměření na podporu podnikatelských záměrů začínajících podniků</w:t>
      </w:r>
    </w:p>
    <w:tbl>
      <w:tblPr>
        <w:tblW w:w="9226" w:type="dxa"/>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438"/>
        <w:gridCol w:w="6788"/>
      </w:tblGrid>
      <w:tr w:rsidR="006D67F1" w:rsidRPr="002C224A" w:rsidTr="00E67ABD">
        <w:tc>
          <w:tcPr>
            <w:tcW w:w="9226" w:type="dxa"/>
            <w:gridSpan w:val="2"/>
            <w:shd w:val="clear" w:color="auto" w:fill="ECFFC3"/>
          </w:tcPr>
          <w:p w:rsidR="006D67F1" w:rsidRPr="00A50943" w:rsidRDefault="006D67F1" w:rsidP="00E67ABD">
            <w:pPr>
              <w:ind w:left="38"/>
              <w:rPr>
                <w:b/>
              </w:rPr>
            </w:pPr>
            <w:r w:rsidRPr="00A50943">
              <w:rPr>
                <w:b/>
              </w:rPr>
              <w:t>Dotazníkové šetření č. 2 – Zaměření na podporu podnikatelských záměrů začínajících podniků</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Tematické zaměření</w:t>
            </w:r>
          </w:p>
        </w:tc>
        <w:tc>
          <w:tcPr>
            <w:tcW w:w="6788" w:type="dxa"/>
            <w:shd w:val="clear" w:color="auto" w:fill="FFFFFF"/>
            <w:noWrap/>
          </w:tcPr>
          <w:p w:rsidR="006D67F1" w:rsidRPr="002C224A" w:rsidRDefault="006D67F1" w:rsidP="00E67ABD">
            <w:r w:rsidRPr="002C224A">
              <w:rPr>
                <w:i/>
              </w:rPr>
              <w:t>Doplní MPO</w:t>
            </w:r>
            <w:r w:rsidRPr="002C224A">
              <w:t xml:space="preserve"> – SC 2.1</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Termín realizace šetření</w:t>
            </w:r>
          </w:p>
        </w:tc>
        <w:tc>
          <w:tcPr>
            <w:tcW w:w="6788" w:type="dxa"/>
            <w:shd w:val="clear" w:color="auto" w:fill="FFFFFF"/>
            <w:noWrap/>
          </w:tcPr>
          <w:p w:rsidR="006D67F1" w:rsidRPr="002C224A" w:rsidRDefault="006D67F1" w:rsidP="00E67ABD">
            <w:pPr>
              <w:rPr>
                <w:i/>
              </w:rPr>
            </w:pPr>
            <w:r w:rsidRPr="002C224A">
              <w:rPr>
                <w:i/>
              </w:rPr>
              <w:t>30.1.-15.2. 2015</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Počet oslovených</w:t>
            </w:r>
          </w:p>
        </w:tc>
        <w:tc>
          <w:tcPr>
            <w:tcW w:w="6788" w:type="dxa"/>
            <w:shd w:val="clear" w:color="auto" w:fill="FFFFFF"/>
            <w:noWrap/>
          </w:tcPr>
          <w:p w:rsidR="006D67F1" w:rsidRPr="002C224A" w:rsidRDefault="006D67F1" w:rsidP="0008236A">
            <w:pPr>
              <w:rPr>
                <w:i/>
              </w:rPr>
            </w:pPr>
            <w:r w:rsidRPr="002C224A">
              <w:rPr>
                <w:i/>
              </w:rPr>
              <w:t xml:space="preserve">55 </w:t>
            </w:r>
            <w:r w:rsidR="00F56B33" w:rsidRPr="002C224A">
              <w:rPr>
                <w:i/>
              </w:rPr>
              <w:t xml:space="preserve">organizací </w:t>
            </w:r>
            <w:r w:rsidRPr="002C224A">
              <w:rPr>
                <w:i/>
              </w:rPr>
              <w:t>z oblasti vysokých škol, inkubátorů, akcelerátorů, technologických center, center transferu technologií apod.</w:t>
            </w:r>
            <w:r w:rsidR="00F56B33" w:rsidRPr="002C224A">
              <w:rPr>
                <w:i/>
              </w:rPr>
              <w:t>, které dotazník dále distribuovaly svým kontaktům</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Výběr oslovených</w:t>
            </w:r>
          </w:p>
        </w:tc>
        <w:tc>
          <w:tcPr>
            <w:tcW w:w="6788" w:type="dxa"/>
            <w:shd w:val="clear" w:color="auto" w:fill="FFFFFF"/>
            <w:noWrap/>
          </w:tcPr>
          <w:p w:rsidR="006D67F1" w:rsidRPr="002C224A" w:rsidRDefault="00F56B33" w:rsidP="0008236A">
            <w:pPr>
              <w:rPr>
                <w:i/>
              </w:rPr>
            </w:pPr>
            <w:r w:rsidRPr="002C224A">
              <w:rPr>
                <w:i/>
              </w:rPr>
              <w:t>Startupy a spinoffy z prostředí infrastruktury pro podporu startupového podnikání a komercializace VaV</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Forma oslovení</w:t>
            </w:r>
          </w:p>
        </w:tc>
        <w:tc>
          <w:tcPr>
            <w:tcW w:w="6788" w:type="dxa"/>
            <w:shd w:val="clear" w:color="auto" w:fill="FFFFFF"/>
            <w:noWrap/>
          </w:tcPr>
          <w:p w:rsidR="006D67F1" w:rsidRPr="002C224A" w:rsidRDefault="006D67F1" w:rsidP="00E67ABD">
            <w:pPr>
              <w:rPr>
                <w:i/>
              </w:rPr>
            </w:pPr>
            <w:r w:rsidRPr="002C224A">
              <w:rPr>
                <w:i/>
              </w:rPr>
              <w:t>E-mail zprostředkujícím subjektům, prostřednictvím nichž byly osloveny cílové startupy; zprávy v internetových médiích</w:t>
            </w:r>
          </w:p>
        </w:tc>
      </w:tr>
      <w:tr w:rsidR="006D67F1" w:rsidRPr="002C224A" w:rsidTr="00E67ABD">
        <w:tc>
          <w:tcPr>
            <w:tcW w:w="2438" w:type="dxa"/>
            <w:shd w:val="clear" w:color="auto" w:fill="92D400"/>
            <w:noWrap/>
          </w:tcPr>
          <w:p w:rsidR="006D67F1" w:rsidRPr="002C224A" w:rsidRDefault="006D67F1" w:rsidP="00E67ABD">
            <w:pPr>
              <w:jc w:val="left"/>
              <w:rPr>
                <w:b/>
                <w:color w:val="FFFFFF"/>
              </w:rPr>
            </w:pPr>
            <w:r w:rsidRPr="002C224A">
              <w:rPr>
                <w:b/>
                <w:color w:val="FFFFFF"/>
              </w:rPr>
              <w:t>Počet odpovědí</w:t>
            </w:r>
          </w:p>
        </w:tc>
        <w:tc>
          <w:tcPr>
            <w:tcW w:w="6788" w:type="dxa"/>
            <w:shd w:val="clear" w:color="auto" w:fill="FFFFFF"/>
            <w:noWrap/>
          </w:tcPr>
          <w:p w:rsidR="006D67F1" w:rsidRPr="002C224A" w:rsidRDefault="006D67F1" w:rsidP="00E67ABD">
            <w:pPr>
              <w:rPr>
                <w:i/>
              </w:rPr>
            </w:pPr>
            <w:r w:rsidRPr="002C224A">
              <w:rPr>
                <w:i/>
              </w:rPr>
              <w:t>76</w:t>
            </w:r>
          </w:p>
        </w:tc>
      </w:tr>
    </w:tbl>
    <w:p w:rsidR="00801789" w:rsidRDefault="00801789" w:rsidP="00FA5A53"/>
    <w:p w:rsidR="00801789" w:rsidRDefault="00801789" w:rsidP="00FA5A53">
      <w:r>
        <w:lastRenderedPageBreak/>
        <w:t>72 % odpovědí representuje firmy vzniklé po roce 2010, vzorek obsahuje 78 % mikropodniků</w:t>
      </w:r>
      <w:r w:rsidR="008F1C31">
        <w:t xml:space="preserve"> a 16 % malých podniků. Jsou zastoupeny respondenti ze všech krajů ČR mimo hl. m. Prahy, nejvýznamněji Středočeský (37 %) a Jihomoravský (29 %) kraj, následovány Moravskoslezským a Plzeňským (18 %</w:t>
      </w:r>
      <w:r w:rsidR="008F1C31">
        <w:rPr>
          <w:rStyle w:val="Znakapoznpodarou"/>
        </w:rPr>
        <w:footnoteReference w:id="74"/>
      </w:r>
      <w:r w:rsidR="008F1C31">
        <w:t>)</w:t>
      </w:r>
      <w:r w:rsidR="0004592A">
        <w:t>.</w:t>
      </w:r>
    </w:p>
    <w:p w:rsidR="00801789" w:rsidRPr="002C224A" w:rsidRDefault="00801789" w:rsidP="00FA5A53"/>
    <w:p w:rsidR="006D67F1" w:rsidRPr="002C224A" w:rsidRDefault="006D67F1" w:rsidP="00FA5A53">
      <w:pPr>
        <w:pStyle w:val="Nadpis3"/>
        <w:rPr>
          <w:rFonts w:ascii="Calibri" w:hAnsi="Calibri"/>
        </w:rPr>
      </w:pPr>
      <w:bookmarkStart w:id="1515" w:name="_Toc421534343"/>
      <w:r w:rsidRPr="002C224A">
        <w:rPr>
          <w:rFonts w:ascii="Calibri" w:hAnsi="Calibri"/>
        </w:rPr>
        <w:t>Závěry dotazníkových šetření</w:t>
      </w:r>
      <w:bookmarkEnd w:id="1515"/>
    </w:p>
    <w:p w:rsidR="006D67F1" w:rsidRPr="00A50943" w:rsidRDefault="006D67F1" w:rsidP="00FA5A53">
      <w:pPr>
        <w:pStyle w:val="Neslovannadpisy"/>
      </w:pPr>
      <w:r w:rsidRPr="00A50943">
        <w:t>Dotazníkové šetření č. 1 – zaměření na celý OP PIK</w:t>
      </w:r>
    </w:p>
    <w:p w:rsidR="006D67F1" w:rsidRPr="002C224A" w:rsidRDefault="006D67F1" w:rsidP="00FA5A53">
      <w:r w:rsidRPr="002C224A">
        <w:t>Mezi klíčová zjištění dotazníkového šetření lze zařadit především následující:</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 xml:space="preserve">Průměrný úrok za externí financování činil 3,9 % p.a. </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Průměrná doba splatnosti se pohybuje v rozmezí 6 až 7 let</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Řada respondentů má problémy se zabezpečením externího financování pro své investice</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V případě zavedení finančních nástrojů existuje poměrně významný objem respondentů, kteří by měli zájem se o tento druh podpory ucházet v rámci OP</w:t>
      </w:r>
      <w:r w:rsidR="002D09B7" w:rsidRPr="002C224A">
        <w:t xml:space="preserve"> </w:t>
      </w:r>
      <w:r w:rsidRPr="002C224A">
        <w:t>PIK</w:t>
      </w:r>
    </w:p>
    <w:p w:rsidR="006D67F1" w:rsidRPr="002C224A" w:rsidRDefault="0054003F" w:rsidP="00331BB7">
      <w:r>
        <w:t>Podrobnější výsledky jsou uvedeny u jednotlivých specifických cílů v tržní analýze</w:t>
      </w:r>
    </w:p>
    <w:p w:rsidR="006D67F1" w:rsidRPr="00A50943" w:rsidRDefault="006D67F1" w:rsidP="00FA5A53"/>
    <w:p w:rsidR="006D67F1" w:rsidRPr="002C224A" w:rsidRDefault="006D67F1" w:rsidP="00FA5A53">
      <w:pPr>
        <w:pStyle w:val="Neslovannadpisy"/>
      </w:pPr>
      <w:r w:rsidRPr="002C224A">
        <w:t>Dotazníkové šetření č. 2 - Zaměření na podporu podnikatelských záměrů začínajících podniků</w:t>
      </w:r>
    </w:p>
    <w:p w:rsidR="006D67F1" w:rsidRPr="002C224A" w:rsidRDefault="006D67F1" w:rsidP="00FA5A53">
      <w:r w:rsidRPr="002C224A">
        <w:t>Mezi klíčová zjištění dotazníkového šetření lze zařadit především následující:</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 xml:space="preserve">Průměrný úrok za externí financování činil 6,2 % p.a. </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Průměrná doba splatnosti se pohybuje v rozmezí 4 až 5 let</w:t>
      </w:r>
    </w:p>
    <w:p w:rsidR="006D67F1" w:rsidRPr="002C224A" w:rsidRDefault="006D67F1" w:rsidP="00FA5A53">
      <w:pPr>
        <w:pStyle w:val="Odstavecseseznamem1"/>
        <w:numPr>
          <w:ilvl w:val="0"/>
          <w:numId w:val="57"/>
        </w:numPr>
        <w:overflowPunct/>
        <w:autoSpaceDE/>
        <w:autoSpaceDN/>
        <w:adjustRightInd/>
        <w:spacing w:after="120"/>
        <w:textAlignment w:val="auto"/>
      </w:pPr>
      <w:r w:rsidRPr="002C224A">
        <w:t>Řada respondentů má problémy se zabezpečením externího financování pro své investice</w:t>
      </w:r>
    </w:p>
    <w:p w:rsidR="006D67F1" w:rsidRDefault="006D67F1" w:rsidP="00FA5A53">
      <w:pPr>
        <w:pStyle w:val="Odstavecseseznamem1"/>
        <w:numPr>
          <w:ilvl w:val="0"/>
          <w:numId w:val="57"/>
        </w:numPr>
        <w:overflowPunct/>
        <w:autoSpaceDE/>
        <w:autoSpaceDN/>
        <w:adjustRightInd/>
        <w:spacing w:after="120"/>
        <w:textAlignment w:val="auto"/>
      </w:pPr>
      <w:r w:rsidRPr="002C224A">
        <w:t>V případě zavedení finančních nástrojů existuje poměrně významný objem respondentů, kteří by měli zájem se o tento druh podpory ucházet v rámci OP</w:t>
      </w:r>
      <w:r w:rsidR="002D09B7" w:rsidRPr="002C224A">
        <w:t xml:space="preserve"> </w:t>
      </w:r>
      <w:r w:rsidRPr="002C224A">
        <w:t>PIK</w:t>
      </w:r>
    </w:p>
    <w:p w:rsidR="0054003F" w:rsidRPr="002C224A" w:rsidRDefault="0054003F" w:rsidP="00331BB7">
      <w:r>
        <w:t>Podrobnější výsledky jsou uvedeny u jednotlivých specifických cílů v tržní analýze</w:t>
      </w:r>
    </w:p>
    <w:p w:rsidR="006D67F1" w:rsidRPr="00A50943" w:rsidRDefault="006D67F1" w:rsidP="00FA5A53"/>
    <w:p w:rsidR="006D67F1" w:rsidRPr="002C224A" w:rsidRDefault="006D67F1" w:rsidP="00FA5A53">
      <w:pPr>
        <w:pStyle w:val="Nadpis2"/>
        <w:rPr>
          <w:rFonts w:ascii="Calibri" w:hAnsi="Calibri"/>
        </w:rPr>
      </w:pPr>
      <w:bookmarkStart w:id="1516" w:name="_Toc421534344"/>
      <w:r w:rsidRPr="002C224A">
        <w:rPr>
          <w:rFonts w:ascii="Calibri" w:hAnsi="Calibri"/>
        </w:rPr>
        <w:t>Řízené rozhovory</w:t>
      </w:r>
      <w:bookmarkEnd w:id="1516"/>
    </w:p>
    <w:p w:rsidR="006D67F1" w:rsidRPr="002C224A" w:rsidRDefault="006D67F1" w:rsidP="00FA5A53">
      <w:pPr>
        <w:pStyle w:val="Nadpis3"/>
        <w:rPr>
          <w:rFonts w:ascii="Calibri" w:hAnsi="Calibri"/>
        </w:rPr>
      </w:pPr>
      <w:bookmarkStart w:id="1517" w:name="_Toc421534345"/>
      <w:r w:rsidRPr="002C224A">
        <w:rPr>
          <w:rFonts w:ascii="Calibri" w:hAnsi="Calibri"/>
        </w:rPr>
        <w:t>Seznam konzultovaných subjektů</w:t>
      </w:r>
      <w:bookmarkEnd w:id="1517"/>
    </w:p>
    <w:p w:rsidR="006D67F1" w:rsidRPr="00A50943" w:rsidRDefault="006D67F1" w:rsidP="00FA5A53">
      <w:pPr>
        <w:rPr>
          <w:b/>
        </w:rPr>
      </w:pPr>
      <w:r w:rsidRPr="00A50943">
        <w:rPr>
          <w:b/>
        </w:rPr>
        <w:t>Finanční trh:</w:t>
      </w:r>
    </w:p>
    <w:p w:rsidR="006D67F1" w:rsidRPr="002C224A" w:rsidRDefault="006D67F1" w:rsidP="00FA5A53">
      <w:r w:rsidRPr="002C224A">
        <w:t>Česká bankovní asociace</w:t>
      </w:r>
    </w:p>
    <w:p w:rsidR="006D67F1" w:rsidRPr="002C224A" w:rsidRDefault="006D67F1" w:rsidP="00FA5A53">
      <w:r w:rsidRPr="002C224A">
        <w:t>Czech Private Equity&amp; Venture Capital Association</w:t>
      </w:r>
    </w:p>
    <w:p w:rsidR="006D67F1" w:rsidRPr="002C224A" w:rsidRDefault="006D67F1" w:rsidP="00FA5A53">
      <w:r w:rsidRPr="002C224A">
        <w:t>Českomoravská záruční a rozvojová banka, a.s.</w:t>
      </w:r>
    </w:p>
    <w:p w:rsidR="006D67F1" w:rsidRPr="002C224A" w:rsidRDefault="006D67F1" w:rsidP="00FA5A53">
      <w:pPr>
        <w:rPr>
          <w:bCs/>
        </w:rPr>
      </w:pPr>
      <w:r w:rsidRPr="002C224A">
        <w:t>Burza cenných papírů Praha</w:t>
      </w:r>
    </w:p>
    <w:p w:rsidR="006D67F1" w:rsidRPr="002C224A" w:rsidRDefault="006D67F1" w:rsidP="00FA5A53">
      <w:pPr>
        <w:rPr>
          <w:bCs/>
        </w:rPr>
      </w:pPr>
      <w:r w:rsidRPr="002C224A">
        <w:t>Asociace pro kapitálový trh</w:t>
      </w:r>
    </w:p>
    <w:p w:rsidR="006D67F1" w:rsidRPr="002C224A" w:rsidRDefault="006D67F1" w:rsidP="00FA5A53"/>
    <w:p w:rsidR="006D67F1" w:rsidRPr="002C224A" w:rsidRDefault="006D67F1" w:rsidP="00FA5A53">
      <w:pPr>
        <w:rPr>
          <w:b/>
        </w:rPr>
      </w:pPr>
      <w:r w:rsidRPr="002C224A">
        <w:rPr>
          <w:b/>
        </w:rPr>
        <w:t>Zájmová sdružení cílových skupin:</w:t>
      </w:r>
    </w:p>
    <w:p w:rsidR="006D67F1" w:rsidRPr="002C224A" w:rsidRDefault="006D67F1" w:rsidP="00FA5A53">
      <w:r w:rsidRPr="002C224A">
        <w:t>Asociace malých a středních podniků</w:t>
      </w:r>
    </w:p>
    <w:p w:rsidR="006D67F1" w:rsidRPr="002C224A" w:rsidRDefault="006D67F1" w:rsidP="00FA5A53">
      <w:r w:rsidRPr="002C224A">
        <w:t>Svaz průmyslu a dopravy ČR</w:t>
      </w:r>
    </w:p>
    <w:p w:rsidR="006D67F1" w:rsidRPr="002C224A" w:rsidRDefault="006D67F1" w:rsidP="00FA5A53">
      <w:r w:rsidRPr="002C224A">
        <w:t>Hospodářská komora ČR</w:t>
      </w:r>
    </w:p>
    <w:p w:rsidR="006D67F1" w:rsidRPr="002C224A" w:rsidRDefault="006D67F1" w:rsidP="00FA5A53"/>
    <w:p w:rsidR="006D67F1" w:rsidRPr="002C224A" w:rsidRDefault="006D67F1" w:rsidP="00FA5A53">
      <w:pPr>
        <w:rPr>
          <w:b/>
        </w:rPr>
      </w:pPr>
      <w:r w:rsidRPr="002C224A">
        <w:rPr>
          <w:b/>
        </w:rPr>
        <w:t>Výzkum, vývoj a inovace:</w:t>
      </w:r>
    </w:p>
    <w:p w:rsidR="006D67F1" w:rsidRPr="002C224A" w:rsidRDefault="006D67F1" w:rsidP="00FA5A53">
      <w:r w:rsidRPr="002C224A">
        <w:t>Akademie věd České republiky</w:t>
      </w:r>
    </w:p>
    <w:p w:rsidR="006D67F1" w:rsidRPr="002C224A" w:rsidRDefault="006D67F1" w:rsidP="00FA5A53">
      <w:r w:rsidRPr="002C224A">
        <w:t>Jihomoravské inovační centrum</w:t>
      </w:r>
    </w:p>
    <w:p w:rsidR="006D67F1" w:rsidRPr="002C224A" w:rsidRDefault="006D67F1" w:rsidP="00FA5A53">
      <w:r w:rsidRPr="002C224A">
        <w:t>Ústav organické chemie a biochemie AV ČR</w:t>
      </w:r>
    </w:p>
    <w:p w:rsidR="006D67F1" w:rsidRPr="002C224A" w:rsidRDefault="006D67F1" w:rsidP="00FA5A53">
      <w:r w:rsidRPr="002C224A">
        <w:t>Technologické centrum AV ČR</w:t>
      </w:r>
    </w:p>
    <w:p w:rsidR="006D67F1" w:rsidRPr="002C224A" w:rsidRDefault="006D67F1" w:rsidP="00FA5A53">
      <w:r w:rsidRPr="002C224A">
        <w:t>Rada vysokých škol</w:t>
      </w:r>
    </w:p>
    <w:p w:rsidR="006D67F1" w:rsidRPr="002C224A" w:rsidRDefault="006D67F1" w:rsidP="00FA5A53">
      <w:r w:rsidRPr="002C224A">
        <w:lastRenderedPageBreak/>
        <w:t>Vysoká škola ekonomická v Praze</w:t>
      </w:r>
    </w:p>
    <w:p w:rsidR="006D67F1" w:rsidRPr="002C224A" w:rsidRDefault="006D67F1" w:rsidP="00FA5A53">
      <w:pPr>
        <w:rPr>
          <w:bCs/>
        </w:rPr>
      </w:pPr>
      <w:r w:rsidRPr="002C224A">
        <w:t>Asociace profesionálů v transferu technologie v ČR</w:t>
      </w:r>
    </w:p>
    <w:p w:rsidR="006D67F1" w:rsidRPr="002C224A" w:rsidRDefault="006D67F1" w:rsidP="00FA5A53">
      <w:pPr>
        <w:rPr>
          <w:bCs/>
        </w:rPr>
      </w:pPr>
      <w:r w:rsidRPr="002C224A">
        <w:t>WAYRA</w:t>
      </w:r>
    </w:p>
    <w:p w:rsidR="006D67F1" w:rsidRPr="002C224A" w:rsidRDefault="006D67F1" w:rsidP="00FA5A53">
      <w:pPr>
        <w:rPr>
          <w:bCs/>
        </w:rPr>
      </w:pPr>
      <w:r w:rsidRPr="002C224A">
        <w:t>Česko-izraelská smíšená obchodní komora</w:t>
      </w:r>
    </w:p>
    <w:p w:rsidR="006D67F1" w:rsidRPr="002C224A" w:rsidRDefault="006D67F1" w:rsidP="00FA5A53"/>
    <w:p w:rsidR="00046AA5" w:rsidRPr="002C224A" w:rsidRDefault="00046AA5" w:rsidP="00FA5A53">
      <w:pPr>
        <w:rPr>
          <w:b/>
        </w:rPr>
      </w:pPr>
    </w:p>
    <w:p w:rsidR="006D67F1" w:rsidRPr="002C224A" w:rsidRDefault="006D67F1" w:rsidP="00FA5A53">
      <w:pPr>
        <w:rPr>
          <w:b/>
        </w:rPr>
      </w:pPr>
      <w:r w:rsidRPr="002C224A">
        <w:rPr>
          <w:b/>
        </w:rPr>
        <w:t>Podnikatelské nemovitosti:</w:t>
      </w:r>
    </w:p>
    <w:p w:rsidR="006D67F1" w:rsidRPr="002C224A" w:rsidRDefault="006D67F1" w:rsidP="00FA5A53">
      <w:pPr>
        <w:rPr>
          <w:bCs/>
        </w:rPr>
      </w:pPr>
      <w:r w:rsidRPr="002C224A">
        <w:t>CzechInvest</w:t>
      </w:r>
    </w:p>
    <w:p w:rsidR="006D67F1" w:rsidRPr="002C224A" w:rsidRDefault="006D67F1" w:rsidP="00FA5A53">
      <w:r w:rsidRPr="002C224A">
        <w:t>Českomoravská záruční a rozvojová banka, a.s.</w:t>
      </w:r>
    </w:p>
    <w:p w:rsidR="006D67F1" w:rsidRPr="002C224A" w:rsidRDefault="006D67F1" w:rsidP="00FA5A53">
      <w:pPr>
        <w:rPr>
          <w:bCs/>
        </w:rPr>
      </w:pPr>
      <w:r w:rsidRPr="002C224A">
        <w:t>Contera</w:t>
      </w:r>
    </w:p>
    <w:p w:rsidR="006D67F1" w:rsidRPr="002C224A" w:rsidRDefault="006D67F1" w:rsidP="00FA5A53"/>
    <w:p w:rsidR="006D67F1" w:rsidRPr="002C224A" w:rsidRDefault="006D67F1" w:rsidP="00FA5A53">
      <w:pPr>
        <w:rPr>
          <w:b/>
        </w:rPr>
      </w:pPr>
      <w:r w:rsidRPr="002C224A">
        <w:rPr>
          <w:b/>
        </w:rPr>
        <w:t>Energetická účinnost a obnovitelné zdroje:</w:t>
      </w:r>
    </w:p>
    <w:p w:rsidR="006D67F1" w:rsidRPr="002C224A" w:rsidRDefault="006D67F1" w:rsidP="00FA5A53">
      <w:r w:rsidRPr="002C224A">
        <w:t>Šance pro budovy</w:t>
      </w:r>
    </w:p>
    <w:p w:rsidR="006D67F1" w:rsidRPr="002C224A" w:rsidRDefault="006D67F1" w:rsidP="00FA5A53">
      <w:r w:rsidRPr="002C224A">
        <w:t>SeVen</w:t>
      </w:r>
    </w:p>
    <w:p w:rsidR="006D67F1" w:rsidRPr="002C224A" w:rsidRDefault="006D67F1" w:rsidP="00FA5A53">
      <w:r w:rsidRPr="002C224A">
        <w:t>ENVIROS</w:t>
      </w:r>
    </w:p>
    <w:p w:rsidR="006D67F1" w:rsidRPr="002C224A" w:rsidRDefault="006D67F1" w:rsidP="00FA5A53">
      <w:r w:rsidRPr="002C224A">
        <w:t>Loyd Group</w:t>
      </w:r>
    </w:p>
    <w:p w:rsidR="006D67F1" w:rsidRPr="002C224A" w:rsidRDefault="006D67F1" w:rsidP="00FA5A53">
      <w:r w:rsidRPr="002C224A">
        <w:t>APES</w:t>
      </w:r>
    </w:p>
    <w:p w:rsidR="006D67F1" w:rsidRPr="002C224A" w:rsidRDefault="006D67F1" w:rsidP="00FA5A53">
      <w:r w:rsidRPr="002C224A">
        <w:t>Teplárenské sdružení</w:t>
      </w:r>
    </w:p>
    <w:p w:rsidR="006D67F1" w:rsidRPr="002C224A" w:rsidRDefault="006D67F1" w:rsidP="00FA5A53"/>
    <w:p w:rsidR="006D67F1" w:rsidRPr="002C224A" w:rsidRDefault="006D67F1" w:rsidP="00FA5A53">
      <w:pPr>
        <w:rPr>
          <w:b/>
        </w:rPr>
      </w:pPr>
      <w:r w:rsidRPr="002C224A">
        <w:rPr>
          <w:b/>
        </w:rPr>
        <w:t>Broadband:</w:t>
      </w:r>
    </w:p>
    <w:p w:rsidR="006D67F1" w:rsidRPr="002C224A" w:rsidRDefault="006D67F1" w:rsidP="00FA5A53">
      <w:r w:rsidRPr="002C224A">
        <w:t>ICT Unie</w:t>
      </w:r>
    </w:p>
    <w:p w:rsidR="006D67F1" w:rsidRPr="002C224A" w:rsidRDefault="006D67F1" w:rsidP="00FA5A53"/>
    <w:p w:rsidR="006D67F1" w:rsidRPr="002C224A" w:rsidRDefault="006D67F1" w:rsidP="00FA5A53"/>
    <w:p w:rsidR="006D67F1" w:rsidRPr="002C224A" w:rsidRDefault="006D67F1" w:rsidP="00FA5A53">
      <w:pPr>
        <w:pStyle w:val="Nadpis1"/>
        <w:rPr>
          <w:rFonts w:ascii="Calibri" w:hAnsi="Calibri"/>
        </w:rPr>
      </w:pPr>
      <w:r w:rsidRPr="002C224A">
        <w:rPr>
          <w:rFonts w:ascii="Calibri" w:hAnsi="Calibri"/>
        </w:rPr>
        <w:br w:type="page"/>
      </w:r>
      <w:bookmarkStart w:id="1518" w:name="_Toc421534346"/>
      <w:r w:rsidRPr="002C224A">
        <w:rPr>
          <w:rFonts w:ascii="Calibri" w:hAnsi="Calibri"/>
        </w:rPr>
        <w:lastRenderedPageBreak/>
        <w:t>Použité zdroje</w:t>
      </w:r>
      <w:bookmarkEnd w:id="1518"/>
    </w:p>
    <w:p w:rsidR="006D67F1" w:rsidRPr="002C224A" w:rsidRDefault="006D67F1" w:rsidP="00FA5A53">
      <w:pPr>
        <w:pStyle w:val="Nadpis2"/>
        <w:rPr>
          <w:rFonts w:ascii="Calibri" w:hAnsi="Calibri"/>
        </w:rPr>
      </w:pPr>
      <w:bookmarkStart w:id="1519" w:name="_Toc421534347"/>
      <w:r w:rsidRPr="002C224A">
        <w:rPr>
          <w:rFonts w:ascii="Calibri" w:hAnsi="Calibri"/>
        </w:rPr>
        <w:t>Legislativní východiska</w:t>
      </w:r>
      <w:bookmarkEnd w:id="1519"/>
    </w:p>
    <w:p w:rsidR="006D67F1" w:rsidRPr="00A50943" w:rsidRDefault="006D67F1" w:rsidP="00FA5A53">
      <w:r w:rsidRPr="00A50943">
        <w:t>Legislativní bázi pro poskytování podpory prostřednictvím finančních nástrojů OP PIK tvoří z hlediska práva EU především:</w:t>
      </w:r>
    </w:p>
    <w:p w:rsidR="006D67F1" w:rsidRPr="002C224A" w:rsidRDefault="006D67F1" w:rsidP="00FA5A53">
      <w:pPr>
        <w:pStyle w:val="Odstavecseseznamem1"/>
        <w:numPr>
          <w:ilvl w:val="0"/>
          <w:numId w:val="21"/>
        </w:numPr>
      </w:pPr>
      <w:r w:rsidRPr="002C224A">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 („Obecné nařízení“),</w:t>
      </w:r>
    </w:p>
    <w:p w:rsidR="006D67F1" w:rsidRPr="00977C5F" w:rsidRDefault="006D67F1" w:rsidP="00FA5A53">
      <w:pPr>
        <w:pStyle w:val="Odstavecseseznamem1"/>
        <w:numPr>
          <w:ilvl w:val="0"/>
          <w:numId w:val="21"/>
        </w:numPr>
      </w:pPr>
      <w:r w:rsidRPr="002C224A">
        <w:t>naří</w:t>
      </w:r>
      <w:r w:rsidRPr="000F1064">
        <w:t>zení Evropského parlamentu a Rady (EU) č. 1301/2013</w:t>
      </w:r>
      <w:r w:rsidR="00D43CBA" w:rsidRPr="000F1064">
        <w:t xml:space="preserve"> </w:t>
      </w:r>
      <w:r w:rsidRPr="00977C5F">
        <w:t>ze dne 17. prosince 2013</w:t>
      </w:r>
      <w:r w:rsidR="0079146D" w:rsidRPr="00977C5F">
        <w:t xml:space="preserve"> </w:t>
      </w:r>
      <w:r w:rsidRPr="00977C5F">
        <w:t>o Evropském fondu pro regionální rozvoj, o zvláštních ustanoveních týkajících se cíle Investice pro růst a zaměstnanost a o zrušení nařízení</w:t>
      </w:r>
      <w:r w:rsidR="00046AA5" w:rsidRPr="00977C5F">
        <w:t xml:space="preserve"> </w:t>
      </w:r>
      <w:r w:rsidRPr="00977C5F">
        <w:t>(ES) č. 1080/2006, OJ L 347, 20. 12. 2013, s. 289 („nařízení o EFRR“),</w:t>
      </w:r>
    </w:p>
    <w:p w:rsidR="00977C5F" w:rsidRPr="00977C5F" w:rsidRDefault="00977C5F" w:rsidP="00FA5A53">
      <w:pPr>
        <w:pStyle w:val="Odstavecseseznamem1"/>
        <w:numPr>
          <w:ilvl w:val="0"/>
          <w:numId w:val="21"/>
        </w:numPr>
      </w:pPr>
      <w:r w:rsidRPr="00977C5F">
        <w:t>n</w:t>
      </w:r>
      <w:r w:rsidR="00261A17" w:rsidRPr="00977C5F">
        <w:t>ařízení Komise v přenesené pravomoci (EU) č. 480/2014 ze dne 3. března 2014, kterým se doplňuje nařízení Evropského parlamentu a Rady (EU) č. 1303/2013 o společných ustanoveních o Evropském fondu pro regionální rozvoj, Evropském sociálním fondu, Fondu soudržnosti, Evropském zemědělském fondu pro rozvoj venkova a Evropském námořním a rybářském fondu a o obecných ustanoveních o Evropském fondu pro regionální rozvoj, Evropském sociálním fondu, Fondu soudržnosti a Evropském námořním a rybářském fondu</w:t>
      </w:r>
    </w:p>
    <w:p w:rsidR="006D67F1" w:rsidRPr="00FF1B41" w:rsidRDefault="006D67F1" w:rsidP="00FA5A53">
      <w:pPr>
        <w:pStyle w:val="Odstavecseseznamem1"/>
        <w:numPr>
          <w:ilvl w:val="0"/>
          <w:numId w:val="21"/>
        </w:numPr>
      </w:pPr>
      <w:r w:rsidRPr="00FF1B41">
        <w:t>výkladové pokyny Komise COESIF a EGESIF</w:t>
      </w:r>
      <w:r w:rsidR="00FF1B41">
        <w:t xml:space="preserve"> (dostupné materiály v době zpracování)</w:t>
      </w:r>
    </w:p>
    <w:p w:rsidR="00977C5F" w:rsidRPr="000F1064" w:rsidRDefault="00977C5F" w:rsidP="00977C5F">
      <w:pPr>
        <w:pStyle w:val="Odstavecseseznamem1"/>
        <w:numPr>
          <w:ilvl w:val="0"/>
          <w:numId w:val="21"/>
        </w:numPr>
      </w:pPr>
      <w:r w:rsidRPr="00977C5F">
        <w:t>Prováděcí nařízení Komise (EU) č. 821/2014 ze dne 28. července 2014, kterým se stanoví pravidla pro uplatňování nařízení (EU) č. 1303/2013 Evropského parlamentu a Rady, pokud jde o podrobná ujednání pro převod a správu příspěvků z programu, podávání zpráv o finančních nástrojích, technické vlastnosti informačních a komunikačních opatření k operacím a systém pro zaznamenávání a uchovávání údajů</w:t>
      </w:r>
    </w:p>
    <w:p w:rsidR="006D67F1" w:rsidRPr="002C224A" w:rsidRDefault="006D67F1" w:rsidP="00FA5A53">
      <w:pPr>
        <w:pStyle w:val="Odstavecseseznamem1"/>
        <w:numPr>
          <w:ilvl w:val="0"/>
          <w:numId w:val="21"/>
        </w:numPr>
      </w:pPr>
      <w:r w:rsidRPr="00977C5F">
        <w:t>směrnice Evropského parlamentu a Rady 2011/61/EU ze dne 8. června 2011 o správcích alternativních investičních fondů a o změně směrnic 2003/41/ES a 2009/65/ES a nařízení (ES) č.</w:t>
      </w:r>
      <w:r w:rsidRPr="002C224A">
        <w:t xml:space="preserve"> 1060/2009 a (EU) č. 1095/2010 („AIFMD“),</w:t>
      </w:r>
    </w:p>
    <w:p w:rsidR="006D67F1" w:rsidRPr="002C224A" w:rsidRDefault="006D67F1" w:rsidP="00FA5A53">
      <w:pPr>
        <w:pStyle w:val="Odstavecseseznamem1"/>
        <w:numPr>
          <w:ilvl w:val="0"/>
          <w:numId w:val="21"/>
        </w:numPr>
      </w:pPr>
      <w:r w:rsidRPr="002C224A">
        <w:t>nařízení (EU, EURATOM) č. 966/2012 Evropského parlamentu a Rady ze dne 25. října 2012,</w:t>
      </w:r>
      <w:r w:rsidR="00046AA5" w:rsidRPr="002C224A">
        <w:t xml:space="preserve"> </w:t>
      </w:r>
      <w:r w:rsidRPr="002C224A">
        <w:t>kterým se stanoví finanční pravidla o souhrnném rozpočtu Unie a o zrušení nařízení Rady (ES, Euratom) č. 1605/2002, OJ L 298, 26. 10. 2012, s. 1,</w:t>
      </w:r>
    </w:p>
    <w:p w:rsidR="006D67F1" w:rsidRPr="002C224A" w:rsidRDefault="006D67F1" w:rsidP="00FA5A53">
      <w:pPr>
        <w:pStyle w:val="Odstavecseseznamem1"/>
        <w:numPr>
          <w:ilvl w:val="0"/>
          <w:numId w:val="21"/>
        </w:numPr>
      </w:pPr>
      <w:r w:rsidRPr="002C224A">
        <w:t>směrnice Evropského parlamentu a Rady 2004/18/ES o koordinaci postupů při zadávání veřejných zakázek na stavební práce, dodávky a služby (směrnice EU k veřejným zakázkám),</w:t>
      </w:r>
    </w:p>
    <w:p w:rsidR="006D67F1" w:rsidRPr="002C224A" w:rsidRDefault="006D67F1" w:rsidP="00FA5A53">
      <w:pPr>
        <w:pStyle w:val="Odstavecseseznamem1"/>
        <w:numPr>
          <w:ilvl w:val="0"/>
          <w:numId w:val="21"/>
        </w:numPr>
      </w:pPr>
      <w:r w:rsidRPr="002C224A">
        <w:t>aplikovatelná rozhodnutí ESD a SDEU,</w:t>
      </w:r>
    </w:p>
    <w:p w:rsidR="006D67F1" w:rsidRPr="002C224A" w:rsidRDefault="006D67F1" w:rsidP="00FA5A53">
      <w:pPr>
        <w:pStyle w:val="Odstavecseseznamem1"/>
        <w:numPr>
          <w:ilvl w:val="0"/>
          <w:numId w:val="21"/>
        </w:numPr>
      </w:pPr>
      <w:r w:rsidRPr="002C224A">
        <w:t>pravidla pro veřejnou podporu, zejména:</w:t>
      </w:r>
    </w:p>
    <w:p w:rsidR="006D67F1" w:rsidRPr="002C224A" w:rsidRDefault="00977C5F" w:rsidP="00FA5A53">
      <w:pPr>
        <w:pStyle w:val="Odstavecseseznamem1"/>
        <w:numPr>
          <w:ilvl w:val="1"/>
          <w:numId w:val="21"/>
        </w:numPr>
      </w:pPr>
      <w:r>
        <w:t>o</w:t>
      </w:r>
      <w:r w:rsidR="006D67F1" w:rsidRPr="002C224A">
        <w:t>becné nařízení o blokových výjimkách ( „GBER“),</w:t>
      </w:r>
    </w:p>
    <w:p w:rsidR="006D67F1" w:rsidRPr="002C224A" w:rsidRDefault="00977C5F" w:rsidP="00FA5A53">
      <w:pPr>
        <w:pStyle w:val="Odstavecseseznamem1"/>
        <w:numPr>
          <w:ilvl w:val="1"/>
          <w:numId w:val="21"/>
        </w:numPr>
      </w:pPr>
      <w:r>
        <w:t>p</w:t>
      </w:r>
      <w:r w:rsidR="006D67F1" w:rsidRPr="002C224A">
        <w:t>okyny k státní podpoře investic v rámci rizikového financování, OJ C 19, 22. 1. 2014, s. 4 ( „RCG“),</w:t>
      </w:r>
    </w:p>
    <w:p w:rsidR="006D67F1" w:rsidRPr="002C224A" w:rsidRDefault="006D67F1" w:rsidP="00FF1B41">
      <w:pPr>
        <w:pStyle w:val="Odstavecseseznamem1"/>
        <w:numPr>
          <w:ilvl w:val="1"/>
          <w:numId w:val="21"/>
        </w:numPr>
      </w:pPr>
      <w:r w:rsidRPr="002C224A">
        <w:t>nařízení Komise (EU) č. 1407/2013</w:t>
      </w:r>
      <w:r w:rsidR="00D43CBA">
        <w:t xml:space="preserve"> </w:t>
      </w:r>
      <w:r w:rsidRPr="002C224A">
        <w:t>ze dne 18. prosince 2013</w:t>
      </w:r>
      <w:r w:rsidR="0079146D" w:rsidRPr="002C224A">
        <w:t xml:space="preserve"> </w:t>
      </w:r>
      <w:r w:rsidRPr="002C224A">
        <w:t xml:space="preserve">o použití článků </w:t>
      </w:r>
      <w:smartTag w:uri="urn:schemas-microsoft-com:office:smarttags" w:element="metricconverter">
        <w:smartTagPr>
          <w:attr w:name="ProductID" w:val="2013 a"/>
        </w:smartTagPr>
        <w:r w:rsidRPr="002C224A">
          <w:t>107 a</w:t>
        </w:r>
      </w:smartTag>
      <w:r w:rsidRPr="002C224A">
        <w:t xml:space="preserve"> 108 </w:t>
      </w:r>
      <w:r w:rsidR="00977C5F">
        <w:t>s</w:t>
      </w:r>
      <w:r w:rsidRPr="002C224A">
        <w:t>mlouvy o fungování Evropské unie na podporu de minimis, OJ L 352, 24. 12. 2013, s. 1 („nařízení de minimis“),</w:t>
      </w:r>
    </w:p>
    <w:p w:rsidR="006D67F1" w:rsidRPr="002C224A" w:rsidRDefault="00977C5F" w:rsidP="00FA5A53">
      <w:pPr>
        <w:pStyle w:val="Odstavecseseznamem1"/>
        <w:numPr>
          <w:ilvl w:val="1"/>
          <w:numId w:val="21"/>
        </w:numPr>
      </w:pPr>
      <w:r>
        <w:t>s</w:t>
      </w:r>
      <w:r w:rsidR="006D67F1" w:rsidRPr="002C224A">
        <w:t xml:space="preserve">dělení Komise (ES) o použití článků </w:t>
      </w:r>
      <w:smartTag w:uri="urn:schemas-microsoft-com:office:smarttags" w:element="metricconverter">
        <w:smartTagPr>
          <w:attr w:name="ProductID" w:val="2013 a"/>
        </w:smartTagPr>
        <w:r w:rsidR="006D67F1" w:rsidRPr="002C224A">
          <w:t>87 a</w:t>
        </w:r>
      </w:smartTag>
      <w:r w:rsidR="006D67F1" w:rsidRPr="002C224A">
        <w:t xml:space="preserve"> 88 Smlouvy o ES na státní podpory ve formě záruk, OJ C 155, 20.6.2008, s. 10 ( „sdělení k zárukám“),</w:t>
      </w:r>
    </w:p>
    <w:p w:rsidR="006D67F1" w:rsidRPr="002C224A" w:rsidRDefault="00977C5F" w:rsidP="00FA5A53">
      <w:pPr>
        <w:pStyle w:val="Odstavecseseznamem1"/>
        <w:numPr>
          <w:ilvl w:val="1"/>
          <w:numId w:val="21"/>
        </w:numPr>
      </w:pPr>
      <w:r>
        <w:t>s</w:t>
      </w:r>
      <w:r w:rsidR="006D67F1" w:rsidRPr="002C224A">
        <w:t>dělení Komise o revizi metody stanovování referenčních a diskontních sazeb, OJ C 014,19.1.2008, s. 6 ( „sdělení o referenčních sazbách“),</w:t>
      </w:r>
    </w:p>
    <w:p w:rsidR="006D67F1" w:rsidRPr="002C224A" w:rsidRDefault="00977C5F" w:rsidP="00FA5A53">
      <w:pPr>
        <w:pStyle w:val="Odstavecseseznamem1"/>
        <w:numPr>
          <w:ilvl w:val="1"/>
          <w:numId w:val="21"/>
        </w:numPr>
      </w:pPr>
      <w:r>
        <w:t>p</w:t>
      </w:r>
      <w:r w:rsidR="006D67F1" w:rsidRPr="002C224A">
        <w:t>okyny pro regionální státní podporu pro období 2014 – 2020, OJ C 209, 23. 7. 2013, s. 1 ( „RAG“)</w:t>
      </w:r>
    </w:p>
    <w:p w:rsidR="006D67F1" w:rsidRPr="002C224A" w:rsidRDefault="006D67F1" w:rsidP="00FA5A53">
      <w:pPr>
        <w:pStyle w:val="Odstavecseseznamem1"/>
        <w:ind w:left="1080"/>
      </w:pPr>
    </w:p>
    <w:p w:rsidR="006D67F1" w:rsidRPr="002C224A" w:rsidRDefault="006D67F1" w:rsidP="00FA5A53">
      <w:r w:rsidRPr="002C224A">
        <w:lastRenderedPageBreak/>
        <w:t>Z českých předpisů (vyjma daňových a účetních) pak jde zejména o:</w:t>
      </w:r>
    </w:p>
    <w:p w:rsidR="006D67F1" w:rsidRPr="002C224A" w:rsidRDefault="006D67F1" w:rsidP="00FA5A53">
      <w:pPr>
        <w:pStyle w:val="Odstavecseseznamem1"/>
        <w:numPr>
          <w:ilvl w:val="0"/>
          <w:numId w:val="20"/>
        </w:numPr>
      </w:pPr>
      <w:r w:rsidRPr="002C224A">
        <w:t>zákon č. 218/2000 Sb., o rozpočtových pravidlech, ve znění pozdějších předpisů</w:t>
      </w:r>
      <w:r w:rsidRPr="002C224A">
        <w:rPr>
          <w:rStyle w:val="Znakapoznpodarou"/>
          <w:rFonts w:ascii="Calibri" w:hAnsi="Calibri"/>
          <w:szCs w:val="24"/>
        </w:rPr>
        <w:footnoteReference w:id="75"/>
      </w:r>
      <w:r w:rsidRPr="002C224A">
        <w:t>,</w:t>
      </w:r>
    </w:p>
    <w:p w:rsidR="006D67F1" w:rsidRPr="002C224A" w:rsidRDefault="006D67F1" w:rsidP="00FA5A53">
      <w:pPr>
        <w:pStyle w:val="Odstavecseseznamem1"/>
        <w:numPr>
          <w:ilvl w:val="0"/>
          <w:numId w:val="20"/>
        </w:numPr>
      </w:pPr>
      <w:r w:rsidRPr="002C224A">
        <w:t>zákon č. 219/2000 Sb., o majetku České republiky, ve znění pozdějších předpisů,</w:t>
      </w:r>
    </w:p>
    <w:p w:rsidR="006D67F1" w:rsidRPr="002C224A" w:rsidRDefault="006D67F1" w:rsidP="00FA5A53">
      <w:pPr>
        <w:pStyle w:val="Odstavecseseznamem1"/>
        <w:numPr>
          <w:ilvl w:val="0"/>
          <w:numId w:val="20"/>
        </w:numPr>
      </w:pPr>
      <w:r w:rsidRPr="002C224A">
        <w:t>zákon č. 137/2006 Sb., o veřejných zakázkách, ve znění pozdějších předpisů a navazující podzákonné předpisy,</w:t>
      </w:r>
    </w:p>
    <w:p w:rsidR="006D67F1" w:rsidRPr="002C224A" w:rsidRDefault="006D67F1" w:rsidP="00FA5A53">
      <w:pPr>
        <w:pStyle w:val="Odstavecseseznamem1"/>
        <w:numPr>
          <w:ilvl w:val="0"/>
          <w:numId w:val="20"/>
        </w:numPr>
      </w:pPr>
      <w:r w:rsidRPr="002C224A">
        <w:t>zákon č. 47/2002 Sb., o podpoře malého a středního podnikání,</w:t>
      </w:r>
    </w:p>
    <w:p w:rsidR="006D67F1" w:rsidRPr="002C224A" w:rsidRDefault="006D67F1" w:rsidP="00FA5A53">
      <w:pPr>
        <w:pStyle w:val="Odstavecseseznamem1"/>
        <w:numPr>
          <w:ilvl w:val="0"/>
          <w:numId w:val="20"/>
        </w:numPr>
      </w:pPr>
      <w:r w:rsidRPr="002C224A">
        <w:t>zákon č. 320/2001 Sb., o finanční kontrole, ve znění pozdějších předpisů,</w:t>
      </w:r>
    </w:p>
    <w:p w:rsidR="006D67F1" w:rsidRPr="002C224A" w:rsidRDefault="006D67F1" w:rsidP="00FA5A53">
      <w:pPr>
        <w:pStyle w:val="Odstavecseseznamem1"/>
        <w:numPr>
          <w:ilvl w:val="0"/>
          <w:numId w:val="20"/>
        </w:numPr>
      </w:pPr>
      <w:r w:rsidRPr="002C224A">
        <w:t>zákon č. 240/2013 Sb., o investičních společnostech a investičních fondech a navazující podzákonné předpisy,</w:t>
      </w:r>
    </w:p>
    <w:p w:rsidR="006D67F1" w:rsidRPr="002C224A" w:rsidRDefault="006D67F1" w:rsidP="00FA5A53">
      <w:pPr>
        <w:pStyle w:val="Odstavecseseznamem1"/>
        <w:numPr>
          <w:ilvl w:val="0"/>
          <w:numId w:val="20"/>
        </w:numPr>
      </w:pPr>
      <w:r w:rsidRPr="002C224A">
        <w:t>zákon č. 90/2012 Sb., o obchodních korporacích,</w:t>
      </w:r>
    </w:p>
    <w:p w:rsidR="006D67F1" w:rsidRPr="002C224A" w:rsidRDefault="006D67F1" w:rsidP="00FA5A53">
      <w:pPr>
        <w:pStyle w:val="Odstavecseseznamem1"/>
        <w:numPr>
          <w:ilvl w:val="0"/>
          <w:numId w:val="20"/>
        </w:numPr>
      </w:pPr>
      <w:r w:rsidRPr="002C224A">
        <w:t>zákon č. 89/2012 Sb., občanský zákoník,</w:t>
      </w:r>
    </w:p>
    <w:p w:rsidR="006D67F1" w:rsidRPr="002C224A" w:rsidRDefault="006D67F1" w:rsidP="00FA5A53">
      <w:pPr>
        <w:pStyle w:val="Odstavecseseznamem1"/>
        <w:numPr>
          <w:ilvl w:val="0"/>
          <w:numId w:val="20"/>
        </w:numPr>
      </w:pPr>
      <w:r w:rsidRPr="002C224A">
        <w:t>zákon č. 21/1992 Sb., o bankách, ve znění pozdějších předpisů a navazující podzákonné předpisy,</w:t>
      </w:r>
    </w:p>
    <w:p w:rsidR="006D67F1" w:rsidRPr="002C224A" w:rsidRDefault="006D67F1" w:rsidP="00FA5A53">
      <w:pPr>
        <w:pStyle w:val="Odstavecseseznamem1"/>
        <w:numPr>
          <w:ilvl w:val="0"/>
          <w:numId w:val="20"/>
        </w:numPr>
      </w:pPr>
      <w:r w:rsidRPr="002C224A">
        <w:t>Metodický pokyn finančních toků a kontroly 2014+,</w:t>
      </w:r>
    </w:p>
    <w:p w:rsidR="006D67F1" w:rsidRPr="002C224A" w:rsidRDefault="006D67F1" w:rsidP="00FA5A53">
      <w:pPr>
        <w:pStyle w:val="Odstavecseseznamem1"/>
        <w:numPr>
          <w:ilvl w:val="0"/>
          <w:numId w:val="20"/>
        </w:numPr>
      </w:pPr>
      <w:r w:rsidRPr="002C224A">
        <w:t>Metodika monitorování 2014+ (dále jen „MM“),</w:t>
      </w:r>
    </w:p>
    <w:p w:rsidR="006D67F1" w:rsidRPr="002C224A" w:rsidRDefault="006D67F1" w:rsidP="00FA5A53">
      <w:pPr>
        <w:pStyle w:val="Odstavecseseznamem1"/>
        <w:numPr>
          <w:ilvl w:val="0"/>
          <w:numId w:val="20"/>
        </w:numPr>
      </w:pPr>
      <w:r w:rsidRPr="002C224A">
        <w:t>Další metodiky v rámci tzv. Jednotného metodického prostředí.</w:t>
      </w:r>
    </w:p>
    <w:p w:rsidR="006D67F1" w:rsidRPr="002C224A" w:rsidRDefault="006D67F1" w:rsidP="00FA5A53">
      <w:pPr>
        <w:pStyle w:val="Nadpis2"/>
        <w:rPr>
          <w:rFonts w:ascii="Calibri" w:hAnsi="Calibri"/>
        </w:rPr>
      </w:pPr>
      <w:bookmarkStart w:id="1520" w:name="_Toc421534348"/>
      <w:r w:rsidRPr="002C224A">
        <w:rPr>
          <w:rFonts w:ascii="Calibri" w:hAnsi="Calibri"/>
        </w:rPr>
        <w:t>Další podkladové materiály</w:t>
      </w:r>
      <w:bookmarkEnd w:id="1520"/>
    </w:p>
    <w:p w:rsidR="006D67F1" w:rsidRPr="00A50943" w:rsidRDefault="006D67F1" w:rsidP="00FA5A53">
      <w:pPr>
        <w:pStyle w:val="Odstavecseseznamem1"/>
        <w:numPr>
          <w:ilvl w:val="0"/>
          <w:numId w:val="18"/>
        </w:numPr>
        <w:spacing w:after="240"/>
        <w:rPr>
          <w:rFonts w:cs="Calibri"/>
          <w:color w:val="222222"/>
          <w:szCs w:val="22"/>
        </w:rPr>
      </w:pPr>
      <w:r w:rsidRPr="00A50943">
        <w:rPr>
          <w:rFonts w:cs="Calibri"/>
          <w:color w:val="222222"/>
          <w:szCs w:val="22"/>
        </w:rPr>
        <w:t>General methodology covering all thematic objectives - Quick reference guide, Evropská komise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General methodology covering all thematic objectives - Volume I, Evropská komise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Strengthening research, technological development and innovation (Thematic objective 1) – Volume II, Evropská komise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Enhancing the competitiveness of SME, including agriculture, microcredit and fisheries (Thematic objective 3) – Volume III, Evropská komise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Supporting the shift towards low-carbon economy (Thematic objective 4) – Volume IV, Evropská komise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 xml:space="preserve">Operační program Podnikání a inovace pro konkurenceschopnost 2014-2020, verze 10.0 ze dne 12. 11. </w:t>
      </w:r>
      <w:smartTag w:uri="urn:schemas-microsoft-com:office:smarttags" w:element="metricconverter">
        <w:smartTagPr>
          <w:attr w:name="ProductID" w:val="2013 a"/>
        </w:smartTagPr>
        <w:r w:rsidRPr="002C224A">
          <w:rPr>
            <w:rFonts w:cs="Calibri"/>
            <w:color w:val="222222"/>
            <w:szCs w:val="22"/>
          </w:rPr>
          <w:t>2014 a</w:t>
        </w:r>
      </w:smartTag>
      <w:r w:rsidRPr="002C224A">
        <w:rPr>
          <w:rFonts w:cs="Calibri"/>
          <w:color w:val="222222"/>
          <w:szCs w:val="22"/>
        </w:rPr>
        <w:t xml:space="preserve"> související dokumenty Řídícího orgánu (MPO)</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Poradenské služby řídícímu orgánu k využití pro realizaci předběžného posouzení využití finančních nástrojů v Operačním programu Podnikání a inovace pro konkurenceschopnost pro období 2014 – 2020, Deloitte Advisory, 2015</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Ex-ante hodnocení Operačního programu Podnikání a inovace pro konkurenceschopnost 2014 – 2020, EUFC CZ, s.r.o., červen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Analýza věcných priorit a potřeb jednotlivých oblastí v působnosti MPO pro zaměření podpory ze strukturálních fondů EU v příštím programovacím období (2014+), zpracovatel: BermanGroup, s.r.o., listopad 2010</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Metodické doporučení pro implementaci finančních nástrojů v programovém období 2014-2020, Ministerstvo pro místní rozvoj,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 xml:space="preserve">Dohoda o partnerství </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Národní program reforem ČR 2012 (usnesení vlády č. 271/2012)</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Aktualizace Státní energetické koncepce ČR (usnesení vlády č. 803/2012)</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Národní výzkumná a inovační strategie pro inteligentní specializaci České republiky (RIS3 strategie)</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lastRenderedPageBreak/>
        <w:t>Národní inovační strategie ČR (usnesení vlády č. 714/2011)</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Strategie regionálního rozvoje ČR 2014-2020</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Koncepce podpory malých a středních podnikatelů na období let 2014 – 2020 (usnesení vlády č. 923/2012)</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Strategie mezinárodní konkurenceschopnosti ČR pro období 2012 – 2020 (usnesení vlády č. 713/2011)</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Strategie Evropa 2020:  Strategie pro inteligentní a udržitelný růst podporující začlenění</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 xml:space="preserve">Strategie Energie 2020: Strategie pro konkurenceschopnou, udržitelnou a bezpečnou energii </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Sdělení Komise: Unie inovací, Evropa méně náročná na zdroje, Plán pro Evropu účinněji využívající zdroje, Průmyslová politika pro éru globalizace</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 xml:space="preserve">Metodický pokyn pro přípravu programových dokumentů pro programové období 2014 – </w:t>
      </w:r>
      <w:smartTag w:uri="urn:schemas-microsoft-com:office:smarttags" w:element="metricconverter">
        <w:smartTagPr>
          <w:attr w:name="ProductID" w:val="2013 a"/>
        </w:smartTagPr>
        <w:r w:rsidRPr="002C224A">
          <w:rPr>
            <w:rFonts w:cs="Calibri"/>
            <w:color w:val="222222"/>
            <w:szCs w:val="22"/>
          </w:rPr>
          <w:t>2020 a</w:t>
        </w:r>
      </w:smartTag>
      <w:r w:rsidRPr="002C224A">
        <w:rPr>
          <w:rFonts w:cs="Calibri"/>
          <w:color w:val="222222"/>
          <w:szCs w:val="22"/>
        </w:rPr>
        <w:t xml:space="preserve"> další metodické materiály vydané MMR-NOK (Metodický pokyn pro evaluace, Metodický pokyn pro monitorování fondů Společného strategického rámce, Metodické doporučení pro způsobilost výdajů a jejich vykazování, Metodický pokyn Zásady tvorby a používání indikátorů, Národní číselník indikátorů pro programové období 2014-</w:t>
      </w:r>
      <w:smartTag w:uri="urn:schemas-microsoft-com:office:smarttags" w:element="metricconverter">
        <w:smartTagPr>
          <w:attr w:name="ProductID" w:val="2013 a"/>
        </w:smartTagPr>
        <w:r w:rsidRPr="002C224A">
          <w:rPr>
            <w:rFonts w:cs="Calibri"/>
            <w:color w:val="222222"/>
            <w:szCs w:val="22"/>
          </w:rPr>
          <w:t>2020 a</w:t>
        </w:r>
      </w:smartTag>
      <w:r w:rsidRPr="002C224A">
        <w:rPr>
          <w:rFonts w:cs="Calibri"/>
          <w:color w:val="222222"/>
          <w:szCs w:val="22"/>
        </w:rPr>
        <w:t xml:space="preserve"> další).</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 xml:space="preserve">Operační program Průmysl a podnikání 2004 – </w:t>
      </w:r>
      <w:smartTag w:uri="urn:schemas-microsoft-com:office:smarttags" w:element="metricconverter">
        <w:smartTagPr>
          <w:attr w:name="ProductID" w:val="2013 a"/>
        </w:smartTagPr>
        <w:r w:rsidRPr="002C224A">
          <w:rPr>
            <w:rFonts w:cs="Calibri"/>
            <w:color w:val="222222"/>
            <w:szCs w:val="22"/>
          </w:rPr>
          <w:t>2006 a</w:t>
        </w:r>
      </w:smartTag>
      <w:r w:rsidRPr="002C224A">
        <w:rPr>
          <w:rFonts w:cs="Calibri"/>
          <w:color w:val="222222"/>
          <w:szCs w:val="22"/>
        </w:rPr>
        <w:t xml:space="preserve"> související dokumenty Řídícího orgánu (MPO)</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 xml:space="preserve">Operační program Podnikání a inovace 2007 – </w:t>
      </w:r>
      <w:smartTag w:uri="urn:schemas-microsoft-com:office:smarttags" w:element="metricconverter">
        <w:smartTagPr>
          <w:attr w:name="ProductID" w:val="2013 a"/>
        </w:smartTagPr>
        <w:r w:rsidRPr="002C224A">
          <w:rPr>
            <w:rFonts w:cs="Calibri"/>
            <w:color w:val="222222"/>
            <w:szCs w:val="22"/>
          </w:rPr>
          <w:t>2013 a</w:t>
        </w:r>
      </w:smartTag>
      <w:r w:rsidRPr="002C224A">
        <w:rPr>
          <w:rFonts w:cs="Calibri"/>
          <w:color w:val="222222"/>
          <w:szCs w:val="22"/>
        </w:rPr>
        <w:t xml:space="preserve"> související dokumenty Řídícího orgánu (MPO)</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Vyhodnocení dopadů realizace Operačního programu Průmysl a podnikání 2004 – 2006 na hospodářský vývoj v regionech soudržnosti České republiky, BermanGroup, listopad 2008</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Celkové vyhodnocení výsledků a dopadů realizace Operačního programu Průmysl a podnikání 2004 – 2006, Deloitte, listopad 2008</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Střednědobé hodnocení Operačního programu Podnikání a inovace 2007 – 2013, EUFC CZ, s.r.o., duben 2012</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6D67F1" w:rsidRPr="002C224A" w:rsidRDefault="006D67F1" w:rsidP="00FA5A53">
      <w:pPr>
        <w:pStyle w:val="Odstavecseseznamem1"/>
        <w:numPr>
          <w:ilvl w:val="0"/>
          <w:numId w:val="18"/>
        </w:numPr>
        <w:spacing w:after="240"/>
        <w:rPr>
          <w:rFonts w:cs="Calibri"/>
          <w:color w:val="222222"/>
          <w:szCs w:val="22"/>
        </w:rPr>
      </w:pPr>
      <w:r w:rsidRPr="002C224A">
        <w:rPr>
          <w:rFonts w:cs="Calibri"/>
          <w:color w:val="222222"/>
          <w:szCs w:val="22"/>
        </w:rPr>
        <w:t>Ex-ante assessment of the EU SME initiative, Evropská Komise, 2014</w:t>
      </w:r>
    </w:p>
    <w:p w:rsidR="006D67F1" w:rsidRPr="002C224A" w:rsidRDefault="006D67F1" w:rsidP="00FA5A53">
      <w:pPr>
        <w:pStyle w:val="Nadpis1"/>
        <w:rPr>
          <w:rFonts w:ascii="Calibri" w:hAnsi="Calibri"/>
        </w:rPr>
      </w:pPr>
      <w:r w:rsidRPr="002C224A">
        <w:rPr>
          <w:rFonts w:ascii="Calibri" w:hAnsi="Calibri"/>
        </w:rPr>
        <w:br w:type="page"/>
      </w:r>
      <w:r w:rsidRPr="002C224A">
        <w:rPr>
          <w:rFonts w:ascii="Calibri" w:hAnsi="Calibri"/>
        </w:rPr>
        <w:lastRenderedPageBreak/>
        <w:t xml:space="preserve"> </w:t>
      </w:r>
      <w:bookmarkStart w:id="1521" w:name="_Toc421534349"/>
      <w:r w:rsidRPr="002C224A">
        <w:rPr>
          <w:rFonts w:ascii="Calibri" w:hAnsi="Calibri"/>
        </w:rPr>
        <w:t>Seznam zkratek</w:t>
      </w:r>
      <w:bookmarkEnd w:id="1521"/>
      <w:r w:rsidR="00270DA1">
        <w:rPr>
          <w:rFonts w:ascii="Calibri" w:hAnsi="Calibri"/>
        </w:rPr>
        <w:t xml:space="preserve"> a pojmů</w:t>
      </w:r>
    </w:p>
    <w:p w:rsidR="006D67F1" w:rsidRPr="00A50943" w:rsidRDefault="006D67F1" w:rsidP="00FA5A53">
      <w:pPr>
        <w:tabs>
          <w:tab w:val="left" w:pos="3402"/>
        </w:tabs>
        <w:spacing w:line="280" w:lineRule="atLeast"/>
        <w:ind w:left="3402" w:hanging="3402"/>
        <w:rPr>
          <w:rFonts w:cs="Calibri"/>
          <w:szCs w:val="24"/>
        </w:rPr>
      </w:pPr>
    </w:p>
    <w:p w:rsidR="001E08E2" w:rsidRDefault="001E08E2" w:rsidP="00FA5A53">
      <w:pPr>
        <w:tabs>
          <w:tab w:val="left" w:pos="3402"/>
        </w:tabs>
        <w:spacing w:line="280" w:lineRule="atLeast"/>
        <w:ind w:left="3402" w:hanging="3402"/>
        <w:rPr>
          <w:rFonts w:cs="Calibri"/>
          <w:szCs w:val="24"/>
        </w:rPr>
      </w:pPr>
      <w:r>
        <w:rPr>
          <w:rFonts w:cs="Calibri"/>
          <w:szCs w:val="24"/>
        </w:rPr>
        <w:t>API</w:t>
      </w:r>
      <w:r>
        <w:rPr>
          <w:rFonts w:cs="Calibri"/>
          <w:szCs w:val="24"/>
        </w:rPr>
        <w:tab/>
        <w:t>Agentura pro podnikání a inovace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BF</w:t>
      </w:r>
      <w:r w:rsidRPr="002C224A">
        <w:rPr>
          <w:rFonts w:cs="Calibri"/>
          <w:szCs w:val="24"/>
        </w:rPr>
        <w:tab/>
        <w:t>brownfield</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BIS</w:t>
      </w:r>
      <w:r w:rsidRPr="002C224A">
        <w:rPr>
          <w:rFonts w:cs="Calibri"/>
          <w:szCs w:val="24"/>
        </w:rPr>
        <w:tab/>
        <w:t>Bank for International Settlements</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BPS</w:t>
      </w:r>
      <w:r w:rsidRPr="002C224A">
        <w:rPr>
          <w:rFonts w:cs="Calibri"/>
          <w:szCs w:val="24"/>
        </w:rPr>
        <w:tab/>
        <w:t>bioplynová stanice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CI</w:t>
      </w:r>
      <w:r w:rsidRPr="002C224A">
        <w:rPr>
          <w:rFonts w:cs="Calibri"/>
          <w:szCs w:val="24"/>
        </w:rPr>
        <w:tab/>
        <w:t>CzechInvest</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CIP</w:t>
      </w:r>
      <w:r w:rsidRPr="002C224A">
        <w:rPr>
          <w:rFonts w:cs="Calibri"/>
          <w:szCs w:val="24"/>
        </w:rPr>
        <w:tab/>
        <w:t>Competitiveness and InnovationProgramme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COESIF</w:t>
      </w:r>
      <w:r w:rsidRPr="002C224A">
        <w:rPr>
          <w:rFonts w:cs="Calibri"/>
          <w:szCs w:val="24"/>
        </w:rPr>
        <w:tab/>
        <w:t>Coordination Committee for the European Structural and Investment Funds</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COSME</w:t>
      </w:r>
      <w:r w:rsidRPr="002C224A">
        <w:rPr>
          <w:rFonts w:cs="Calibri"/>
          <w:szCs w:val="24"/>
        </w:rPr>
        <w:tab/>
        <w:t>Programme for the Competitiveness of Enterprises and SMEs</w:t>
      </w:r>
    </w:p>
    <w:p w:rsidR="00A92F62" w:rsidRDefault="00A92F62" w:rsidP="00FA5A53">
      <w:pPr>
        <w:tabs>
          <w:tab w:val="left" w:pos="3402"/>
        </w:tabs>
        <w:spacing w:line="280" w:lineRule="atLeast"/>
        <w:ind w:left="3402" w:hanging="3402"/>
        <w:rPr>
          <w:rFonts w:cs="Calibri"/>
          <w:szCs w:val="24"/>
        </w:rPr>
      </w:pPr>
      <w:r>
        <w:rPr>
          <w:rFonts w:cs="Calibri"/>
          <w:szCs w:val="24"/>
        </w:rPr>
        <w:t>CTT</w:t>
      </w:r>
      <w:r>
        <w:rPr>
          <w:rFonts w:cs="Calibri"/>
          <w:szCs w:val="24"/>
        </w:rPr>
        <w:tab/>
        <w:t>centra transferu technologií</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 xml:space="preserve">CVCA                                                     </w:t>
      </w:r>
      <w:r w:rsidRPr="002C224A">
        <w:rPr>
          <w:rFonts w:cs="Calibri"/>
          <w:szCs w:val="24"/>
        </w:rPr>
        <w:tab/>
        <w:t>Czech Private Equity &amp; Venture Capital Association</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ČMZRB</w:t>
      </w:r>
      <w:r w:rsidRPr="002C224A">
        <w:rPr>
          <w:rFonts w:cs="Calibri"/>
          <w:szCs w:val="24"/>
        </w:rPr>
        <w:tab/>
        <w:t>Českomoravská záruční a rozvojová banka, a.s.</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ČNB</w:t>
      </w:r>
      <w:r w:rsidRPr="002C224A">
        <w:rPr>
          <w:rFonts w:cs="Calibri"/>
          <w:szCs w:val="24"/>
        </w:rPr>
        <w:tab/>
        <w:t>Česká národní banka</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ČRUIF</w:t>
      </w:r>
      <w:r w:rsidRPr="002C224A">
        <w:rPr>
          <w:rFonts w:cs="Calibri"/>
          <w:szCs w:val="24"/>
        </w:rPr>
        <w:tab/>
        <w:t>Český rozvojový, uzavřený investiční fond, a.s.</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ČSÚ</w:t>
      </w:r>
      <w:r w:rsidRPr="002C224A">
        <w:rPr>
          <w:rFonts w:cs="Calibri"/>
          <w:szCs w:val="24"/>
        </w:rPr>
        <w:tab/>
        <w:t>Český statistický úřad</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EBRD</w:t>
      </w:r>
      <w:r w:rsidRPr="002C224A">
        <w:rPr>
          <w:rFonts w:cs="Calibri"/>
          <w:szCs w:val="24"/>
        </w:rPr>
        <w:tab/>
        <w:t>European Bank for Reconstruction and Development</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EE</w:t>
      </w:r>
      <w:r w:rsidRPr="002C224A">
        <w:rPr>
          <w:rFonts w:cs="Calibri"/>
          <w:szCs w:val="24"/>
        </w:rPr>
        <w:tab/>
        <w:t>Energy Efficiency</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EFSI</w:t>
      </w:r>
      <w:r w:rsidRPr="002C224A">
        <w:rPr>
          <w:rFonts w:cs="Calibri"/>
          <w:szCs w:val="24"/>
        </w:rPr>
        <w:tab/>
        <w:t>Evropský fond pro strategické investice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EIB</w:t>
      </w:r>
      <w:r w:rsidRPr="002C224A">
        <w:rPr>
          <w:rFonts w:cs="Calibri"/>
          <w:szCs w:val="24"/>
        </w:rPr>
        <w:tab/>
        <w:t>Evropská investiční banka</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EIF</w:t>
      </w:r>
      <w:r w:rsidRPr="002C224A">
        <w:rPr>
          <w:rFonts w:cs="Calibri"/>
          <w:szCs w:val="24"/>
        </w:rPr>
        <w:tab/>
        <w:t>Evropský investiční fond</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EFRR</w:t>
      </w:r>
      <w:r w:rsidRPr="002C224A">
        <w:rPr>
          <w:rFonts w:cs="Calibri"/>
          <w:szCs w:val="24"/>
        </w:rPr>
        <w:tab/>
        <w:t>Evropský fond pro regionální rozvoj</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EPC</w:t>
      </w:r>
      <w:r w:rsidRPr="002C224A">
        <w:rPr>
          <w:rFonts w:cs="Calibri"/>
          <w:szCs w:val="24"/>
        </w:rPr>
        <w:tab/>
        <w:t>Energy Performance Contracting</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ESD</w:t>
      </w:r>
      <w:r w:rsidRPr="002C224A">
        <w:rPr>
          <w:rFonts w:cs="Calibri"/>
          <w:szCs w:val="24"/>
        </w:rPr>
        <w:tab/>
        <w:t>Evropský soudní dvůr</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ESIF</w:t>
      </w:r>
      <w:r w:rsidRPr="002C224A">
        <w:rPr>
          <w:rFonts w:cs="Calibri"/>
          <w:szCs w:val="24"/>
        </w:rPr>
        <w:tab/>
        <w:t>Evropské strukturální a investiční fondy</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EÚD</w:t>
      </w:r>
      <w:r w:rsidRPr="002C224A">
        <w:rPr>
          <w:rFonts w:cs="Calibri"/>
          <w:szCs w:val="24"/>
        </w:rPr>
        <w:tab/>
        <w:t>Evropský účetní dvůr</w:t>
      </w:r>
    </w:p>
    <w:p w:rsidR="00FB1DFF" w:rsidRDefault="00FB1DFF" w:rsidP="00FA5A53">
      <w:pPr>
        <w:tabs>
          <w:tab w:val="left" w:pos="3402"/>
        </w:tabs>
        <w:spacing w:line="280" w:lineRule="atLeast"/>
        <w:ind w:left="3402" w:hanging="3402"/>
        <w:rPr>
          <w:rFonts w:cs="Calibri"/>
          <w:szCs w:val="24"/>
        </w:rPr>
      </w:pPr>
      <w:r>
        <w:rPr>
          <w:rFonts w:cs="Calibri"/>
          <w:szCs w:val="24"/>
        </w:rPr>
        <w:t>First piece loss</w:t>
      </w:r>
      <w:r>
        <w:rPr>
          <w:rFonts w:cs="Calibri"/>
          <w:szCs w:val="24"/>
        </w:rPr>
        <w:tab/>
        <w:t>Hrazení předem daných prvních ztrát portfolia</w:t>
      </w:r>
    </w:p>
    <w:p w:rsidR="00FB1DFF" w:rsidRDefault="00FB1DFF" w:rsidP="00FA5A53">
      <w:pPr>
        <w:tabs>
          <w:tab w:val="left" w:pos="3402"/>
        </w:tabs>
        <w:spacing w:line="280" w:lineRule="atLeast"/>
        <w:ind w:left="3402" w:hanging="3402"/>
        <w:rPr>
          <w:rFonts w:cs="Calibri"/>
          <w:szCs w:val="24"/>
        </w:rPr>
      </w:pPr>
      <w:r>
        <w:rPr>
          <w:rFonts w:cs="Calibri"/>
          <w:szCs w:val="24"/>
        </w:rPr>
        <w:t>Second piece loss</w:t>
      </w:r>
      <w:r>
        <w:rPr>
          <w:rFonts w:cs="Calibri"/>
          <w:szCs w:val="24"/>
        </w:rPr>
        <w:tab/>
        <w:t>Hrazení dalších ztrát portfolia</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FF</w:t>
      </w:r>
      <w:r w:rsidRPr="002C224A">
        <w:rPr>
          <w:rFonts w:cs="Calibri"/>
          <w:szCs w:val="24"/>
        </w:rPr>
        <w:tab/>
        <w:t>fond fondů (v období 2007-2013 též holdingový fond, podílový fond)</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FN</w:t>
      </w:r>
      <w:r w:rsidRPr="002C224A">
        <w:rPr>
          <w:rFonts w:cs="Calibri"/>
          <w:szCs w:val="24"/>
        </w:rPr>
        <w:tab/>
        <w:t>finanční nástroj/e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GEM</w:t>
      </w:r>
      <w:r w:rsidRPr="002C224A">
        <w:rPr>
          <w:rFonts w:cs="Calibri"/>
          <w:szCs w:val="24"/>
        </w:rPr>
        <w:tab/>
        <w:t>GlobalEnterpreneurship Monitor</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GERD</w:t>
      </w:r>
      <w:r w:rsidRPr="002C224A">
        <w:rPr>
          <w:rFonts w:cs="Calibri"/>
          <w:szCs w:val="24"/>
        </w:rPr>
        <w:tab/>
        <w:t>GovernmentExpenditure on R&amp;D (vládní výdaje na VaV)</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GF</w:t>
      </w:r>
      <w:r w:rsidRPr="002C224A">
        <w:rPr>
          <w:rFonts w:cs="Calibri"/>
          <w:szCs w:val="24"/>
        </w:rPr>
        <w:tab/>
        <w:t>greenfield</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HORIZONT 2020</w:t>
      </w:r>
      <w:r w:rsidRPr="002C224A">
        <w:rPr>
          <w:rFonts w:cs="Calibri"/>
          <w:szCs w:val="24"/>
        </w:rPr>
        <w:tab/>
        <w:t>osmý rámcový program EU pro výzkum a vývoj</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IFN</w:t>
      </w:r>
      <w:r w:rsidRPr="002C224A">
        <w:rPr>
          <w:rFonts w:cs="Calibri"/>
          <w:szCs w:val="24"/>
        </w:rPr>
        <w:tab/>
        <w:t>inovativní finanční nástroj</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IRR</w:t>
      </w:r>
      <w:r w:rsidRPr="002C224A">
        <w:rPr>
          <w:rFonts w:cs="Calibri"/>
          <w:szCs w:val="24"/>
        </w:rPr>
        <w:tab/>
        <w:t>Internal Rate of Return (vnitřní výnosové procento)</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JEREMIE</w:t>
      </w:r>
      <w:r w:rsidRPr="002C224A">
        <w:rPr>
          <w:rFonts w:cs="Calibri"/>
          <w:szCs w:val="24"/>
        </w:rPr>
        <w:tab/>
        <w:t>Joint European Resources for Micro to Medium Enterprises</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JESSICA</w:t>
      </w:r>
      <w:r w:rsidRPr="002C224A">
        <w:rPr>
          <w:rFonts w:cs="Calibri"/>
          <w:szCs w:val="24"/>
        </w:rPr>
        <w:tab/>
        <w:t>Joint European Support for Sustainable Investment in City Areas</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KVET</w:t>
      </w:r>
      <w:r w:rsidRPr="002C224A">
        <w:rPr>
          <w:rFonts w:cs="Calibri"/>
          <w:szCs w:val="24"/>
        </w:rPr>
        <w:tab/>
        <w:t>kombinovaná výroba elektřiny a tepla</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LP</w:t>
      </w:r>
      <w:r w:rsidRPr="002C224A">
        <w:rPr>
          <w:rFonts w:cs="Calibri"/>
          <w:szCs w:val="24"/>
        </w:rPr>
        <w:tab/>
        <w:t>Limited Partner, Limited Partnership</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MCF</w:t>
      </w:r>
      <w:r w:rsidRPr="002C224A">
        <w:rPr>
          <w:rFonts w:cs="Calibri"/>
          <w:szCs w:val="24"/>
        </w:rPr>
        <w:tab/>
        <w:t>Management Cost and Fees (náklady a poplatky za řízení)</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MF</w:t>
      </w:r>
      <w:r w:rsidRPr="002C224A">
        <w:rPr>
          <w:rFonts w:cs="Calibri"/>
          <w:szCs w:val="24"/>
        </w:rPr>
        <w:tab/>
        <w:t>Ministerstvo financí</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MFTK</w:t>
      </w:r>
      <w:r w:rsidRPr="002C224A">
        <w:rPr>
          <w:rFonts w:cs="Calibri"/>
          <w:szCs w:val="24"/>
        </w:rPr>
        <w:tab/>
        <w:t>Metodika finančních toků a kontroly</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MMR</w:t>
      </w:r>
      <w:r w:rsidRPr="002C224A">
        <w:rPr>
          <w:rFonts w:cs="Calibri"/>
          <w:szCs w:val="24"/>
        </w:rPr>
        <w:tab/>
        <w:t>Ministerstvo pro místní rozvoj</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MPO</w:t>
      </w:r>
      <w:r w:rsidRPr="002C224A">
        <w:rPr>
          <w:rFonts w:cs="Calibri"/>
          <w:szCs w:val="24"/>
        </w:rPr>
        <w:tab/>
        <w:t>Ministerstvo průmyslu a obchodu</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MSP</w:t>
      </w:r>
      <w:r w:rsidRPr="002C224A">
        <w:rPr>
          <w:rFonts w:cs="Calibri"/>
          <w:szCs w:val="24"/>
        </w:rPr>
        <w:tab/>
        <w:t>malý/é a střední podnik/y</w:t>
      </w:r>
    </w:p>
    <w:p w:rsidR="003F335F" w:rsidRDefault="003F335F" w:rsidP="00FA5A53">
      <w:pPr>
        <w:tabs>
          <w:tab w:val="left" w:pos="3402"/>
        </w:tabs>
        <w:spacing w:line="280" w:lineRule="atLeast"/>
        <w:ind w:left="3402" w:hanging="3402"/>
        <w:rPr>
          <w:rFonts w:cs="Calibri"/>
          <w:szCs w:val="24"/>
        </w:rPr>
      </w:pPr>
      <w:r>
        <w:rPr>
          <w:rFonts w:cs="Calibri"/>
          <w:szCs w:val="24"/>
        </w:rPr>
        <w:t>MSK</w:t>
      </w:r>
      <w:r>
        <w:rPr>
          <w:rFonts w:cs="Calibri"/>
          <w:szCs w:val="24"/>
        </w:rPr>
        <w:tab/>
        <w:t>Moravskoslezský kraj</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lastRenderedPageBreak/>
        <w:t>MVE</w:t>
      </w:r>
      <w:r w:rsidRPr="002C224A">
        <w:rPr>
          <w:rFonts w:cs="Calibri"/>
          <w:szCs w:val="24"/>
        </w:rPr>
        <w:tab/>
        <w:t>malá vodní elektrárna</w:t>
      </w:r>
    </w:p>
    <w:p w:rsidR="00632442" w:rsidRDefault="00632442" w:rsidP="00FA5A53">
      <w:pPr>
        <w:tabs>
          <w:tab w:val="left" w:pos="3402"/>
        </w:tabs>
        <w:spacing w:line="280" w:lineRule="atLeast"/>
        <w:ind w:left="3402" w:hanging="3402"/>
        <w:rPr>
          <w:rFonts w:cs="Calibri"/>
          <w:szCs w:val="24"/>
        </w:rPr>
      </w:pPr>
      <w:r>
        <w:rPr>
          <w:rFonts w:cs="Calibri"/>
          <w:szCs w:val="24"/>
        </w:rPr>
        <w:t>NIF</w:t>
      </w:r>
      <w:r>
        <w:rPr>
          <w:rFonts w:cs="Calibri"/>
          <w:szCs w:val="24"/>
        </w:rPr>
        <w:tab/>
        <w:t>Národní inovační fond</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 xml:space="preserve">Obecné nařízení </w:t>
      </w:r>
      <w:r w:rsidRPr="002C224A">
        <w:rPr>
          <w:rFonts w:cs="Calibri"/>
          <w:szCs w:val="24"/>
        </w:rPr>
        <w:tab/>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nařízení o EFRR</w:t>
      </w:r>
      <w:r w:rsidRPr="002C224A">
        <w:rPr>
          <w:rFonts w:cs="Calibri"/>
          <w:szCs w:val="24"/>
        </w:rPr>
        <w:tab/>
        <w:t>návrh nařízení Evropského parlamentu a Rady o zvláštních ustanoveních týkajících se Evropského fondu pro regionální rozvoj a cíle Investice pro růst a zaměstnanost a o zrušení nařízení (ES) č. 1080/2006</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NGA</w:t>
      </w:r>
      <w:r w:rsidRPr="002C224A">
        <w:rPr>
          <w:rFonts w:cs="Calibri"/>
          <w:szCs w:val="24"/>
        </w:rPr>
        <w:tab/>
        <w:t>Next Generation Access (přístupové sítě příští generace)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NPV</w:t>
      </w:r>
      <w:r w:rsidRPr="002C224A">
        <w:rPr>
          <w:rFonts w:cs="Calibri"/>
          <w:szCs w:val="24"/>
        </w:rPr>
        <w:tab/>
        <w:t>Net Present Value (čistá současná hodnota investice)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off-the-shelf instrument</w:t>
      </w:r>
      <w:r w:rsidRPr="002C224A">
        <w:rPr>
          <w:rFonts w:cs="Calibri"/>
          <w:szCs w:val="24"/>
        </w:rPr>
        <w:tab/>
        <w:t>standardizovaný finanční nástroj</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OP</w:t>
      </w:r>
      <w:r w:rsidRPr="002C224A">
        <w:rPr>
          <w:rFonts w:cs="Calibri"/>
          <w:szCs w:val="24"/>
        </w:rPr>
        <w:tab/>
        <w:t>operační program</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OPPI</w:t>
      </w:r>
      <w:r w:rsidRPr="002C224A">
        <w:rPr>
          <w:rFonts w:cs="Calibri"/>
          <w:szCs w:val="24"/>
        </w:rPr>
        <w:tab/>
        <w:t>Operační program Podnikání a inovace</w:t>
      </w:r>
      <w:r w:rsidR="00FF1B41">
        <w:rPr>
          <w:rFonts w:cs="Calibri"/>
          <w:szCs w:val="24"/>
        </w:rPr>
        <w:t xml:space="preserve"> 2007-2013</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OP PIK</w:t>
      </w:r>
      <w:r w:rsidRPr="002C224A">
        <w:rPr>
          <w:rFonts w:cs="Calibri"/>
          <w:szCs w:val="24"/>
        </w:rPr>
        <w:tab/>
        <w:t>Operační program Podnikání a inovace pro konkurenceschopnost</w:t>
      </w:r>
      <w:r w:rsidR="00FF1B41">
        <w:rPr>
          <w:rFonts w:cs="Calibri"/>
          <w:szCs w:val="24"/>
        </w:rPr>
        <w:t xml:space="preserve"> 2014-2020</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OPPP</w:t>
      </w:r>
      <w:r w:rsidRPr="002C224A">
        <w:rPr>
          <w:rFonts w:cs="Calibri"/>
          <w:szCs w:val="24"/>
        </w:rPr>
        <w:tab/>
        <w:t>Operační program Průmysl a podnikání</w:t>
      </w:r>
      <w:r w:rsidR="00FF1B41">
        <w:rPr>
          <w:rFonts w:cs="Calibri"/>
          <w:szCs w:val="24"/>
        </w:rPr>
        <w:t xml:space="preserve"> 2004-2006</w:t>
      </w:r>
    </w:p>
    <w:p w:rsidR="00A92F62" w:rsidRDefault="00A92F62" w:rsidP="00FA5A53">
      <w:pPr>
        <w:tabs>
          <w:tab w:val="left" w:pos="3402"/>
        </w:tabs>
        <w:spacing w:line="280" w:lineRule="atLeast"/>
        <w:ind w:left="3402" w:hanging="3402"/>
        <w:rPr>
          <w:rFonts w:cs="Calibri"/>
          <w:szCs w:val="24"/>
        </w:rPr>
      </w:pPr>
      <w:r>
        <w:rPr>
          <w:rFonts w:cs="Calibri"/>
          <w:szCs w:val="24"/>
        </w:rPr>
        <w:t>POC</w:t>
      </w:r>
      <w:r>
        <w:rPr>
          <w:rFonts w:cs="Calibri"/>
          <w:szCs w:val="24"/>
        </w:rPr>
        <w:tab/>
        <w:t>Proof-of-concept</w:t>
      </w:r>
    </w:p>
    <w:p w:rsidR="00A92F62" w:rsidRDefault="00A92F62" w:rsidP="00FA5A53">
      <w:pPr>
        <w:tabs>
          <w:tab w:val="left" w:pos="3402"/>
        </w:tabs>
        <w:spacing w:line="280" w:lineRule="atLeast"/>
        <w:ind w:left="3402" w:hanging="3402"/>
        <w:rPr>
          <w:rFonts w:cs="Calibri"/>
          <w:szCs w:val="24"/>
        </w:rPr>
      </w:pPr>
      <w:r>
        <w:rPr>
          <w:rFonts w:cs="Calibri"/>
          <w:szCs w:val="24"/>
        </w:rPr>
        <w:t>ŘO</w:t>
      </w:r>
      <w:r>
        <w:rPr>
          <w:rFonts w:cs="Calibri"/>
          <w:szCs w:val="24"/>
        </w:rPr>
        <w:tab/>
        <w:t>ředitelský orgán</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ROP</w:t>
      </w:r>
      <w:r w:rsidRPr="002C224A">
        <w:rPr>
          <w:rFonts w:cs="Calibri"/>
          <w:szCs w:val="24"/>
        </w:rPr>
        <w:tab/>
        <w:t>Regionální operační program</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SDEU</w:t>
      </w:r>
      <w:r w:rsidRPr="002C224A">
        <w:rPr>
          <w:rFonts w:cs="Calibri"/>
          <w:szCs w:val="24"/>
        </w:rPr>
        <w:tab/>
        <w:t>Soudní dvůr Evropské unie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SFRB</w:t>
      </w:r>
      <w:r w:rsidRPr="002C224A">
        <w:rPr>
          <w:rFonts w:cs="Calibri"/>
          <w:szCs w:val="24"/>
        </w:rPr>
        <w:tab/>
        <w:t>Státní fond rozvoje bydlení</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SICAF</w:t>
      </w:r>
      <w:r w:rsidRPr="002C224A">
        <w:rPr>
          <w:rFonts w:cs="Calibri"/>
          <w:szCs w:val="24"/>
        </w:rPr>
        <w:tab/>
        <w:t>Société d'investissement à capital fixe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SICAV</w:t>
      </w:r>
      <w:r w:rsidRPr="002C224A">
        <w:rPr>
          <w:rFonts w:cs="Calibri"/>
          <w:szCs w:val="24"/>
        </w:rPr>
        <w:tab/>
        <w:t>Société d'investissement à capital variable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SMEG</w:t>
      </w:r>
      <w:r w:rsidRPr="002C224A">
        <w:rPr>
          <w:rFonts w:cs="Calibri"/>
          <w:szCs w:val="24"/>
        </w:rPr>
        <w:tab/>
        <w:t>SME Guarantee Facility</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SPV</w:t>
      </w:r>
      <w:r w:rsidRPr="002C224A">
        <w:rPr>
          <w:rFonts w:cs="Calibri"/>
          <w:szCs w:val="24"/>
        </w:rPr>
        <w:tab/>
        <w:t>Special Purpose Vehicle (prostředek zvláštního určení)</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SSR</w:t>
      </w:r>
      <w:r w:rsidRPr="002C224A">
        <w:rPr>
          <w:rFonts w:cs="Calibri"/>
          <w:szCs w:val="24"/>
        </w:rPr>
        <w:tab/>
        <w:t>Společný strategický rámec</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SVE</w:t>
      </w:r>
      <w:r w:rsidRPr="002C224A">
        <w:rPr>
          <w:rFonts w:cs="Calibri"/>
          <w:szCs w:val="24"/>
        </w:rPr>
        <w:tab/>
        <w:t>Střední a východní Evropa</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TAČR</w:t>
      </w:r>
      <w:r w:rsidRPr="002C224A">
        <w:rPr>
          <w:rFonts w:cs="Calibri"/>
          <w:szCs w:val="24"/>
        </w:rPr>
        <w:tab/>
        <w:t>Technologická agentura České republiky</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tailor-made instrument</w:t>
      </w:r>
      <w:r w:rsidRPr="002C224A">
        <w:rPr>
          <w:rFonts w:cs="Calibri"/>
          <w:szCs w:val="24"/>
        </w:rPr>
        <w:tab/>
        <w:t>finanční nástroj speciálně „ušitý na míru“ identifikovanému tržnímu selhání</w:t>
      </w:r>
    </w:p>
    <w:p w:rsidR="008861FA" w:rsidRDefault="008861FA" w:rsidP="00FA5A53">
      <w:pPr>
        <w:tabs>
          <w:tab w:val="left" w:pos="3402"/>
        </w:tabs>
        <w:spacing w:line="280" w:lineRule="atLeast"/>
        <w:ind w:left="3402" w:hanging="3402"/>
        <w:rPr>
          <w:rFonts w:cs="Calibri"/>
          <w:szCs w:val="24"/>
        </w:rPr>
      </w:pPr>
      <w:r>
        <w:rPr>
          <w:rFonts w:cs="Calibri"/>
          <w:szCs w:val="24"/>
        </w:rPr>
        <w:t>TC</w:t>
      </w:r>
      <w:r>
        <w:rPr>
          <w:rFonts w:cs="Calibri"/>
          <w:szCs w:val="24"/>
        </w:rPr>
        <w:tab/>
        <w:t>technologické centrum</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ÚOHS</w:t>
      </w:r>
      <w:r w:rsidRPr="002C224A">
        <w:rPr>
          <w:rFonts w:cs="Calibri"/>
          <w:szCs w:val="24"/>
        </w:rPr>
        <w:tab/>
        <w:t>Úřad pro ochranu hospodářské soutěže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VO</w:t>
      </w:r>
      <w:r w:rsidRPr="002C224A">
        <w:rPr>
          <w:rFonts w:cs="Calibri"/>
          <w:szCs w:val="24"/>
        </w:rPr>
        <w:tab/>
        <w:t>výzkumná organizace</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ZISIF</w:t>
      </w:r>
      <w:r w:rsidRPr="002C224A">
        <w:rPr>
          <w:rFonts w:cs="Calibri"/>
          <w:szCs w:val="24"/>
        </w:rPr>
        <w:tab/>
        <w:t>zákon č. 240/2013 Sb., o investičních společnostech a investičních fondech a navazující podzákonné předpisy</w:t>
      </w:r>
    </w:p>
    <w:p w:rsidR="006D67F1" w:rsidRPr="002C224A" w:rsidRDefault="006D67F1" w:rsidP="00FA5A53">
      <w:pPr>
        <w:tabs>
          <w:tab w:val="left" w:pos="3402"/>
        </w:tabs>
        <w:spacing w:line="280" w:lineRule="atLeast"/>
        <w:ind w:left="3402" w:hanging="3402"/>
        <w:rPr>
          <w:rFonts w:cs="Calibri"/>
          <w:szCs w:val="24"/>
        </w:rPr>
      </w:pPr>
      <w:r w:rsidRPr="002C224A">
        <w:rPr>
          <w:rFonts w:cs="Calibri"/>
          <w:szCs w:val="24"/>
        </w:rPr>
        <w:t>ZSJ</w:t>
      </w:r>
      <w:r w:rsidRPr="002C224A">
        <w:rPr>
          <w:rFonts w:cs="Calibri"/>
          <w:szCs w:val="24"/>
        </w:rPr>
        <w:tab/>
        <w:t>základní samosprávná jednotka</w:t>
      </w:r>
    </w:p>
    <w:p w:rsidR="006D67F1" w:rsidRPr="002C224A" w:rsidRDefault="006D67F1" w:rsidP="00C72C85">
      <w:pPr>
        <w:rPr>
          <w:b/>
          <w:bCs/>
        </w:rPr>
      </w:pPr>
      <w:r w:rsidRPr="002C224A">
        <w:rPr>
          <w:rFonts w:cs="Calibri"/>
          <w:szCs w:val="24"/>
        </w:rPr>
        <w:t>ZVZ</w:t>
      </w:r>
      <w:r w:rsidRPr="002C224A">
        <w:rPr>
          <w:rFonts w:cs="Calibri"/>
          <w:szCs w:val="24"/>
        </w:rPr>
        <w:tab/>
        <w:t>zákon č. 137/2006 Sb., o veřejných zakázkách, ve znění pozdějších předpisů a navazující podzákonné předpisy,</w:t>
      </w:r>
      <w:bookmarkStart w:id="1522" w:name="_Toc417545344"/>
      <w:bookmarkStart w:id="1523" w:name="_Toc417545345"/>
      <w:bookmarkEnd w:id="1522"/>
      <w:bookmarkEnd w:id="1523"/>
    </w:p>
    <w:sectPr w:rsidR="006D67F1" w:rsidRPr="002C224A" w:rsidSect="00CA344C">
      <w:headerReference w:type="default" r:id="rId71"/>
      <w:footerReference w:type="even" r:id="rId72"/>
      <w:footerReference w:type="default" r:id="rId73"/>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A67" w:rsidRDefault="001C1A67" w:rsidP="006561E1">
      <w:r>
        <w:separator/>
      </w:r>
    </w:p>
  </w:endnote>
  <w:endnote w:type="continuationSeparator" w:id="0">
    <w:p w:rsidR="001C1A67" w:rsidRDefault="001C1A67" w:rsidP="0065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A67" w:rsidRDefault="001C1A67" w:rsidP="002E2C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C1A67" w:rsidRDefault="001C1A6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A67" w:rsidRDefault="001C1A67" w:rsidP="002E2C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F6121">
      <w:rPr>
        <w:rStyle w:val="slostrnky"/>
        <w:noProof/>
      </w:rPr>
      <w:t>221</w:t>
    </w:r>
    <w:r>
      <w:rPr>
        <w:rStyle w:val="slostrnky"/>
      </w:rPr>
      <w:fldChar w:fldCharType="end"/>
    </w:r>
  </w:p>
  <w:p w:rsidR="001C1A67" w:rsidRDefault="001C1A6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A67" w:rsidRDefault="001C1A67" w:rsidP="006561E1">
      <w:r>
        <w:separator/>
      </w:r>
    </w:p>
  </w:footnote>
  <w:footnote w:type="continuationSeparator" w:id="0">
    <w:p w:rsidR="001C1A67" w:rsidRDefault="001C1A67" w:rsidP="006561E1">
      <w:r>
        <w:continuationSeparator/>
      </w:r>
    </w:p>
  </w:footnote>
  <w:footnote w:id="1">
    <w:p w:rsidR="001C1A67" w:rsidRDefault="001C1A67" w:rsidP="008074B1">
      <w:pPr>
        <w:pStyle w:val="Textpoznpodarou"/>
      </w:pPr>
      <w:r>
        <w:rPr>
          <w:rStyle w:val="Znakapoznpodarou"/>
        </w:rPr>
        <w:footnoteRef/>
      </w:r>
      <w:r w:rsidRPr="00FF2B84">
        <w:rPr>
          <w:rFonts w:ascii="Calibri" w:hAnsi="Calibri" w:cs="Calibri"/>
        </w:rPr>
        <w:t xml:space="preserve">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Úř. v. EU </w:t>
      </w:r>
      <w:r>
        <w:rPr>
          <w:rFonts w:ascii="Calibri" w:hAnsi="Calibri" w:cs="Calibri"/>
        </w:rPr>
        <w:t xml:space="preserve">č. </w:t>
      </w:r>
      <w:r w:rsidRPr="00FF2B84">
        <w:rPr>
          <w:rFonts w:ascii="Calibri" w:hAnsi="Calibri" w:cs="Calibri"/>
        </w:rPr>
        <w:t>L 347 ze dne 20.12.2013, str. 320.</w:t>
      </w:r>
    </w:p>
  </w:footnote>
  <w:footnote w:id="2">
    <w:p w:rsidR="001C1A67" w:rsidRDefault="001C1A67" w:rsidP="008074B1">
      <w:pPr>
        <w:pStyle w:val="Textpoznpodarou"/>
      </w:pPr>
      <w:r w:rsidRPr="00B42113">
        <w:rPr>
          <w:rStyle w:val="Znakapoznpodarou"/>
          <w:rFonts w:ascii="Calibri" w:hAnsi="Calibri" w:cs="Calibri"/>
        </w:rPr>
        <w:footnoteRef/>
      </w:r>
      <w:r>
        <w:rPr>
          <w:rFonts w:ascii="Calibri" w:hAnsi="Calibri" w:cs="Calibri"/>
        </w:rPr>
        <w:t>N</w:t>
      </w:r>
      <w:r w:rsidRPr="00B42113">
        <w:rPr>
          <w:rFonts w:ascii="Calibri" w:hAnsi="Calibri" w:cs="Calibri"/>
        </w:rPr>
        <w:t>ařízení (EU, EURATOM) č. 966/2012 Evropského parlamentu a Rady ze dne 25. října 2012, kterým se stanoví finanční pravidla o souhrnném rozpočtu Unie a o zrušení nařízení Rady (ES, Euratom) č. 1605/2002</w:t>
      </w:r>
      <w:r>
        <w:rPr>
          <w:rFonts w:ascii="Calibri" w:hAnsi="Calibri" w:cs="Calibri"/>
        </w:rPr>
        <w:t xml:space="preserve">, Úř. v. EU č. L 298 ze dne </w:t>
      </w:r>
      <w:r w:rsidRPr="00B42113">
        <w:rPr>
          <w:rFonts w:ascii="Calibri" w:hAnsi="Calibri" w:cs="Calibri"/>
        </w:rPr>
        <w:t>26.10.2012</w:t>
      </w:r>
      <w:r>
        <w:rPr>
          <w:rFonts w:ascii="Calibri" w:hAnsi="Calibri" w:cs="Calibri"/>
        </w:rPr>
        <w:t>, str. 1.</w:t>
      </w:r>
    </w:p>
  </w:footnote>
  <w:footnote w:id="3">
    <w:p w:rsidR="001C1A67" w:rsidRDefault="001C1A67">
      <w:pPr>
        <w:pStyle w:val="Textpoznpodarou"/>
      </w:pPr>
      <w:r>
        <w:rPr>
          <w:rStyle w:val="Znakapoznpodarou"/>
        </w:rPr>
        <w:footnoteRef/>
      </w:r>
      <w:r>
        <w:t xml:space="preserve"> </w:t>
      </w:r>
      <w:r w:rsidRPr="003F7F34">
        <w:t xml:space="preserve">Metodický pokyn finančních toků programů spolufinancovaných z Evropských strukturálních fondů, Fondu soudržnosti a Evropského námořního a rybářského fondu na programové období 2014 </w:t>
      </w:r>
      <w:r>
        <w:t>–</w:t>
      </w:r>
      <w:r w:rsidRPr="003F7F34">
        <w:t xml:space="preserve"> 2020</w:t>
      </w:r>
      <w:r>
        <w:t xml:space="preserve"> ve znění ze dne 1.11. 2014</w:t>
      </w:r>
    </w:p>
  </w:footnote>
  <w:footnote w:id="4">
    <w:p w:rsidR="001C1A67" w:rsidRDefault="001C1A67" w:rsidP="0092666E">
      <w:pPr>
        <w:pStyle w:val="Textpoznpodarou"/>
      </w:pPr>
      <w:r>
        <w:rPr>
          <w:rStyle w:val="Znakapoznpodarou"/>
        </w:rPr>
        <w:footnoteRef/>
      </w:r>
      <w:r>
        <w:t xml:space="preserve"> Alokace jsou z původní hodnoty v EUR přepočteny v kurzu 27,5 CZK/EUR, reálná hodnota se může lišit v závislosti na pohybu kurzu.</w:t>
      </w:r>
    </w:p>
  </w:footnote>
  <w:footnote w:id="5">
    <w:p w:rsidR="001C1A67" w:rsidRDefault="001C1A67">
      <w:pPr>
        <w:pStyle w:val="Textpoznpodarou"/>
      </w:pPr>
      <w:r>
        <w:rPr>
          <w:rStyle w:val="Znakapoznpodarou"/>
        </w:rPr>
        <w:footnoteRef/>
      </w:r>
      <w:r>
        <w:t xml:space="preserve"> Využití záruk pro inovace v SC 1.1 je doporučováno až v závislosti na sladění s dotačními výzvami, případně též mimo OP PIK v rámci Investičního plánu pro Evropu.</w:t>
      </w:r>
    </w:p>
  </w:footnote>
  <w:footnote w:id="6">
    <w:p w:rsidR="001C1A67" w:rsidRDefault="001C1A67">
      <w:pPr>
        <w:pStyle w:val="Textpoznpodarou"/>
      </w:pPr>
      <w:r>
        <w:rPr>
          <w:rStyle w:val="Znakapoznpodarou"/>
        </w:rPr>
        <w:footnoteRef/>
      </w:r>
      <w:r>
        <w:t xml:space="preserve"> V závislosti na bližším určení cílového segmentu SC 2.3.</w:t>
      </w:r>
    </w:p>
  </w:footnote>
  <w:footnote w:id="7">
    <w:p w:rsidR="001C1A67" w:rsidRDefault="001C1A67">
      <w:pPr>
        <w:pStyle w:val="Textpoznpodarou"/>
      </w:pPr>
      <w:r>
        <w:rPr>
          <w:rStyle w:val="Znakapoznpodarou"/>
        </w:rPr>
        <w:footnoteRef/>
      </w:r>
      <w:r>
        <w:t xml:space="preserve"> Pilotní projekt pro zvýhodněné úvěry v SC 3.1 může být spuštěn až v případě zprůchodnění cesty kombinace FN s provozní podporou OZE v rámci omezení OP PIK.</w:t>
      </w:r>
    </w:p>
  </w:footnote>
  <w:footnote w:id="8">
    <w:p w:rsidR="001C1A67" w:rsidRPr="00EF6121" w:rsidRDefault="001C1A67">
      <w:pPr>
        <w:pStyle w:val="Textpoznpodarou"/>
        <w:rPr>
          <w:rFonts w:asciiTheme="minorHAnsi" w:hAnsiTheme="minorHAnsi"/>
        </w:rPr>
      </w:pPr>
      <w:r w:rsidRPr="00EF6121">
        <w:rPr>
          <w:rStyle w:val="Znakapoznpodarou"/>
          <w:rFonts w:asciiTheme="minorHAnsi" w:hAnsiTheme="minorHAnsi"/>
        </w:rPr>
        <w:footnoteRef/>
      </w:r>
      <w:r w:rsidRPr="00EF6121">
        <w:rPr>
          <w:rFonts w:asciiTheme="minorHAnsi" w:hAnsiTheme="minorHAnsi"/>
        </w:rPr>
        <w:t xml:space="preserve"> Nařízení (EU, EURATOM) č. 966/2012 Evropského parlamentu a Rady ze dne 25. října 2012, kterým se stanoví finanční pravidla o souhrnném rozpočtu Unie a o zrušení nařízení Rady (ES, Euratom) č. 1605/2002</w:t>
      </w:r>
    </w:p>
  </w:footnote>
  <w:footnote w:id="9">
    <w:p w:rsidR="001C1A67" w:rsidRDefault="001C1A67" w:rsidP="008074B1">
      <w:pPr>
        <w:pStyle w:val="Textpoznpodarou"/>
      </w:pPr>
      <w:r w:rsidRPr="00FF2B84">
        <w:rPr>
          <w:rStyle w:val="Znakapoznpodarou"/>
          <w:rFonts w:ascii="Calibri" w:hAnsi="Calibri" w:cs="Calibri"/>
        </w:rPr>
        <w:footnoteRef/>
      </w:r>
      <w:r w:rsidRPr="00FF2B84">
        <w:rPr>
          <w:rFonts w:ascii="Calibri" w:hAnsi="Calibri" w:cs="Calibri"/>
        </w:rPr>
        <w:t xml:space="preserve"> Viz prováděcí nařízení Komise (EU) č. 964/2014 ze dne 11. září 2014, kterým se stanoví prováděcí pravidla k nařízení Evropského parlamentu a Rady (EU) č. 1303/2013, pokud jde o standardní podmínky pro finanční nástroje, Úř. v. EU</w:t>
      </w:r>
      <w:r>
        <w:rPr>
          <w:rFonts w:ascii="Calibri" w:hAnsi="Calibri" w:cs="Calibri"/>
        </w:rPr>
        <w:t xml:space="preserve"> č.</w:t>
      </w:r>
      <w:r w:rsidRPr="00FF2B84">
        <w:rPr>
          <w:rFonts w:ascii="Calibri" w:hAnsi="Calibri" w:cs="Calibri"/>
        </w:rPr>
        <w:t xml:space="preserve"> L 271 ze dne 12.9.2014, str. 16.</w:t>
      </w:r>
    </w:p>
  </w:footnote>
  <w:footnote w:id="10">
    <w:p w:rsidR="001C1A67" w:rsidRDefault="001C1A67" w:rsidP="008074B1">
      <w:pPr>
        <w:pStyle w:val="Textpoznpodarou"/>
      </w:pPr>
      <w:r>
        <w:rPr>
          <w:rStyle w:val="Znakapoznpodarou"/>
        </w:rPr>
        <w:footnoteRef/>
      </w:r>
      <w:r w:rsidRPr="00FB20E9">
        <w:rPr>
          <w:rFonts w:ascii="Calibri" w:hAnsi="Calibri" w:cs="Calibri"/>
        </w:rPr>
        <w:t>V tuto chvíli zejména</w:t>
      </w:r>
      <w:r>
        <w:rPr>
          <w:rFonts w:ascii="Calibri" w:hAnsi="Calibri" w:cs="Calibri"/>
        </w:rPr>
        <w:t xml:space="preserve"> a prováděcí nařízení Komise </w:t>
      </w:r>
      <w:r w:rsidRPr="00534A83">
        <w:rPr>
          <w:rFonts w:ascii="Calibri" w:hAnsi="Calibri" w:cs="Calibri"/>
        </w:rPr>
        <w:t>821/2014 ze dne 28. července 2014</w:t>
      </w:r>
      <w:r>
        <w:rPr>
          <w:rFonts w:ascii="Calibri" w:hAnsi="Calibri" w:cs="Calibri"/>
        </w:rPr>
        <w:t>, prováděcí nařízení Komise (EU) č. 964/2014  ze dne a nařízení K</w:t>
      </w:r>
      <w:r w:rsidRPr="00FB20E9">
        <w:rPr>
          <w:rFonts w:ascii="Calibri" w:hAnsi="Calibri" w:cs="Calibri"/>
        </w:rPr>
        <w:t>omise v přenesené pravomoci (EU) č. 480/2014 ze dne 3. března 2014</w:t>
      </w:r>
      <w:r>
        <w:rPr>
          <w:rFonts w:ascii="Calibri" w:hAnsi="Calibri" w:cs="Calibri"/>
        </w:rPr>
        <w:t>.</w:t>
      </w:r>
      <w:r w:rsidRPr="00FB20E9">
        <w:rPr>
          <w:rFonts w:ascii="Calibri" w:hAnsi="Calibri" w:cs="Calibri"/>
        </w:rPr>
        <w:t xml:space="preserve"> </w:t>
      </w:r>
    </w:p>
  </w:footnote>
  <w:footnote w:id="11">
    <w:p w:rsidR="001C1A67" w:rsidRPr="00756F06" w:rsidRDefault="001C1A67" w:rsidP="0074622E">
      <w:pPr>
        <w:pStyle w:val="Textpoznpodarou"/>
        <w:rPr>
          <w:sz w:val="20"/>
        </w:rPr>
      </w:pPr>
      <w:r w:rsidRPr="00756F06">
        <w:rPr>
          <w:rStyle w:val="Znakapoznpodarou"/>
          <w:sz w:val="20"/>
        </w:rPr>
        <w:footnoteRef/>
      </w:r>
      <w:r w:rsidRPr="00756F06">
        <w:rPr>
          <w:sz w:val="20"/>
        </w:rPr>
        <w:t xml:space="preserve"> </w:t>
      </w:r>
      <w:r>
        <w:rPr>
          <w:sz w:val="20"/>
        </w:rPr>
        <w:t xml:space="preserve">Nařízení Rady </w:t>
      </w:r>
      <w:r w:rsidRPr="00756F06">
        <w:rPr>
          <w:sz w:val="20"/>
        </w:rPr>
        <w:t>(ES) č. 659/1999, kterým se stanoví prováděcí pravidla k článku 93 Smlouvy o ES</w:t>
      </w:r>
      <w:r>
        <w:rPr>
          <w:sz w:val="20"/>
        </w:rPr>
        <w:t>, ve znění pozdějších předpisů a n</w:t>
      </w:r>
      <w:r w:rsidRPr="00756F06">
        <w:rPr>
          <w:sz w:val="20"/>
        </w:rPr>
        <w:t>ařízení Komise (ES) č. 794/2004</w:t>
      </w:r>
      <w:r>
        <w:rPr>
          <w:sz w:val="20"/>
        </w:rPr>
        <w:t>,</w:t>
      </w:r>
      <w:r w:rsidRPr="00756F06">
        <w:rPr>
          <w:sz w:val="20"/>
        </w:rPr>
        <w:t xml:space="preserve"> kterým se provádí nařízení Rady (ES) č. 659/1999, kterým se stanoví prováděcí pravidla k článku 93 Smlouvy o ES</w:t>
      </w:r>
      <w:r>
        <w:rPr>
          <w:sz w:val="20"/>
        </w:rPr>
        <w:t>, ve znění pozdějších předpisů.</w:t>
      </w:r>
    </w:p>
  </w:footnote>
  <w:footnote w:id="12">
    <w:p w:rsidR="001C1A67" w:rsidRPr="004129DA" w:rsidRDefault="001C1A67" w:rsidP="0074622E">
      <w:pPr>
        <w:pStyle w:val="Textpoznpodarou"/>
        <w:rPr>
          <w:sz w:val="20"/>
        </w:rPr>
      </w:pPr>
      <w:r w:rsidRPr="004129DA">
        <w:rPr>
          <w:rStyle w:val="Znakapoznpodarou"/>
          <w:sz w:val="20"/>
        </w:rPr>
        <w:footnoteRef/>
      </w:r>
      <w:r w:rsidRPr="004129DA">
        <w:rPr>
          <w:sz w:val="20"/>
        </w:rPr>
        <w:t xml:space="preserve"> </w:t>
      </w:r>
      <w:r>
        <w:rPr>
          <w:sz w:val="20"/>
        </w:rPr>
        <w:t>N</w:t>
      </w:r>
      <w:r w:rsidRPr="004129DA">
        <w:rPr>
          <w:sz w:val="20"/>
        </w:rPr>
        <w:t xml:space="preserve">ebyla </w:t>
      </w:r>
      <w:r>
        <w:rPr>
          <w:sz w:val="20"/>
        </w:rPr>
        <w:t>tudíž naplněna podmínka posky</w:t>
      </w:r>
      <w:r w:rsidRPr="004129DA">
        <w:rPr>
          <w:sz w:val="20"/>
        </w:rPr>
        <w:t>tnutí zvýhodnění z definice veřejné podpory viz výše</w:t>
      </w:r>
      <w:r>
        <w:rPr>
          <w:sz w:val="20"/>
        </w:rPr>
        <w:t>.</w:t>
      </w:r>
    </w:p>
  </w:footnote>
  <w:footnote w:id="13">
    <w:p w:rsidR="001C1A67" w:rsidRDefault="001C1A67" w:rsidP="008074B1">
      <w:pPr>
        <w:pStyle w:val="Textpoznpodarou"/>
        <w:jc w:val="left"/>
      </w:pPr>
      <w:r w:rsidRPr="00BA2BE0">
        <w:rPr>
          <w:rStyle w:val="Znakapoznpodarou"/>
          <w:rFonts w:ascii="Calibri" w:hAnsi="Calibri" w:cs="Calibri"/>
        </w:rPr>
        <w:footnoteRef/>
      </w:r>
      <w:r>
        <w:rPr>
          <w:rFonts w:ascii="Calibri" w:hAnsi="Calibri" w:cs="Calibri"/>
        </w:rPr>
        <w:t>M</w:t>
      </w:r>
      <w:r w:rsidRPr="00BA2BE0">
        <w:rPr>
          <w:rFonts w:ascii="Calibri" w:hAnsi="Calibri" w:cs="Calibri"/>
        </w:rPr>
        <w:t>etodik</w:t>
      </w:r>
      <w:r>
        <w:rPr>
          <w:rFonts w:ascii="Calibri" w:hAnsi="Calibri" w:cs="Calibri"/>
        </w:rPr>
        <w:t xml:space="preserve">a je </w:t>
      </w:r>
      <w:r w:rsidRPr="00BA2BE0">
        <w:rPr>
          <w:rFonts w:ascii="Calibri" w:hAnsi="Calibri" w:cs="Calibri"/>
        </w:rPr>
        <w:t>dostupn</w:t>
      </w:r>
      <w:r>
        <w:rPr>
          <w:rFonts w:ascii="Calibri" w:hAnsi="Calibri" w:cs="Calibri"/>
        </w:rPr>
        <w:t>á</w:t>
      </w:r>
      <w:r w:rsidRPr="00BA2BE0">
        <w:rPr>
          <w:rFonts w:ascii="Calibri" w:hAnsi="Calibri" w:cs="Calibri"/>
        </w:rPr>
        <w:t xml:space="preserve"> na adrese </w:t>
      </w:r>
      <w:hyperlink r:id="rId1" w:history="1">
        <w:r w:rsidRPr="00BA2BE0">
          <w:rPr>
            <w:rStyle w:val="Hypertextovodkaz"/>
            <w:rFonts w:cs="Calibri"/>
          </w:rPr>
          <w:t>http://ec.europa.eu/regional_policy/thefunds/fin_inst/index_en.cfm</w:t>
        </w:r>
      </w:hyperlink>
    </w:p>
  </w:footnote>
  <w:footnote w:id="14">
    <w:p w:rsidR="001C1A67" w:rsidRDefault="001C1A67" w:rsidP="008074B1">
      <w:pPr>
        <w:pStyle w:val="Textpoznpodarou"/>
      </w:pPr>
      <w:r>
        <w:rPr>
          <w:rStyle w:val="Znakapoznpodarou"/>
        </w:rPr>
        <w:footnoteRef/>
      </w:r>
      <w:r w:rsidRPr="00712B98">
        <w:t>Podle čl. 1.3 bodu 15 písm. aa) Rámce pro státní podporu výzkumu, vývoje a inovací se tento pojem překládá jako „zadávání veřejných zakázek v předobchodní fázi“</w:t>
      </w:r>
    </w:p>
  </w:footnote>
  <w:footnote w:id="15">
    <w:p w:rsidR="001C1A67" w:rsidRDefault="001C1A67">
      <w:pPr>
        <w:pStyle w:val="Textpoznpodarou"/>
      </w:pPr>
      <w:r>
        <w:rPr>
          <w:rStyle w:val="Znakapoznpodarou"/>
        </w:rPr>
        <w:footnoteRef/>
      </w:r>
      <w:r>
        <w:t xml:space="preserve"> Pro program Inovace OP PI i OP PIK  jsou požadovány inovace minimálně řádu 5 u MSP, resp. 6 u velkých podniků (Valentova stupnice), které vyžadují kvalitativní posun procesů a nových variant produktů, resp.nové konstrukční řešení.</w:t>
      </w:r>
    </w:p>
  </w:footnote>
  <w:footnote w:id="16">
    <w:p w:rsidR="001C1A67" w:rsidRDefault="001C1A67" w:rsidP="008074B1">
      <w:pPr>
        <w:pStyle w:val="Textpoznpodarou"/>
      </w:pPr>
      <w:r>
        <w:rPr>
          <w:rStyle w:val="Znakapoznpodarou"/>
        </w:rPr>
        <w:footnoteRef/>
      </w:r>
      <w:r>
        <w:t xml:space="preserve"> ČSÚ 2015</w:t>
      </w:r>
    </w:p>
  </w:footnote>
  <w:footnote w:id="17">
    <w:p w:rsidR="001C1A67" w:rsidRDefault="001C1A67" w:rsidP="008074B1">
      <w:pPr>
        <w:pStyle w:val="Textpoznpodarou"/>
      </w:pPr>
      <w:r>
        <w:rPr>
          <w:rStyle w:val="Znakapoznpodarou"/>
        </w:rPr>
        <w:footnoteRef/>
      </w:r>
      <w:r>
        <w:t>ČSU 2015</w:t>
      </w:r>
    </w:p>
  </w:footnote>
  <w:footnote w:id="18">
    <w:p w:rsidR="001C1A67" w:rsidRDefault="001C1A67">
      <w:pPr>
        <w:pStyle w:val="Textpoznpodarou"/>
      </w:pPr>
      <w:r>
        <w:rPr>
          <w:rStyle w:val="Znakapoznpodarou"/>
        </w:rPr>
        <w:footnoteRef/>
      </w:r>
      <w:r w:rsidRPr="0045138F">
        <w:t>Inovační aktivity podniků v</w:t>
      </w:r>
      <w:r>
        <w:t> </w:t>
      </w:r>
      <w:r w:rsidRPr="0045138F">
        <w:t>ČR</w:t>
      </w:r>
      <w:r>
        <w:t>: 2010-2012, ČSÚ</w:t>
      </w:r>
    </w:p>
  </w:footnote>
  <w:footnote w:id="19">
    <w:p w:rsidR="001C1A67" w:rsidRDefault="001C1A67">
      <w:pPr>
        <w:pStyle w:val="Textpoznpodarou"/>
      </w:pPr>
      <w:r>
        <w:rPr>
          <w:rStyle w:val="Znakapoznpodarou"/>
        </w:rPr>
        <w:footnoteRef/>
      </w:r>
      <w:r>
        <w:t xml:space="preserve"> Inovační aktivity podniků: 2010-2012, ČSÚ.</w:t>
      </w:r>
    </w:p>
  </w:footnote>
  <w:footnote w:id="20">
    <w:p w:rsidR="001C1A67" w:rsidRDefault="001C1A67" w:rsidP="00AA1508">
      <w:pPr>
        <w:pStyle w:val="Textpoznpodarou"/>
      </w:pPr>
      <w:r>
        <w:rPr>
          <w:rStyle w:val="Znakapoznpodarou"/>
        </w:rPr>
        <w:footnoteRef/>
      </w:r>
      <w:r>
        <w:t xml:space="preserve"> Modelový kurz CZK/EUR = 28</w:t>
      </w:r>
    </w:p>
  </w:footnote>
  <w:footnote w:id="21">
    <w:p w:rsidR="001C1A67" w:rsidRDefault="001C1A67">
      <w:pPr>
        <w:pStyle w:val="Textpoznpodarou"/>
      </w:pPr>
      <w:r>
        <w:rPr>
          <w:rStyle w:val="Znakapoznpodarou"/>
        </w:rPr>
        <w:footnoteRef/>
      </w:r>
      <w:r>
        <w:t xml:space="preserve"> Pracovní závěry šetření INKA, závěry ze sběru a analýzy primárních dat, 2015.</w:t>
      </w:r>
    </w:p>
  </w:footnote>
  <w:footnote w:id="22">
    <w:p w:rsidR="001C1A67" w:rsidRDefault="001C1A67" w:rsidP="008074B1">
      <w:pPr>
        <w:pStyle w:val="Textpoznpodarou"/>
      </w:pPr>
      <w:r>
        <w:rPr>
          <w:rStyle w:val="Znakapoznpodarou"/>
        </w:rPr>
        <w:footnoteRef/>
      </w:r>
      <w:r>
        <w:t xml:space="preserve"> ČSÚ 2015</w:t>
      </w:r>
    </w:p>
  </w:footnote>
  <w:footnote w:id="23">
    <w:p w:rsidR="001C1A67" w:rsidRDefault="001C1A67" w:rsidP="003B6DE3">
      <w:pPr>
        <w:pStyle w:val="Textpoznpodarou"/>
      </w:pPr>
      <w:r>
        <w:rPr>
          <w:rStyle w:val="Znakapoznpodarou"/>
        </w:rPr>
        <w:footnoteRef/>
      </w:r>
      <w:r>
        <w:t>Další infrastruktury zaměřené na spolupráci s aplikační sférou podpořené z OP VaVpI zahájí činnost v roce 2015. Ze strany těchto subjektů je očekávána výrazná poptávka po zdrojích na jejich další fungování.</w:t>
      </w:r>
    </w:p>
  </w:footnote>
  <w:footnote w:id="24">
    <w:p w:rsidR="001C1A67" w:rsidRDefault="001C1A67">
      <w:pPr>
        <w:pStyle w:val="Textpoznpodarou"/>
      </w:pPr>
      <w:r>
        <w:rPr>
          <w:rStyle w:val="Znakapoznpodarou"/>
        </w:rPr>
        <w:footnoteRef/>
      </w:r>
      <w:r>
        <w:t xml:space="preserve"> Poradenské služby CzechInvest/API</w:t>
      </w:r>
    </w:p>
  </w:footnote>
  <w:footnote w:id="25">
    <w:p w:rsidR="001C1A67" w:rsidRDefault="001C1A67">
      <w:pPr>
        <w:pStyle w:val="Textpoznpodarou"/>
      </w:pPr>
      <w:r>
        <w:rPr>
          <w:rStyle w:val="Znakapoznpodarou"/>
        </w:rPr>
        <w:footnoteRef/>
      </w:r>
      <w:r>
        <w:t xml:space="preserve"> Jako „</w:t>
      </w:r>
      <w:r w:rsidRPr="007B2DEF">
        <w:t xml:space="preserve">Business loansSMEs" </w:t>
      </w:r>
      <w:r>
        <w:t xml:space="preserve">jsou ve zdrojových datech ČNB udávány registrované úvěry  do </w:t>
      </w:r>
      <w:smartTag w:uri="urn:schemas-microsoft-com:office:smarttags" w:element="metricconverter">
        <w:smartTagPr>
          <w:attr w:name="ProductID" w:val="30 mil"/>
        </w:smartTagPr>
        <w:r>
          <w:t>30 mil</w:t>
        </w:r>
      </w:smartTag>
      <w:r>
        <w:t xml:space="preserve"> CZK.</w:t>
      </w:r>
      <w:r w:rsidRPr="007B2DEF">
        <w:t xml:space="preserve"> ČNB nerozlišuje přijemce úvěrů podle velikostních kategorií.</w:t>
      </w:r>
    </w:p>
  </w:footnote>
  <w:footnote w:id="26">
    <w:p w:rsidR="001C1A67" w:rsidRDefault="001C1A67" w:rsidP="00492C7A">
      <w:pPr>
        <w:pStyle w:val="Textpoznpodarou"/>
      </w:pPr>
      <w:r w:rsidRPr="00C12A00">
        <w:rPr>
          <w:rStyle w:val="Znakapoznpodarou"/>
          <w:rFonts w:cs="Calibri"/>
        </w:rPr>
        <w:footnoteRef/>
      </w:r>
      <w:r w:rsidRPr="00DF6E0B">
        <w:rPr>
          <w:rFonts w:cs="Calibri"/>
        </w:rPr>
        <w:t xml:space="preserve">   Evropa: EU 28, Švýcarsko, Makedonie, Srbsko a Černá Hora. </w:t>
      </w:r>
      <w:r w:rsidRPr="00C12A00">
        <w:rPr>
          <w:rFonts w:cs="Calibri"/>
        </w:rPr>
        <w:t>Ukrajina a Bosna a Herzegovina, které jsou součástí statistik EVCA chybí v datech o HDP, neboť tyto země EUROSTAT ve své databázi nenabízí. Data za Ukrajinu byla proto zároveň odečtena z EVCA statistik o investicích PE/VC v Evropě. Co se týče Bosny a Herzegoviny, nebylo možné ji z dat EVCA odečíst, neboť nejsou samostatně dostupná, nicméně nezahrnutí HDP této země ve výpočtu nemůže podstatně snížit kvalitu dat s ohledem na její nízký podíl na evropském HDP.</w:t>
      </w:r>
    </w:p>
  </w:footnote>
  <w:footnote w:id="27">
    <w:p w:rsidR="001C1A67" w:rsidRDefault="001C1A67" w:rsidP="00871EC9">
      <w:pPr>
        <w:pStyle w:val="Textpoznpodarou"/>
      </w:pPr>
      <w:r w:rsidRPr="003D6230">
        <w:rPr>
          <w:rStyle w:val="Znakapoznpodarou"/>
          <w:rFonts w:ascii="Calibri" w:hAnsi="Calibri" w:cs="Calibri"/>
        </w:rPr>
        <w:footnoteRef/>
      </w:r>
      <w:r w:rsidRPr="003D6230">
        <w:t xml:space="preserve"> Viz Evropská komise (2013). Ex ante assessment</w:t>
      </w:r>
      <w:r>
        <w:t xml:space="preserve"> </w:t>
      </w:r>
      <w:r w:rsidRPr="003D6230">
        <w:t>of</w:t>
      </w:r>
      <w:r>
        <w:t xml:space="preserve"> </w:t>
      </w:r>
      <w:r w:rsidRPr="003D6230">
        <w:t>the EU SME initiative</w:t>
      </w:r>
      <w:r>
        <w:t>, s. 26</w:t>
      </w:r>
    </w:p>
  </w:footnote>
  <w:footnote w:id="28">
    <w:p w:rsidR="001C1A67" w:rsidRDefault="001C1A67" w:rsidP="00871EC9">
      <w:pPr>
        <w:pStyle w:val="Textpoznpodarou"/>
      </w:pPr>
      <w:r>
        <w:rPr>
          <w:rStyle w:val="Znakapoznpodarou"/>
          <w:rFonts w:cs="Arial"/>
        </w:rPr>
        <w:footnoteRef/>
      </w:r>
      <w:r>
        <w:t>European Investment Fund, SME Access to Finance in Czech Republic – Evaluation study</w:t>
      </w:r>
    </w:p>
  </w:footnote>
  <w:footnote w:id="29">
    <w:p w:rsidR="001C1A67" w:rsidRDefault="001C1A67" w:rsidP="00D123F0">
      <w:pPr>
        <w:pStyle w:val="Textpoznpodarou"/>
      </w:pPr>
      <w:r>
        <w:rPr>
          <w:rStyle w:val="Znakapoznpodarou"/>
        </w:rPr>
        <w:footnoteRef/>
      </w:r>
      <w:r w:rsidRPr="0020005F">
        <w:t>NAŘÍZENÍ KOMISE (EU) č. 651/2014 ze dne 17. června 2014</w:t>
      </w:r>
      <w:r>
        <w:t>, oddíl 3., čl. 21/10</w:t>
      </w:r>
    </w:p>
  </w:footnote>
  <w:footnote w:id="30">
    <w:p w:rsidR="001C1A67" w:rsidRDefault="001C1A67" w:rsidP="00266A15">
      <w:pPr>
        <w:pStyle w:val="Textpoznpodarou"/>
      </w:pPr>
      <w:r>
        <w:rPr>
          <w:rStyle w:val="Znakapoznpodarou"/>
          <w:rFonts w:cs="Arial"/>
        </w:rPr>
        <w:footnoteRef/>
      </w:r>
      <w:r>
        <w:t xml:space="preserve"> Struktura a alokace v prioritních osách OP PI 2007 -2013, dostupné na: http://www.dotacni.info/wp-content/uploads/2013/07/Tabulky-k-OPPI.pdf</w:t>
      </w:r>
    </w:p>
  </w:footnote>
  <w:footnote w:id="31">
    <w:p w:rsidR="001C1A67" w:rsidRDefault="001C1A67" w:rsidP="008D25F3">
      <w:pPr>
        <w:pStyle w:val="Textpoznpodarou"/>
      </w:pPr>
      <w:r>
        <w:rPr>
          <w:rStyle w:val="Znakapoznpodarou"/>
        </w:rPr>
        <w:footnoteRef/>
      </w:r>
      <w:r>
        <w:t xml:space="preserve"> Nižší úrokové sazby lze dosáhnout poskytnutím zvýhodněného úvěru, dotací k úhradě úroků tržního úvěru, nebo kombinací obojího. Efekt na ekonomiku příjemce je totožný.</w:t>
      </w:r>
    </w:p>
  </w:footnote>
  <w:footnote w:id="32">
    <w:p w:rsidR="001C1A67" w:rsidRDefault="001C1A67" w:rsidP="00EE0F25">
      <w:pPr>
        <w:pStyle w:val="Textpoznpodarou"/>
      </w:pPr>
      <w:r>
        <w:rPr>
          <w:rStyle w:val="Znakapoznpodarou"/>
          <w:rFonts w:cs="Arial"/>
        </w:rPr>
        <w:footnoteRef/>
      </w:r>
      <w:r w:rsidRPr="00A22D14">
        <w:t>http://energostat.cz/obnovitelne-zdroje.html</w:t>
      </w:r>
    </w:p>
  </w:footnote>
  <w:footnote w:id="33">
    <w:p w:rsidR="001C1A67" w:rsidRDefault="001C1A67" w:rsidP="002433DA">
      <w:pPr>
        <w:pStyle w:val="Textkomente"/>
      </w:pPr>
      <w:r>
        <w:rPr>
          <w:rStyle w:val="Znakapoznpodarou"/>
        </w:rPr>
        <w:footnoteRef/>
      </w:r>
      <w:r>
        <w:t xml:space="preserve"> Dopady celoevropského cíle na národní závazky ČR v době zpracování zprávy ještě nebylo možné určit.</w:t>
      </w:r>
    </w:p>
  </w:footnote>
  <w:footnote w:id="34">
    <w:p w:rsidR="001C1A67" w:rsidRDefault="001C1A67">
      <w:pPr>
        <w:pStyle w:val="Textpoznpodarou"/>
      </w:pPr>
      <w:r>
        <w:rPr>
          <w:rStyle w:val="Znakapoznpodarou"/>
        </w:rPr>
        <w:footnoteRef/>
      </w:r>
      <w:r>
        <w:t xml:space="preserve"> </w:t>
      </w:r>
      <w:r w:rsidRPr="00994315">
        <w:t>http://www.enviweb.cz/clanek/vodenerg/99343/malych-vodnich-elektraren-pribyva-ale-pomalu</w:t>
      </w:r>
    </w:p>
  </w:footnote>
  <w:footnote w:id="35">
    <w:p w:rsidR="001C1A67" w:rsidRDefault="001C1A67" w:rsidP="00EE0F25">
      <w:pPr>
        <w:pStyle w:val="Textpoznpodarou"/>
      </w:pPr>
      <w:r>
        <w:rPr>
          <w:rStyle w:val="Znakapoznpodarou"/>
          <w:rFonts w:cs="Arial"/>
        </w:rPr>
        <w:footnoteRef/>
      </w:r>
      <w:r w:rsidRPr="009E5087">
        <w:t>http://www.czba.cz/aktuality/statistiky-vyroby-bioplynu-za-rok-2013.html</w:t>
      </w:r>
    </w:p>
  </w:footnote>
  <w:footnote w:id="36">
    <w:p w:rsidR="001C1A67" w:rsidRDefault="001C1A67" w:rsidP="00EE0F25">
      <w:pPr>
        <w:pStyle w:val="Textpoznpodarou"/>
      </w:pPr>
      <w:r>
        <w:rPr>
          <w:rStyle w:val="Znakapoznpodarou"/>
          <w:rFonts w:cs="Arial"/>
        </w:rPr>
        <w:footnoteRef/>
      </w:r>
      <w:r w:rsidRPr="00A22D14">
        <w:t>http://www.czba.cz/files/ceska-bioplynova-asociace/uploads/files/EnEfBPS-komplet.pdf</w:t>
      </w:r>
    </w:p>
  </w:footnote>
  <w:footnote w:id="37">
    <w:p w:rsidR="001C1A67" w:rsidRDefault="001C1A67" w:rsidP="00900E1F">
      <w:pPr>
        <w:pStyle w:val="Textpoznpodarou"/>
      </w:pPr>
      <w:r>
        <w:rPr>
          <w:rStyle w:val="Znakapoznpodarou"/>
        </w:rPr>
        <w:footnoteRef/>
      </w:r>
      <w:r>
        <w:t xml:space="preserve"> V případě nemožnosti využít další alternativní opatření a současně nedostatku finančních prostředků pro plnění cíle energetických úspor alternativním schématem se pro plnění cíle počítá se zavedením systému povinného zvyšování energetické účinnosti.</w:t>
      </w:r>
    </w:p>
  </w:footnote>
  <w:footnote w:id="38">
    <w:p w:rsidR="001C1A67" w:rsidRDefault="001C1A67" w:rsidP="00900E1F">
      <w:pPr>
        <w:pStyle w:val="Textpoznpodarou"/>
      </w:pPr>
      <w:r>
        <w:rPr>
          <w:rStyle w:val="Znakapoznpodarou"/>
        </w:rPr>
        <w:footnoteRef/>
      </w:r>
      <w:r>
        <w:t xml:space="preserve"> Zdroj: </w:t>
      </w:r>
      <w:r w:rsidRPr="00D537CF">
        <w:rPr>
          <w:b/>
        </w:rPr>
        <w:t>Housing investments supported by the European Regional Development Fund 2007-2013</w:t>
      </w:r>
      <w:r>
        <w:rPr>
          <w:b/>
        </w:rPr>
        <w:t xml:space="preserve">, </w:t>
      </w:r>
      <w:r w:rsidRPr="00D537CF">
        <w:t>European Commission, Directorate-General for Regional and Urban Policy</w:t>
      </w:r>
      <w:r>
        <w:t>, září 2013</w:t>
      </w:r>
    </w:p>
  </w:footnote>
  <w:footnote w:id="39">
    <w:p w:rsidR="001C1A67" w:rsidRDefault="001C1A67" w:rsidP="0061378A">
      <w:pPr>
        <w:pStyle w:val="Textpoznpodarou"/>
      </w:pPr>
      <w:r>
        <w:rPr>
          <w:rStyle w:val="Znakapoznpodarou"/>
          <w:rFonts w:cs="Arial"/>
        </w:rPr>
        <w:footnoteRef/>
      </w:r>
      <w:r>
        <w:t xml:space="preserve"> Příprava podkladů pro akční plán energetické efektivnosti (SEVEN o.p.s.)</w:t>
      </w:r>
    </w:p>
  </w:footnote>
  <w:footnote w:id="40">
    <w:p w:rsidR="001C1A67" w:rsidRDefault="001C1A67" w:rsidP="009F71DE">
      <w:pPr>
        <w:pStyle w:val="Textpoznpodarou"/>
      </w:pPr>
      <w:r>
        <w:rPr>
          <w:rStyle w:val="Znakapoznpodarou"/>
          <w:rFonts w:cs="Arial"/>
        </w:rPr>
        <w:footnoteRef/>
      </w:r>
      <w:r>
        <w:t xml:space="preserve"> Zpráva o pokroku v oblasti KVET v ČR, MPO, Červen 2012,</w:t>
      </w:r>
    </w:p>
  </w:footnote>
  <w:footnote w:id="41">
    <w:p w:rsidR="001C1A67" w:rsidRDefault="001C1A67" w:rsidP="009F71DE">
      <w:pPr>
        <w:pStyle w:val="Textpoznpodarou"/>
      </w:pPr>
      <w:r>
        <w:rPr>
          <w:rStyle w:val="Znakapoznpodarou"/>
          <w:rFonts w:cs="Arial"/>
        </w:rPr>
        <w:footnoteRef/>
      </w:r>
      <w:r>
        <w:t xml:space="preserve"> Plán rozvoje kogenerace pro ČR, Listopad 2014, CODE2</w:t>
      </w:r>
    </w:p>
  </w:footnote>
  <w:footnote w:id="42">
    <w:p w:rsidR="001C1A67" w:rsidRDefault="001C1A67">
      <w:pPr>
        <w:pStyle w:val="Textpoznpodarou"/>
      </w:pPr>
      <w:r>
        <w:rPr>
          <w:rStyle w:val="Znakapoznpodarou"/>
        </w:rPr>
        <w:footnoteRef/>
      </w:r>
      <w:r w:rsidRPr="00CA4655">
        <w:t>http://www.code2-project.eu/wp-content/uploads/D2.2-Cogeneration-raodmap-NPMS-CZ-Summary-2014-11-28_CZ2.pdf</w:t>
      </w:r>
    </w:p>
  </w:footnote>
  <w:footnote w:id="43">
    <w:p w:rsidR="001C1A67" w:rsidRDefault="001C1A67" w:rsidP="00087DE7">
      <w:pPr>
        <w:pStyle w:val="Textpoznpodarou"/>
      </w:pPr>
      <w:r>
        <w:rPr>
          <w:rStyle w:val="Znakapoznpodarou"/>
          <w:rFonts w:cs="Arial"/>
        </w:rPr>
        <w:footnoteRef/>
      </w:r>
      <w:r>
        <w:t xml:space="preserve"> http://energetika.tzb-info.cz/teplarenstvi/11742-teplarny-modernizuji-rozvody-tepla</w:t>
      </w:r>
    </w:p>
  </w:footnote>
  <w:footnote w:id="44">
    <w:p w:rsidR="001C1A67" w:rsidRDefault="001C1A67" w:rsidP="00087DE7">
      <w:pPr>
        <w:pStyle w:val="Textpoznpodarou"/>
      </w:pPr>
      <w:r>
        <w:rPr>
          <w:rStyle w:val="Znakapoznpodarou"/>
          <w:rFonts w:cs="Arial"/>
        </w:rPr>
        <w:footnoteRef/>
      </w:r>
      <w:r>
        <w:t xml:space="preserve"> http://zpravy.e15.cz/byznys/prumysl-a-energetika/miliardy-za-lepsi-rozvody-tepla-na-upravy-cekaji-stovky-kilometru-trubek-1087125#utm_source=zpravy&amp;utm_medium=selfpromo&amp;utm_campaign=e15rss</w:t>
      </w:r>
    </w:p>
  </w:footnote>
  <w:footnote w:id="45">
    <w:p w:rsidR="001C1A67" w:rsidRDefault="001C1A67">
      <w:pPr>
        <w:pStyle w:val="Textpoznpodarou"/>
      </w:pPr>
      <w:r>
        <w:rPr>
          <w:rStyle w:val="Znakapoznpodarou"/>
        </w:rPr>
        <w:footnoteRef/>
      </w:r>
      <w:r w:rsidRPr="00C836FE">
        <w:t>http://byznys.ihned.cz/c1-63675220-teplarny-chteji-do-ochrany-ovzdusi-investovat-18-miliard-do-konce-roku-2016</w:t>
      </w:r>
      <w:r>
        <w:t>.</w:t>
      </w:r>
    </w:p>
  </w:footnote>
  <w:footnote w:id="46">
    <w:p w:rsidR="001C1A67" w:rsidRDefault="001C1A67" w:rsidP="00CE0F8D">
      <w:pPr>
        <w:pStyle w:val="Textpoznpodarou"/>
      </w:pPr>
      <w:r>
        <w:rPr>
          <w:rStyle w:val="Znakapoznpodarou"/>
          <w:rFonts w:cs="Arial"/>
        </w:rPr>
        <w:footnoteRef/>
      </w:r>
      <w:r>
        <w:t xml:space="preserve"> NOVÁK Svatoslav: Rozvoj a usnadnění výstavby sítí nové generace v CR, ICT Unie, Bratislava 10/2014</w:t>
      </w:r>
    </w:p>
  </w:footnote>
  <w:footnote w:id="47">
    <w:p w:rsidR="001C1A67" w:rsidRDefault="001C1A67" w:rsidP="00F16512">
      <w:pPr>
        <w:pStyle w:val="Textpoznpodarou"/>
      </w:pPr>
      <w:r>
        <w:rPr>
          <w:rStyle w:val="Znakapoznpodarou"/>
          <w:rFonts w:cs="Arial"/>
        </w:rPr>
        <w:footnoteRef/>
      </w:r>
      <w:r>
        <w:t xml:space="preserve"> Stav k 1.7.2014 – zdroj: </w:t>
      </w:r>
      <w:hyperlink r:id="rId2" w:history="1">
        <w:r>
          <w:rPr>
            <w:rStyle w:val="Hypertextovodkaz"/>
          </w:rPr>
          <w:t>https://www.ctu.cz/ctu-online/pruzkum-nga.html</w:t>
        </w:r>
      </w:hyperlink>
    </w:p>
  </w:footnote>
  <w:footnote w:id="48">
    <w:p w:rsidR="001C1A67" w:rsidRDefault="001C1A67">
      <w:pPr>
        <w:pStyle w:val="Textpoznpodarou"/>
      </w:pPr>
      <w:r>
        <w:rPr>
          <w:rStyle w:val="Znakapoznpodarou"/>
        </w:rPr>
        <w:footnoteRef/>
      </w:r>
      <w:r w:rsidRPr="00F16512">
        <w:t>http://www.mpo.cz/dokument154646.html</w:t>
      </w:r>
      <w:r>
        <w:t>.</w:t>
      </w:r>
    </w:p>
  </w:footnote>
  <w:footnote w:id="49">
    <w:p w:rsidR="001C1A67" w:rsidRDefault="001C1A67" w:rsidP="00132988">
      <w:pPr>
        <w:pStyle w:val="Textpoznpodarou"/>
      </w:pPr>
      <w:r>
        <w:rPr>
          <w:rStyle w:val="Znakapoznpodarou"/>
        </w:rPr>
        <w:footnoteRef/>
      </w:r>
      <w:r>
        <w:t xml:space="preserve"> Jedná se o zjišťování a měření prováděné komerční společnosti na downloadustreamovací služby v čase nejvyššího provozu. Pro více informací zdroj dostupný z </w:t>
      </w:r>
      <w:hyperlink r:id="rId3" w:history="1">
        <w:r w:rsidRPr="004D11BA">
          <w:rPr>
            <w:rStyle w:val="Hypertextovodkaz"/>
          </w:rPr>
          <w:t>https://www.seznam.cz/mapa-rychlosti-internetu</w:t>
        </w:r>
      </w:hyperlink>
      <w:r>
        <w:t xml:space="preserve">. </w:t>
      </w:r>
    </w:p>
  </w:footnote>
  <w:footnote w:id="50">
    <w:p w:rsidR="001C1A67" w:rsidRDefault="001C1A67">
      <w:pPr>
        <w:pStyle w:val="Textpoznpodarou"/>
      </w:pPr>
      <w:r>
        <w:rPr>
          <w:rStyle w:val="Znakapoznpodarou"/>
        </w:rPr>
        <w:footnoteRef/>
      </w:r>
      <w:r>
        <w:t xml:space="preserve"> Holdingový fond JESSICA vytvořený v rámci Integrovaného operačního programu (IOP) nebyl zaměřen na regeneraci brownfields.</w:t>
      </w:r>
    </w:p>
  </w:footnote>
  <w:footnote w:id="51">
    <w:p w:rsidR="001C1A67" w:rsidRDefault="001C1A67" w:rsidP="00284312">
      <w:pPr>
        <w:pStyle w:val="Textpoznpodarou"/>
      </w:pPr>
      <w:r w:rsidRPr="00F17D93">
        <w:rPr>
          <w:rStyle w:val="Znakapoznpodarou"/>
        </w:rPr>
        <w:footnoteRef/>
      </w:r>
      <w:r w:rsidRPr="00F17D93">
        <w:t xml:space="preserve"> DOLEŽALOVA L., SLÁNSKÁ V.: Příklad řešení regenerací brownfieldů s využitím pozemkového fondu a rozvojové společnosti v Severním Porýní-Vestfálsku, Urbanizmus a územní rozvoj, 2008 </w:t>
      </w:r>
    </w:p>
  </w:footnote>
  <w:footnote w:id="52">
    <w:p w:rsidR="001C1A67" w:rsidRDefault="001C1A67" w:rsidP="00284312">
      <w:pPr>
        <w:pStyle w:val="Textpoznpodarou"/>
      </w:pPr>
      <w:r w:rsidRPr="00F17D93">
        <w:rPr>
          <w:rStyle w:val="Znakapoznpodarou"/>
        </w:rPr>
        <w:footnoteRef/>
      </w:r>
      <w:r w:rsidRPr="00F17D93">
        <w:t xml:space="preserve"> finanční nástroj</w:t>
      </w:r>
    </w:p>
  </w:footnote>
  <w:footnote w:id="53">
    <w:p w:rsidR="001C1A67" w:rsidRDefault="001C1A67">
      <w:pPr>
        <w:pStyle w:val="Textpoznpodarou"/>
      </w:pPr>
      <w:r>
        <w:rPr>
          <w:rStyle w:val="Znakapoznpodarou"/>
        </w:rPr>
        <w:footnoteRef/>
      </w:r>
      <w:r w:rsidRPr="00F17D93">
        <w:t>http://geography.upol.cz/soubory/lide/szczyrba/Brownfields_zahranicni_pristupy.pdf</w:t>
      </w:r>
    </w:p>
  </w:footnote>
  <w:footnote w:id="54">
    <w:p w:rsidR="001C1A67" w:rsidRDefault="001C1A67" w:rsidP="00284312">
      <w:pPr>
        <w:pStyle w:val="Textpoznpodarou"/>
      </w:pPr>
      <w:r>
        <w:rPr>
          <w:rStyle w:val="Znakapoznpodarou"/>
        </w:rPr>
        <w:footnoteRef/>
      </w:r>
      <w:r>
        <w:t xml:space="preserve"> zanedbané obytní zóny, které utrpěli ztrátou průmyslu nebo jiné funkce</w:t>
      </w:r>
    </w:p>
  </w:footnote>
  <w:footnote w:id="55">
    <w:p w:rsidR="001C1A67" w:rsidRDefault="001C1A67" w:rsidP="00284312">
      <w:pPr>
        <w:pStyle w:val="Textpoznpodarou"/>
      </w:pPr>
      <w:r>
        <w:rPr>
          <w:rStyle w:val="Znakapoznpodarou"/>
        </w:rPr>
        <w:footnoteRef/>
      </w:r>
      <w:r>
        <w:t xml:space="preserve"> VYŠKOVSKÁ Monika: Řešení průmyslových brownfields ve Francii a možnost jejich implementace v ČR, Masaryková univerzita, 2013, dostupné na: </w:t>
      </w:r>
      <w:hyperlink r:id="rId4" w:history="1">
        <w:r w:rsidRPr="00345103">
          <w:rPr>
            <w:rStyle w:val="Hypertextovodkaz"/>
          </w:rPr>
          <w:t>http://is.muni.cz/th/323053/esf_m/Diplomova_prace-Monika_Vyskovska.pdf</w:t>
        </w:r>
      </w:hyperlink>
    </w:p>
  </w:footnote>
  <w:footnote w:id="56">
    <w:p w:rsidR="001C1A67" w:rsidRDefault="001C1A67" w:rsidP="00EC5568">
      <w:pPr>
        <w:pStyle w:val="Textpoznpodarou"/>
      </w:pPr>
      <w:r>
        <w:rPr>
          <w:rStyle w:val="Znakapoznpodarou"/>
        </w:rPr>
        <w:footnoteRef/>
      </w:r>
      <w:r>
        <w:t xml:space="preserve"> SLADKÁ Markéta: Nástroje regenerace brownfields ve Spojeném Království: možnost inspirace pro ČR, Masaryková univerzita, 2010, dostupné na: </w:t>
      </w:r>
      <w:hyperlink r:id="rId5" w:history="1">
        <w:r w:rsidRPr="00345103">
          <w:rPr>
            <w:rStyle w:val="Hypertextovodkaz"/>
          </w:rPr>
          <w:t>https://is.muni.cz/th/172093/esf_m/diplomova_prace.pdf</w:t>
        </w:r>
      </w:hyperlink>
    </w:p>
  </w:footnote>
  <w:footnote w:id="57">
    <w:p w:rsidR="001C1A67" w:rsidRDefault="001C1A67" w:rsidP="00FF323A">
      <w:pPr>
        <w:pStyle w:val="Textpoznpodarou"/>
      </w:pPr>
      <w:r>
        <w:rPr>
          <w:rStyle w:val="Znakapoznpodarou"/>
        </w:rPr>
        <w:footnoteRef/>
      </w:r>
      <w:r w:rsidRPr="0019432B">
        <w:t>http://www.heatandthecity.org.uk/__data/assets/pdf_file/0004/157891/DJCH_-_Heat_and_the_City.pdf</w:t>
      </w:r>
    </w:p>
  </w:footnote>
  <w:footnote w:id="58">
    <w:p w:rsidR="001C1A67" w:rsidRDefault="001C1A67" w:rsidP="00FF323A">
      <w:pPr>
        <w:pStyle w:val="Textpoznpodarou"/>
      </w:pPr>
      <w:r>
        <w:rPr>
          <w:rStyle w:val="Znakapoznpodarou"/>
        </w:rPr>
        <w:footnoteRef/>
      </w:r>
      <w:r w:rsidRPr="009C14A2">
        <w:t>http://www.energypost.eu/eu-turns-heat-finally-policy-push-heating-cooling-half-energy-use/</w:t>
      </w:r>
    </w:p>
  </w:footnote>
  <w:footnote w:id="59">
    <w:p w:rsidR="001C1A67" w:rsidRDefault="001C1A67">
      <w:pPr>
        <w:pStyle w:val="Textpoznpodarou"/>
      </w:pPr>
      <w:r>
        <w:rPr>
          <w:rStyle w:val="Znakapoznpodarou"/>
        </w:rPr>
        <w:footnoteRef/>
      </w:r>
      <w:r>
        <w:t xml:space="preserve"> Odhad dle dosavadní podpory pre-seed OP VaVpI, část nákladů první fáze POC bude pokryta grantovou podporou.</w:t>
      </w:r>
    </w:p>
  </w:footnote>
  <w:footnote w:id="60">
    <w:p w:rsidR="001C1A67" w:rsidRDefault="001C1A67">
      <w:pPr>
        <w:pStyle w:val="Textpoznpodarou"/>
      </w:pPr>
      <w:r>
        <w:rPr>
          <w:rStyle w:val="Znakapoznpodarou"/>
        </w:rPr>
        <w:footnoteRef/>
      </w:r>
      <w:r>
        <w:t xml:space="preserve"> Scénář 4 representuje nulový revolving a finanční příspěvek do výše 10 %.</w:t>
      </w:r>
    </w:p>
  </w:footnote>
  <w:footnote w:id="61">
    <w:p w:rsidR="001C1A67" w:rsidRDefault="001C1A67" w:rsidP="00CC6E7B">
      <w:pPr>
        <w:pStyle w:val="Textpoznpodarou"/>
      </w:pPr>
      <w:r>
        <w:rPr>
          <w:rStyle w:val="Znakapoznpodarou"/>
        </w:rPr>
        <w:footnoteRef/>
      </w:r>
      <w:r>
        <w:t xml:space="preserve"> Modelová průměrná výše investice na jeden projekt je </w:t>
      </w:r>
      <w:smartTag w:uri="urn:schemas-microsoft-com:office:smarttags" w:element="metricconverter">
        <w:smartTagPr>
          <w:attr w:name="ProductID" w:val="8 mil"/>
        </w:smartTagPr>
        <w:r>
          <w:t>8 mil</w:t>
        </w:r>
      </w:smartTag>
      <w:r>
        <w:t>. Kč.</w:t>
      </w:r>
    </w:p>
  </w:footnote>
  <w:footnote w:id="62">
    <w:p w:rsidR="001C1A67" w:rsidRDefault="001C1A67" w:rsidP="00CC6E7B">
      <w:pPr>
        <w:pStyle w:val="Textpoznpodarou"/>
      </w:pPr>
      <w:r>
        <w:rPr>
          <w:rStyle w:val="Znakapoznpodarou"/>
        </w:rPr>
        <w:footnoteRef/>
      </w:r>
      <w:r>
        <w:t xml:space="preserve"> Počet vytvořených pracovních míst vychází ze zkušenosti OP PI, kde průměrný projekt vytvořil 2 pracovní místa.</w:t>
      </w:r>
    </w:p>
  </w:footnote>
  <w:footnote w:id="63">
    <w:p w:rsidR="001C1A67" w:rsidRDefault="001C1A67" w:rsidP="00074EC1">
      <w:pPr>
        <w:pStyle w:val="Textpoznpodarou"/>
      </w:pPr>
      <w:r>
        <w:rPr>
          <w:rStyle w:val="Znakapoznpodarou"/>
        </w:rPr>
        <w:footnoteRef/>
      </w:r>
      <w:r>
        <w:t xml:space="preserve"> Scénář 4 representuje nulový revolving a finanční příspěvek do výše 10 %.</w:t>
      </w:r>
    </w:p>
  </w:footnote>
  <w:footnote w:id="64">
    <w:p w:rsidR="001C1A67" w:rsidRDefault="001C1A67">
      <w:pPr>
        <w:pStyle w:val="Textpoznpodarou"/>
      </w:pPr>
      <w:r>
        <w:rPr>
          <w:rStyle w:val="Znakapoznpodarou"/>
        </w:rPr>
        <w:footnoteRef/>
      </w:r>
      <w:r>
        <w:t xml:space="preserve"> Průměrný očekávaný projekt SC 2.3 úvěrového nástroje činí </w:t>
      </w:r>
      <w:smartTag w:uri="urn:schemas-microsoft-com:office:smarttags" w:element="metricconverter">
        <w:smartTagPr>
          <w:attr w:name="ProductID" w:val="28 mil"/>
        </w:smartTagPr>
        <w:r>
          <w:t>28 mil</w:t>
        </w:r>
      </w:smartTag>
      <w:r>
        <w:t>. Kč.</w:t>
      </w:r>
    </w:p>
  </w:footnote>
  <w:footnote w:id="65">
    <w:p w:rsidR="001C1A67" w:rsidRDefault="001C1A67" w:rsidP="00074EC1">
      <w:pPr>
        <w:pStyle w:val="Textpoznpodarou"/>
      </w:pPr>
      <w:r>
        <w:rPr>
          <w:rStyle w:val="Znakapoznpodarou"/>
        </w:rPr>
        <w:footnoteRef/>
      </w:r>
      <w:r>
        <w:t xml:space="preserve"> Scénář 4 representuje nulový revolving a finanční příspěvek do výše 10 %.</w:t>
      </w:r>
    </w:p>
  </w:footnote>
  <w:footnote w:id="66">
    <w:p w:rsidR="001C1A67" w:rsidRDefault="001C1A67" w:rsidP="00BF767F">
      <w:pPr>
        <w:pStyle w:val="Textpoznpodarou"/>
      </w:pPr>
      <w:r>
        <w:t xml:space="preserve">Průměrný projekt SC 3.1 úvěrového nástroje činí </w:t>
      </w:r>
      <w:smartTag w:uri="urn:schemas-microsoft-com:office:smarttags" w:element="metricconverter">
        <w:smartTagPr>
          <w:attr w:name="ProductID" w:val="12 mil"/>
        </w:smartTagPr>
        <w:r>
          <w:t>12 mil</w:t>
        </w:r>
      </w:smartTag>
      <w:r>
        <w:t>. Kč</w:t>
      </w:r>
      <w:r>
        <w:rPr>
          <w:rStyle w:val="Znakapoznpodarou"/>
        </w:rPr>
        <w:footnoteRef/>
      </w:r>
    </w:p>
  </w:footnote>
  <w:footnote w:id="67">
    <w:p w:rsidR="001C1A67" w:rsidRDefault="001C1A67" w:rsidP="00074EC1">
      <w:pPr>
        <w:pStyle w:val="Textpoznpodarou"/>
      </w:pPr>
      <w:r>
        <w:rPr>
          <w:rStyle w:val="Znakapoznpodarou"/>
        </w:rPr>
        <w:footnoteRef/>
      </w:r>
      <w:r>
        <w:t xml:space="preserve"> Scénář 4 representuje nulový revolving a finanční příspěvek do výše 10 %.</w:t>
      </w:r>
    </w:p>
  </w:footnote>
  <w:footnote w:id="68">
    <w:p w:rsidR="001C1A67" w:rsidRDefault="001C1A67" w:rsidP="004B1124">
      <w:pPr>
        <w:pStyle w:val="Textpoznpodarou"/>
      </w:pPr>
      <w:r>
        <w:t xml:space="preserve">Průměrný projekt SC 3.2 úvěrového nástroje modelově stanoven na </w:t>
      </w:r>
      <w:smartTag w:uri="urn:schemas-microsoft-com:office:smarttags" w:element="metricconverter">
        <w:smartTagPr>
          <w:attr w:name="ProductID" w:val="6,5 mil"/>
        </w:smartTagPr>
        <w:r>
          <w:t>6,5 mil</w:t>
        </w:r>
      </w:smartTag>
      <w:r>
        <w:t>. Kč</w:t>
      </w:r>
      <w:r>
        <w:rPr>
          <w:rStyle w:val="Znakapoznpodarou"/>
        </w:rPr>
        <w:footnoteRef/>
      </w:r>
    </w:p>
  </w:footnote>
  <w:footnote w:id="69">
    <w:p w:rsidR="001C1A67" w:rsidRDefault="001C1A67" w:rsidP="00074EC1">
      <w:pPr>
        <w:pStyle w:val="Textpoznpodarou"/>
      </w:pPr>
      <w:r>
        <w:rPr>
          <w:rStyle w:val="Znakapoznpodarou"/>
        </w:rPr>
        <w:footnoteRef/>
      </w:r>
      <w:r>
        <w:t xml:space="preserve"> Scénář 4 representuje nulový revolving a finanční příspěvek do výše 10 %.</w:t>
      </w:r>
    </w:p>
  </w:footnote>
  <w:footnote w:id="70">
    <w:p w:rsidR="001C1A67" w:rsidRDefault="001C1A67" w:rsidP="00BF1AF5">
      <w:pPr>
        <w:pStyle w:val="Textpoznpodarou"/>
      </w:pPr>
      <w:r>
        <w:rPr>
          <w:rStyle w:val="Znakapoznpodarou"/>
        </w:rPr>
        <w:footnoteRef/>
      </w:r>
      <w:r>
        <w:t xml:space="preserve">Průměrný projekt SC 3.5 KVET činí </w:t>
      </w:r>
      <w:smartTag w:uri="urn:schemas-microsoft-com:office:smarttags" w:element="metricconverter">
        <w:smartTagPr>
          <w:attr w:name="ProductID" w:val="30 mil"/>
        </w:smartTagPr>
        <w:r>
          <w:t>30 mil</w:t>
        </w:r>
      </w:smartTag>
      <w:r>
        <w:t>. Kč</w:t>
      </w:r>
    </w:p>
  </w:footnote>
  <w:footnote w:id="71">
    <w:p w:rsidR="001C1A67" w:rsidRDefault="001C1A67">
      <w:pPr>
        <w:pStyle w:val="Textpoznpodarou"/>
      </w:pPr>
      <w:r>
        <w:rPr>
          <w:rStyle w:val="Znakapoznpodarou"/>
        </w:rPr>
        <w:footnoteRef/>
      </w:r>
      <w:r>
        <w:t xml:space="preserve"> V rámci SC 3.5 se očekává možná vyšší koncentrace projektů mezi několik konečných příjemců s ohledem na strukturu trhu popsanou v tržní analýze.</w:t>
      </w:r>
    </w:p>
  </w:footnote>
  <w:footnote w:id="72">
    <w:p w:rsidR="001C1A67" w:rsidRDefault="001C1A67" w:rsidP="0010631E">
      <w:pPr>
        <w:pStyle w:val="Textpoznpodarou"/>
      </w:pPr>
      <w:r>
        <w:rPr>
          <w:rStyle w:val="Znakapoznpodarou"/>
        </w:rPr>
        <w:footnoteRef/>
      </w:r>
    </w:p>
  </w:footnote>
  <w:footnote w:id="73">
    <w:p w:rsidR="001C1A67" w:rsidRDefault="001C1A67" w:rsidP="0010631E">
      <w:pPr>
        <w:pStyle w:val="Textpoznpodarou"/>
      </w:pPr>
      <w:r>
        <w:rPr>
          <w:rStyle w:val="Znakapoznpodarou"/>
        </w:rPr>
        <w:footnoteRef/>
      </w:r>
    </w:p>
  </w:footnote>
  <w:footnote w:id="74">
    <w:p w:rsidR="001C1A67" w:rsidRDefault="001C1A67">
      <w:pPr>
        <w:pStyle w:val="Textpoznpodarou"/>
      </w:pPr>
      <w:r>
        <w:rPr>
          <w:rStyle w:val="Znakapoznpodarou"/>
        </w:rPr>
        <w:footnoteRef/>
      </w:r>
      <w:r>
        <w:t xml:space="preserve"> Podniky mohly uvádět více krajů svého působení.</w:t>
      </w:r>
    </w:p>
  </w:footnote>
  <w:footnote w:id="75">
    <w:p w:rsidR="001C1A67" w:rsidRDefault="001C1A67" w:rsidP="00FA5A53">
      <w:pPr>
        <w:pStyle w:val="Textpoznpodarou"/>
      </w:pPr>
      <w:r w:rsidRPr="00C12A00">
        <w:rPr>
          <w:rStyle w:val="Znakapoznpodarou"/>
          <w:rFonts w:cs="Calibri"/>
        </w:rPr>
        <w:footnoteRef/>
      </w:r>
      <w:r w:rsidRPr="00C12A00">
        <w:rPr>
          <w:rFonts w:cs="Calibri"/>
        </w:rPr>
        <w:t xml:space="preserve"> Z hlediska finančních nástrojů pro MSP významně novelizován zákonem č. 501/2012 Sb., kterým se mění zákon č. 218/2000 Sb., o rozpočtových pravidlech a o změně některých souvisejících zákonů (rozpočtová pravidla), ve znění pozdějších předpisů, a některé další zákony. Prostředky státního rozpočtu ČR mohou být nyní vedeny výhradně na účtech ČNB.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A67" w:rsidRDefault="001C1A67">
    <w:pPr>
      <w:pStyle w:val="Zhlav"/>
    </w:pPr>
    <w:r>
      <w:rPr>
        <w:noProof/>
      </w:rPr>
      <w:drawing>
        <wp:anchor distT="0" distB="0" distL="114300" distR="114300" simplePos="0" relativeHeight="251658240" behindDoc="0" locked="0" layoutInCell="1" allowOverlap="1">
          <wp:simplePos x="0" y="0"/>
          <wp:positionH relativeFrom="column">
            <wp:posOffset>-54610</wp:posOffset>
          </wp:positionH>
          <wp:positionV relativeFrom="paragraph">
            <wp:posOffset>-86360</wp:posOffset>
          </wp:positionV>
          <wp:extent cx="817880" cy="264795"/>
          <wp:effectExtent l="0" t="0" r="1270" b="1905"/>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4112260</wp:posOffset>
          </wp:positionH>
          <wp:positionV relativeFrom="paragraph">
            <wp:posOffset>-142875</wp:posOffset>
          </wp:positionV>
          <wp:extent cx="1803400" cy="316865"/>
          <wp:effectExtent l="0" t="0" r="6350" b="6985"/>
          <wp:wrapNone/>
          <wp:docPr id="1" name="obrázek 3"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EU logo EEI C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4031"/>
    <w:multiLevelType w:val="hybridMultilevel"/>
    <w:tmpl w:val="C0C029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60F2C39"/>
    <w:multiLevelType w:val="hybridMultilevel"/>
    <w:tmpl w:val="4198DF9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3DCAD0F2">
      <w:start w:val="1"/>
      <w:numFmt w:val="lowerLetter"/>
      <w:lvlText w:val="%3)"/>
      <w:lvlJc w:val="left"/>
      <w:pPr>
        <w:ind w:left="2340" w:hanging="360"/>
      </w:pPr>
      <w:rPr>
        <w:rFonts w:cs="Times New Roman"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8777384"/>
    <w:multiLevelType w:val="hybridMultilevel"/>
    <w:tmpl w:val="413AC55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472346"/>
    <w:multiLevelType w:val="hybridMultilevel"/>
    <w:tmpl w:val="EC46ED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3D7B72"/>
    <w:multiLevelType w:val="hybridMultilevel"/>
    <w:tmpl w:val="1C9037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D941F86"/>
    <w:multiLevelType w:val="hybridMultilevel"/>
    <w:tmpl w:val="330C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977CF"/>
    <w:multiLevelType w:val="hybridMultilevel"/>
    <w:tmpl w:val="FB6AA724"/>
    <w:lvl w:ilvl="0" w:tplc="04050001">
      <w:start w:val="1"/>
      <w:numFmt w:val="lowerRoman"/>
      <w:lvlText w:val="%1."/>
      <w:lvlJc w:val="right"/>
      <w:pPr>
        <w:ind w:left="2484" w:hanging="360"/>
      </w:pPr>
      <w:rPr>
        <w:rFonts w:cs="Times New Roman"/>
      </w:rPr>
    </w:lvl>
    <w:lvl w:ilvl="1" w:tplc="04050003" w:tentative="1">
      <w:start w:val="1"/>
      <w:numFmt w:val="lowerLetter"/>
      <w:lvlText w:val="%2."/>
      <w:lvlJc w:val="left"/>
      <w:pPr>
        <w:ind w:left="3204" w:hanging="360"/>
      </w:pPr>
      <w:rPr>
        <w:rFonts w:cs="Times New Roman"/>
      </w:rPr>
    </w:lvl>
    <w:lvl w:ilvl="2" w:tplc="04050005" w:tentative="1">
      <w:start w:val="1"/>
      <w:numFmt w:val="lowerRoman"/>
      <w:lvlText w:val="%3."/>
      <w:lvlJc w:val="right"/>
      <w:pPr>
        <w:ind w:left="3924" w:hanging="180"/>
      </w:pPr>
      <w:rPr>
        <w:rFonts w:cs="Times New Roman"/>
      </w:rPr>
    </w:lvl>
    <w:lvl w:ilvl="3" w:tplc="04050001" w:tentative="1">
      <w:start w:val="1"/>
      <w:numFmt w:val="decimal"/>
      <w:lvlText w:val="%4."/>
      <w:lvlJc w:val="left"/>
      <w:pPr>
        <w:ind w:left="4644" w:hanging="360"/>
      </w:pPr>
      <w:rPr>
        <w:rFonts w:cs="Times New Roman"/>
      </w:rPr>
    </w:lvl>
    <w:lvl w:ilvl="4" w:tplc="04050003" w:tentative="1">
      <w:start w:val="1"/>
      <w:numFmt w:val="lowerLetter"/>
      <w:lvlText w:val="%5."/>
      <w:lvlJc w:val="left"/>
      <w:pPr>
        <w:ind w:left="5364" w:hanging="360"/>
      </w:pPr>
      <w:rPr>
        <w:rFonts w:cs="Times New Roman"/>
      </w:rPr>
    </w:lvl>
    <w:lvl w:ilvl="5" w:tplc="04050005" w:tentative="1">
      <w:start w:val="1"/>
      <w:numFmt w:val="lowerRoman"/>
      <w:lvlText w:val="%6."/>
      <w:lvlJc w:val="right"/>
      <w:pPr>
        <w:ind w:left="6084" w:hanging="180"/>
      </w:pPr>
      <w:rPr>
        <w:rFonts w:cs="Times New Roman"/>
      </w:rPr>
    </w:lvl>
    <w:lvl w:ilvl="6" w:tplc="04050001" w:tentative="1">
      <w:start w:val="1"/>
      <w:numFmt w:val="decimal"/>
      <w:lvlText w:val="%7."/>
      <w:lvlJc w:val="left"/>
      <w:pPr>
        <w:ind w:left="6804" w:hanging="360"/>
      </w:pPr>
      <w:rPr>
        <w:rFonts w:cs="Times New Roman"/>
      </w:rPr>
    </w:lvl>
    <w:lvl w:ilvl="7" w:tplc="04050003" w:tentative="1">
      <w:start w:val="1"/>
      <w:numFmt w:val="lowerLetter"/>
      <w:lvlText w:val="%8."/>
      <w:lvlJc w:val="left"/>
      <w:pPr>
        <w:ind w:left="7524" w:hanging="360"/>
      </w:pPr>
      <w:rPr>
        <w:rFonts w:cs="Times New Roman"/>
      </w:rPr>
    </w:lvl>
    <w:lvl w:ilvl="8" w:tplc="04050005" w:tentative="1">
      <w:start w:val="1"/>
      <w:numFmt w:val="lowerRoman"/>
      <w:lvlText w:val="%9."/>
      <w:lvlJc w:val="right"/>
      <w:pPr>
        <w:ind w:left="8244" w:hanging="180"/>
      </w:pPr>
      <w:rPr>
        <w:rFonts w:cs="Times New Roman"/>
      </w:rPr>
    </w:lvl>
  </w:abstractNum>
  <w:abstractNum w:abstractNumId="7" w15:restartNumberingAfterBreak="0">
    <w:nsid w:val="0DE00356"/>
    <w:multiLevelType w:val="hybridMultilevel"/>
    <w:tmpl w:val="37225D5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0E2D7D13"/>
    <w:multiLevelType w:val="hybridMultilevel"/>
    <w:tmpl w:val="1B68C7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1B19D8"/>
    <w:multiLevelType w:val="hybridMultilevel"/>
    <w:tmpl w:val="492C7AFE"/>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437993"/>
    <w:multiLevelType w:val="hybridMultilevel"/>
    <w:tmpl w:val="AC9ED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B631CC"/>
    <w:multiLevelType w:val="hybridMultilevel"/>
    <w:tmpl w:val="3580E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55D5566"/>
    <w:multiLevelType w:val="hybridMultilevel"/>
    <w:tmpl w:val="4694FBF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68353D0"/>
    <w:multiLevelType w:val="hybridMultilevel"/>
    <w:tmpl w:val="26C4A4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AF1DE4"/>
    <w:multiLevelType w:val="hybridMultilevel"/>
    <w:tmpl w:val="C200EB6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EC4CAE"/>
    <w:multiLevelType w:val="hybridMultilevel"/>
    <w:tmpl w:val="AC665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93F2B3C"/>
    <w:multiLevelType w:val="hybridMultilevel"/>
    <w:tmpl w:val="9A5C38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563633"/>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1B3D2BF0"/>
    <w:multiLevelType w:val="hybridMultilevel"/>
    <w:tmpl w:val="2CE478F4"/>
    <w:lvl w:ilvl="0" w:tplc="1BDE63FC">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E3F1C70"/>
    <w:multiLevelType w:val="hybridMultilevel"/>
    <w:tmpl w:val="EE26BE9A"/>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2" w15:restartNumberingAfterBreak="0">
    <w:nsid w:val="203A0E84"/>
    <w:multiLevelType w:val="hybridMultilevel"/>
    <w:tmpl w:val="723AA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18B78AA"/>
    <w:multiLevelType w:val="hybridMultilevel"/>
    <w:tmpl w:val="DFDCBB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21D407C6"/>
    <w:multiLevelType w:val="hybridMultilevel"/>
    <w:tmpl w:val="EDA8D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250136E"/>
    <w:multiLevelType w:val="multilevel"/>
    <w:tmpl w:val="3A124E4A"/>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Nadpis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6" w15:restartNumberingAfterBreak="0">
    <w:nsid w:val="24980886"/>
    <w:multiLevelType w:val="hybridMultilevel"/>
    <w:tmpl w:val="51B02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5F97F36"/>
    <w:multiLevelType w:val="hybridMultilevel"/>
    <w:tmpl w:val="8E2245BA"/>
    <w:lvl w:ilvl="0" w:tplc="8A5A2E1E">
      <w:start w:val="120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5FC6192"/>
    <w:multiLevelType w:val="hybridMultilevel"/>
    <w:tmpl w:val="CB34FD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8BF5559"/>
    <w:multiLevelType w:val="multilevel"/>
    <w:tmpl w:val="0405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0" w15:restartNumberingAfterBreak="0">
    <w:nsid w:val="28BF597F"/>
    <w:multiLevelType w:val="hybridMultilevel"/>
    <w:tmpl w:val="80DE45DE"/>
    <w:lvl w:ilvl="0" w:tplc="0405000F">
      <w:start w:val="1"/>
      <w:numFmt w:val="decimal"/>
      <w:lvlText w:val="%1."/>
      <w:lvlJc w:val="left"/>
      <w:pPr>
        <w:ind w:left="720" w:hanging="360"/>
      </w:pPr>
      <w:rPr>
        <w:rFonts w:cs="Times New Roman"/>
      </w:rPr>
    </w:lvl>
    <w:lvl w:ilvl="1" w:tplc="04050019">
      <w:start w:val="1"/>
      <w:numFmt w:val="lowerLetter"/>
      <w:lvlText w:val="%2."/>
      <w:lvlJc w:val="left"/>
      <w:pPr>
        <w:ind w:left="36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29746FEE"/>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2A140B6C"/>
    <w:multiLevelType w:val="hybridMultilevel"/>
    <w:tmpl w:val="224CFE86"/>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ADE49B7"/>
    <w:multiLevelType w:val="hybridMultilevel"/>
    <w:tmpl w:val="49386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BE35A6C"/>
    <w:multiLevelType w:val="hybridMultilevel"/>
    <w:tmpl w:val="42C6F7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DE97961"/>
    <w:multiLevelType w:val="hybridMultilevel"/>
    <w:tmpl w:val="BC78E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F0E75AA"/>
    <w:multiLevelType w:val="hybridMultilevel"/>
    <w:tmpl w:val="B026288E"/>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15:restartNumberingAfterBreak="0">
    <w:nsid w:val="30113583"/>
    <w:multiLevelType w:val="hybridMultilevel"/>
    <w:tmpl w:val="5B928A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0CF2A86"/>
    <w:multiLevelType w:val="hybridMultilevel"/>
    <w:tmpl w:val="25F2FB6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322F6043"/>
    <w:multiLevelType w:val="hybridMultilevel"/>
    <w:tmpl w:val="85C20D66"/>
    <w:lvl w:ilvl="0" w:tplc="0405001B">
      <w:start w:val="1"/>
      <w:numFmt w:val="lowerRoman"/>
      <w:lvlText w:val="%1."/>
      <w:lvlJc w:val="right"/>
      <w:pPr>
        <w:ind w:left="2340" w:hanging="360"/>
      </w:pPr>
      <w:rPr>
        <w:rFonts w:cs="Times New Roman"/>
      </w:rPr>
    </w:lvl>
    <w:lvl w:ilvl="1" w:tplc="04050019" w:tentative="1">
      <w:start w:val="1"/>
      <w:numFmt w:val="lowerLetter"/>
      <w:lvlText w:val="%2."/>
      <w:lvlJc w:val="left"/>
      <w:pPr>
        <w:ind w:left="3060" w:hanging="360"/>
      </w:pPr>
      <w:rPr>
        <w:rFonts w:cs="Times New Roman"/>
      </w:rPr>
    </w:lvl>
    <w:lvl w:ilvl="2" w:tplc="0405001B" w:tentative="1">
      <w:start w:val="1"/>
      <w:numFmt w:val="lowerRoman"/>
      <w:lvlText w:val="%3."/>
      <w:lvlJc w:val="right"/>
      <w:pPr>
        <w:ind w:left="3780" w:hanging="180"/>
      </w:pPr>
      <w:rPr>
        <w:rFonts w:cs="Times New Roman"/>
      </w:rPr>
    </w:lvl>
    <w:lvl w:ilvl="3" w:tplc="0405000F" w:tentative="1">
      <w:start w:val="1"/>
      <w:numFmt w:val="decimal"/>
      <w:lvlText w:val="%4."/>
      <w:lvlJc w:val="left"/>
      <w:pPr>
        <w:ind w:left="4500" w:hanging="360"/>
      </w:pPr>
      <w:rPr>
        <w:rFonts w:cs="Times New Roman"/>
      </w:rPr>
    </w:lvl>
    <w:lvl w:ilvl="4" w:tplc="04050019" w:tentative="1">
      <w:start w:val="1"/>
      <w:numFmt w:val="lowerLetter"/>
      <w:lvlText w:val="%5."/>
      <w:lvlJc w:val="left"/>
      <w:pPr>
        <w:ind w:left="5220" w:hanging="360"/>
      </w:pPr>
      <w:rPr>
        <w:rFonts w:cs="Times New Roman"/>
      </w:rPr>
    </w:lvl>
    <w:lvl w:ilvl="5" w:tplc="0405001B" w:tentative="1">
      <w:start w:val="1"/>
      <w:numFmt w:val="lowerRoman"/>
      <w:lvlText w:val="%6."/>
      <w:lvlJc w:val="right"/>
      <w:pPr>
        <w:ind w:left="5940" w:hanging="180"/>
      </w:pPr>
      <w:rPr>
        <w:rFonts w:cs="Times New Roman"/>
      </w:rPr>
    </w:lvl>
    <w:lvl w:ilvl="6" w:tplc="0405000F" w:tentative="1">
      <w:start w:val="1"/>
      <w:numFmt w:val="decimal"/>
      <w:lvlText w:val="%7."/>
      <w:lvlJc w:val="left"/>
      <w:pPr>
        <w:ind w:left="6660" w:hanging="360"/>
      </w:pPr>
      <w:rPr>
        <w:rFonts w:cs="Times New Roman"/>
      </w:rPr>
    </w:lvl>
    <w:lvl w:ilvl="7" w:tplc="04050019" w:tentative="1">
      <w:start w:val="1"/>
      <w:numFmt w:val="lowerLetter"/>
      <w:lvlText w:val="%8."/>
      <w:lvlJc w:val="left"/>
      <w:pPr>
        <w:ind w:left="7380" w:hanging="360"/>
      </w:pPr>
      <w:rPr>
        <w:rFonts w:cs="Times New Roman"/>
      </w:rPr>
    </w:lvl>
    <w:lvl w:ilvl="8" w:tplc="0405001B" w:tentative="1">
      <w:start w:val="1"/>
      <w:numFmt w:val="lowerRoman"/>
      <w:lvlText w:val="%9."/>
      <w:lvlJc w:val="right"/>
      <w:pPr>
        <w:ind w:left="8100" w:hanging="180"/>
      </w:pPr>
      <w:rPr>
        <w:rFonts w:cs="Times New Roman"/>
      </w:rPr>
    </w:lvl>
  </w:abstractNum>
  <w:abstractNum w:abstractNumId="40" w15:restartNumberingAfterBreak="0">
    <w:nsid w:val="33271680"/>
    <w:multiLevelType w:val="hybridMultilevel"/>
    <w:tmpl w:val="C7602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4FC5558"/>
    <w:multiLevelType w:val="hybridMultilevel"/>
    <w:tmpl w:val="B29CB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714277E"/>
    <w:multiLevelType w:val="hybridMultilevel"/>
    <w:tmpl w:val="A1941868"/>
    <w:lvl w:ilvl="0" w:tplc="BE148E10">
      <w:start w:val="1"/>
      <w:numFmt w:val="upperRoman"/>
      <w:pStyle w:val="Styl1"/>
      <w:lvlText w:val="%1."/>
      <w:lvlJc w:val="left"/>
      <w:pPr>
        <w:ind w:left="1080" w:hanging="72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15:restartNumberingAfterBreak="0">
    <w:nsid w:val="38E01A12"/>
    <w:multiLevelType w:val="hybridMultilevel"/>
    <w:tmpl w:val="B2D4DBA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9564D07"/>
    <w:multiLevelType w:val="hybridMultilevel"/>
    <w:tmpl w:val="B734D07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 w15:restartNumberingAfterBreak="0">
    <w:nsid w:val="3A9F2462"/>
    <w:multiLevelType w:val="hybridMultilevel"/>
    <w:tmpl w:val="97482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AFE6764"/>
    <w:multiLevelType w:val="hybridMultilevel"/>
    <w:tmpl w:val="82463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B417D95"/>
    <w:multiLevelType w:val="hybridMultilevel"/>
    <w:tmpl w:val="34D65A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B487D28"/>
    <w:multiLevelType w:val="hybridMultilevel"/>
    <w:tmpl w:val="5874E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E796015"/>
    <w:multiLevelType w:val="hybridMultilevel"/>
    <w:tmpl w:val="4EC0A17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0" w15:restartNumberingAfterBreak="0">
    <w:nsid w:val="3F642048"/>
    <w:multiLevelType w:val="hybridMultilevel"/>
    <w:tmpl w:val="5C522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FCC3128"/>
    <w:multiLevelType w:val="hybridMultilevel"/>
    <w:tmpl w:val="25521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37D5015"/>
    <w:multiLevelType w:val="hybridMultilevel"/>
    <w:tmpl w:val="123850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66D159E"/>
    <w:multiLevelType w:val="hybridMultilevel"/>
    <w:tmpl w:val="FB6AA724"/>
    <w:lvl w:ilvl="0" w:tplc="04050001">
      <w:start w:val="1"/>
      <w:numFmt w:val="lowerRoman"/>
      <w:lvlText w:val="%1."/>
      <w:lvlJc w:val="right"/>
      <w:pPr>
        <w:ind w:left="2484" w:hanging="360"/>
      </w:pPr>
      <w:rPr>
        <w:rFonts w:cs="Times New Roman"/>
      </w:rPr>
    </w:lvl>
    <w:lvl w:ilvl="1" w:tplc="04050003" w:tentative="1">
      <w:start w:val="1"/>
      <w:numFmt w:val="lowerLetter"/>
      <w:lvlText w:val="%2."/>
      <w:lvlJc w:val="left"/>
      <w:pPr>
        <w:ind w:left="3204" w:hanging="360"/>
      </w:pPr>
      <w:rPr>
        <w:rFonts w:cs="Times New Roman"/>
      </w:rPr>
    </w:lvl>
    <w:lvl w:ilvl="2" w:tplc="04050005" w:tentative="1">
      <w:start w:val="1"/>
      <w:numFmt w:val="lowerRoman"/>
      <w:lvlText w:val="%3."/>
      <w:lvlJc w:val="right"/>
      <w:pPr>
        <w:ind w:left="3924" w:hanging="180"/>
      </w:pPr>
      <w:rPr>
        <w:rFonts w:cs="Times New Roman"/>
      </w:rPr>
    </w:lvl>
    <w:lvl w:ilvl="3" w:tplc="04050001" w:tentative="1">
      <w:start w:val="1"/>
      <w:numFmt w:val="decimal"/>
      <w:lvlText w:val="%4."/>
      <w:lvlJc w:val="left"/>
      <w:pPr>
        <w:ind w:left="4644" w:hanging="360"/>
      </w:pPr>
      <w:rPr>
        <w:rFonts w:cs="Times New Roman"/>
      </w:rPr>
    </w:lvl>
    <w:lvl w:ilvl="4" w:tplc="04050003" w:tentative="1">
      <w:start w:val="1"/>
      <w:numFmt w:val="lowerLetter"/>
      <w:lvlText w:val="%5."/>
      <w:lvlJc w:val="left"/>
      <w:pPr>
        <w:ind w:left="5364" w:hanging="360"/>
      </w:pPr>
      <w:rPr>
        <w:rFonts w:cs="Times New Roman"/>
      </w:rPr>
    </w:lvl>
    <w:lvl w:ilvl="5" w:tplc="04050005" w:tentative="1">
      <w:start w:val="1"/>
      <w:numFmt w:val="lowerRoman"/>
      <w:lvlText w:val="%6."/>
      <w:lvlJc w:val="right"/>
      <w:pPr>
        <w:ind w:left="6084" w:hanging="180"/>
      </w:pPr>
      <w:rPr>
        <w:rFonts w:cs="Times New Roman"/>
      </w:rPr>
    </w:lvl>
    <w:lvl w:ilvl="6" w:tplc="04050001" w:tentative="1">
      <w:start w:val="1"/>
      <w:numFmt w:val="decimal"/>
      <w:lvlText w:val="%7."/>
      <w:lvlJc w:val="left"/>
      <w:pPr>
        <w:ind w:left="6804" w:hanging="360"/>
      </w:pPr>
      <w:rPr>
        <w:rFonts w:cs="Times New Roman"/>
      </w:rPr>
    </w:lvl>
    <w:lvl w:ilvl="7" w:tplc="04050003" w:tentative="1">
      <w:start w:val="1"/>
      <w:numFmt w:val="lowerLetter"/>
      <w:lvlText w:val="%8."/>
      <w:lvlJc w:val="left"/>
      <w:pPr>
        <w:ind w:left="7524" w:hanging="360"/>
      </w:pPr>
      <w:rPr>
        <w:rFonts w:cs="Times New Roman"/>
      </w:rPr>
    </w:lvl>
    <w:lvl w:ilvl="8" w:tplc="04050005" w:tentative="1">
      <w:start w:val="1"/>
      <w:numFmt w:val="lowerRoman"/>
      <w:lvlText w:val="%9."/>
      <w:lvlJc w:val="right"/>
      <w:pPr>
        <w:ind w:left="8244" w:hanging="180"/>
      </w:pPr>
      <w:rPr>
        <w:rFonts w:cs="Times New Roman"/>
      </w:rPr>
    </w:lvl>
  </w:abstractNum>
  <w:abstractNum w:abstractNumId="54" w15:restartNumberingAfterBreak="0">
    <w:nsid w:val="488B369D"/>
    <w:multiLevelType w:val="hybridMultilevel"/>
    <w:tmpl w:val="D32A94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B141236"/>
    <w:multiLevelType w:val="hybridMultilevel"/>
    <w:tmpl w:val="8A58C054"/>
    <w:lvl w:ilvl="0" w:tplc="0405001B">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ECC4043"/>
    <w:multiLevelType w:val="hybridMultilevel"/>
    <w:tmpl w:val="AA1EC4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4EE56176"/>
    <w:multiLevelType w:val="hybridMultilevel"/>
    <w:tmpl w:val="7C38FAD6"/>
    <w:lvl w:ilvl="0" w:tplc="04050001">
      <w:start w:val="1"/>
      <w:numFmt w:val="lowerRoman"/>
      <w:lvlText w:val="%1."/>
      <w:lvlJc w:val="right"/>
      <w:pPr>
        <w:ind w:left="2340" w:hanging="360"/>
      </w:pPr>
      <w:rPr>
        <w:rFonts w:cs="Times New Roman"/>
      </w:rPr>
    </w:lvl>
    <w:lvl w:ilvl="1" w:tplc="04050003" w:tentative="1">
      <w:start w:val="1"/>
      <w:numFmt w:val="lowerLetter"/>
      <w:lvlText w:val="%2."/>
      <w:lvlJc w:val="left"/>
      <w:pPr>
        <w:ind w:left="3060" w:hanging="360"/>
      </w:pPr>
      <w:rPr>
        <w:rFonts w:cs="Times New Roman"/>
      </w:rPr>
    </w:lvl>
    <w:lvl w:ilvl="2" w:tplc="04050005" w:tentative="1">
      <w:start w:val="1"/>
      <w:numFmt w:val="lowerRoman"/>
      <w:lvlText w:val="%3."/>
      <w:lvlJc w:val="right"/>
      <w:pPr>
        <w:ind w:left="3780" w:hanging="180"/>
      </w:pPr>
      <w:rPr>
        <w:rFonts w:cs="Times New Roman"/>
      </w:rPr>
    </w:lvl>
    <w:lvl w:ilvl="3" w:tplc="04050001" w:tentative="1">
      <w:start w:val="1"/>
      <w:numFmt w:val="decimal"/>
      <w:lvlText w:val="%4."/>
      <w:lvlJc w:val="left"/>
      <w:pPr>
        <w:ind w:left="4500" w:hanging="360"/>
      </w:pPr>
      <w:rPr>
        <w:rFonts w:cs="Times New Roman"/>
      </w:rPr>
    </w:lvl>
    <w:lvl w:ilvl="4" w:tplc="04050003" w:tentative="1">
      <w:start w:val="1"/>
      <w:numFmt w:val="lowerLetter"/>
      <w:lvlText w:val="%5."/>
      <w:lvlJc w:val="left"/>
      <w:pPr>
        <w:ind w:left="5220" w:hanging="360"/>
      </w:pPr>
      <w:rPr>
        <w:rFonts w:cs="Times New Roman"/>
      </w:rPr>
    </w:lvl>
    <w:lvl w:ilvl="5" w:tplc="04050005" w:tentative="1">
      <w:start w:val="1"/>
      <w:numFmt w:val="lowerRoman"/>
      <w:lvlText w:val="%6."/>
      <w:lvlJc w:val="right"/>
      <w:pPr>
        <w:ind w:left="5940" w:hanging="180"/>
      </w:pPr>
      <w:rPr>
        <w:rFonts w:cs="Times New Roman"/>
      </w:rPr>
    </w:lvl>
    <w:lvl w:ilvl="6" w:tplc="04050001" w:tentative="1">
      <w:start w:val="1"/>
      <w:numFmt w:val="decimal"/>
      <w:lvlText w:val="%7."/>
      <w:lvlJc w:val="left"/>
      <w:pPr>
        <w:ind w:left="6660" w:hanging="360"/>
      </w:pPr>
      <w:rPr>
        <w:rFonts w:cs="Times New Roman"/>
      </w:rPr>
    </w:lvl>
    <w:lvl w:ilvl="7" w:tplc="04050003" w:tentative="1">
      <w:start w:val="1"/>
      <w:numFmt w:val="lowerLetter"/>
      <w:lvlText w:val="%8."/>
      <w:lvlJc w:val="left"/>
      <w:pPr>
        <w:ind w:left="7380" w:hanging="360"/>
      </w:pPr>
      <w:rPr>
        <w:rFonts w:cs="Times New Roman"/>
      </w:rPr>
    </w:lvl>
    <w:lvl w:ilvl="8" w:tplc="04050005" w:tentative="1">
      <w:start w:val="1"/>
      <w:numFmt w:val="lowerRoman"/>
      <w:lvlText w:val="%9."/>
      <w:lvlJc w:val="right"/>
      <w:pPr>
        <w:ind w:left="8100" w:hanging="180"/>
      </w:pPr>
      <w:rPr>
        <w:rFonts w:cs="Times New Roman"/>
      </w:rPr>
    </w:lvl>
  </w:abstractNum>
  <w:abstractNum w:abstractNumId="58" w15:restartNumberingAfterBreak="0">
    <w:nsid w:val="521B0E28"/>
    <w:multiLevelType w:val="hybridMultilevel"/>
    <w:tmpl w:val="9B2A0D98"/>
    <w:lvl w:ilvl="0" w:tplc="0405001B">
      <w:start w:val="1"/>
      <w:numFmt w:val="bullet"/>
      <w:lvlText w:val=""/>
      <w:lvlJc w:val="left"/>
      <w:pPr>
        <w:ind w:left="1080" w:hanging="360"/>
      </w:pPr>
      <w:rPr>
        <w:rFonts w:ascii="Symbol" w:hAnsi="Symbol" w:hint="default"/>
      </w:rPr>
    </w:lvl>
    <w:lvl w:ilvl="1" w:tplc="04050019" w:tentative="1">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59" w15:restartNumberingAfterBreak="0">
    <w:nsid w:val="527F2478"/>
    <w:multiLevelType w:val="hybridMultilevel"/>
    <w:tmpl w:val="9E1AB6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3D27922"/>
    <w:multiLevelType w:val="hybridMultilevel"/>
    <w:tmpl w:val="3118D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7FD3D0F"/>
    <w:multiLevelType w:val="hybridMultilevel"/>
    <w:tmpl w:val="6F384EEC"/>
    <w:lvl w:ilvl="0" w:tplc="04050001">
      <w:start w:val="1"/>
      <w:numFmt w:val="bullet"/>
      <w:lvlText w:val=""/>
      <w:lvlJc w:val="left"/>
      <w:pPr>
        <w:ind w:left="3725" w:hanging="465"/>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9BD6E7C"/>
    <w:multiLevelType w:val="hybridMultilevel"/>
    <w:tmpl w:val="B178F1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A4A029A"/>
    <w:multiLevelType w:val="hybridMultilevel"/>
    <w:tmpl w:val="D60892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DFE1124"/>
    <w:multiLevelType w:val="hybridMultilevel"/>
    <w:tmpl w:val="9B381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E3554F7"/>
    <w:multiLevelType w:val="hybridMultilevel"/>
    <w:tmpl w:val="ECAE89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60381BD8"/>
    <w:multiLevelType w:val="hybridMultilevel"/>
    <w:tmpl w:val="AF4A4DA0"/>
    <w:lvl w:ilvl="0" w:tplc="04050011">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625A6A0B"/>
    <w:multiLevelType w:val="hybridMultilevel"/>
    <w:tmpl w:val="41A48C46"/>
    <w:lvl w:ilvl="0" w:tplc="04050001">
      <w:start w:val="1"/>
      <w:numFmt w:val="bullet"/>
      <w:lvlText w:val="•"/>
      <w:lvlJc w:val="left"/>
      <w:pPr>
        <w:tabs>
          <w:tab w:val="num" w:pos="1080"/>
        </w:tabs>
        <w:ind w:left="1080" w:hanging="360"/>
      </w:pPr>
      <w:rPr>
        <w:rFonts w:ascii="Arial" w:hAnsi="Aria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8" w15:restartNumberingAfterBreak="0">
    <w:nsid w:val="62A4744F"/>
    <w:multiLevelType w:val="multilevel"/>
    <w:tmpl w:val="1054E2D0"/>
    <w:lvl w:ilvl="0">
      <w:start w:val="1"/>
      <w:numFmt w:val="decimal"/>
      <w:pStyle w:val="smlouvaheading1"/>
      <w:lvlText w:val="%1"/>
      <w:lvlJc w:val="left"/>
      <w:pPr>
        <w:ind w:left="360" w:hanging="360"/>
      </w:pPr>
      <w:rPr>
        <w:rFonts w:ascii="Arial" w:hAnsi="Arial" w:cs="Times New Roman" w:hint="default"/>
        <w:b/>
        <w:i w:val="0"/>
        <w:sz w:val="19"/>
      </w:rPr>
    </w:lvl>
    <w:lvl w:ilvl="1">
      <w:start w:val="1"/>
      <w:numFmt w:val="decimal"/>
      <w:pStyle w:val="smlouvaheading2"/>
      <w:lvlText w:val="%1.%2"/>
      <w:lvlJc w:val="left"/>
      <w:pPr>
        <w:ind w:left="720" w:hanging="360"/>
      </w:pPr>
      <w:rPr>
        <w:rFonts w:ascii="Arial" w:hAnsi="Arial" w:cs="Times New Roman" w:hint="default"/>
        <w:b w:val="0"/>
        <w:i w:val="0"/>
        <w:sz w:val="19"/>
      </w:rPr>
    </w:lvl>
    <w:lvl w:ilvl="2">
      <w:start w:val="1"/>
      <w:numFmt w:val="decimal"/>
      <w:pStyle w:val="smlouvaheading3"/>
      <w:lvlText w:val="%1.%2.%3"/>
      <w:lvlJc w:val="left"/>
      <w:pPr>
        <w:ind w:left="1080" w:hanging="360"/>
      </w:pPr>
      <w:rPr>
        <w:rFonts w:ascii="Arial" w:hAnsi="Arial" w:cs="Times New Roman" w:hint="default"/>
        <w:b w:val="0"/>
        <w:i w:val="0"/>
        <w:sz w:val="19"/>
      </w:rPr>
    </w:lvl>
    <w:lvl w:ilvl="3">
      <w:start w:val="1"/>
      <w:numFmt w:val="decimal"/>
      <w:pStyle w:val="smlouvaheading4"/>
      <w:lvlText w:val="%1.%2.%3.%4"/>
      <w:lvlJc w:val="left"/>
      <w:pPr>
        <w:ind w:left="1440" w:hanging="360"/>
      </w:pPr>
      <w:rPr>
        <w:rFonts w:ascii="Arial" w:hAnsi="Arial" w:cs="Times New Roman" w:hint="default"/>
        <w:b w:val="0"/>
        <w:i w:val="0"/>
        <w:sz w:val="19"/>
      </w:rPr>
    </w:lvl>
    <w:lvl w:ilvl="4">
      <w:start w:val="1"/>
      <w:numFmt w:val="none"/>
      <w:lvlText w:val=""/>
      <w:lvlJc w:val="left"/>
      <w:pPr>
        <w:ind w:left="1800" w:hanging="360"/>
      </w:pPr>
      <w:rPr>
        <w:rFonts w:ascii="Arial" w:hAnsi="Arial" w:cs="Times New Roman" w:hint="default"/>
        <w:b w:val="0"/>
        <w:i/>
        <w:sz w:val="19"/>
      </w:rPr>
    </w:lvl>
    <w:lvl w:ilvl="5">
      <w:start w:val="1"/>
      <w:numFmt w:val="none"/>
      <w:lvlText w:val=""/>
      <w:lvlJc w:val="left"/>
      <w:pPr>
        <w:ind w:left="2160" w:hanging="360"/>
      </w:pPr>
      <w:rPr>
        <w:rFonts w:ascii="Arial" w:hAnsi="Arial" w:cs="Times New Roman" w:hint="default"/>
        <w:b w:val="0"/>
        <w:i/>
        <w:sz w:val="19"/>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15:restartNumberingAfterBreak="0">
    <w:nsid w:val="62A75FF2"/>
    <w:multiLevelType w:val="hybridMultilevel"/>
    <w:tmpl w:val="04DA6A26"/>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0" w15:restartNumberingAfterBreak="0">
    <w:nsid w:val="634935A9"/>
    <w:multiLevelType w:val="hybridMultilevel"/>
    <w:tmpl w:val="FDAA157A"/>
    <w:lvl w:ilvl="0" w:tplc="418E36F0">
      <w:start w:val="1"/>
      <w:numFmt w:val="bullet"/>
      <w:pStyle w:val="Bulletslevel1"/>
      <w:lvlText w:val=""/>
      <w:lvlJc w:val="left"/>
      <w:pPr>
        <w:ind w:left="720" w:hanging="360"/>
      </w:pPr>
      <w:rPr>
        <w:rFonts w:ascii="Symbol" w:hAnsi="Symbol" w:hint="default"/>
        <w:b w:val="0"/>
        <w:i w:val="0"/>
        <w:sz w:val="19"/>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4636A04"/>
    <w:multiLevelType w:val="hybridMultilevel"/>
    <w:tmpl w:val="FE4AE1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A92216C"/>
    <w:multiLevelType w:val="hybridMultilevel"/>
    <w:tmpl w:val="ACC2026C"/>
    <w:lvl w:ilvl="0" w:tplc="938A8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D058FD"/>
    <w:multiLevelType w:val="hybridMultilevel"/>
    <w:tmpl w:val="4FAE1A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CB659F8"/>
    <w:multiLevelType w:val="hybridMultilevel"/>
    <w:tmpl w:val="CBB810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D58053C"/>
    <w:multiLevelType w:val="hybridMultilevel"/>
    <w:tmpl w:val="F028D2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E8701C9"/>
    <w:multiLevelType w:val="hybridMultilevel"/>
    <w:tmpl w:val="53647D72"/>
    <w:lvl w:ilvl="0" w:tplc="04050017">
      <w:start w:val="1"/>
      <w:numFmt w:val="bullet"/>
      <w:lvlText w:val=""/>
      <w:lvlJc w:val="left"/>
      <w:pPr>
        <w:tabs>
          <w:tab w:val="num" w:pos="720"/>
        </w:tabs>
        <w:ind w:left="720" w:hanging="360"/>
      </w:pPr>
      <w:rPr>
        <w:rFonts w:ascii="Symbol" w:hAnsi="Symbol" w:hint="default"/>
      </w:rPr>
    </w:lvl>
    <w:lvl w:ilvl="1" w:tplc="EAE28DAC"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FA4459E"/>
    <w:multiLevelType w:val="hybridMultilevel"/>
    <w:tmpl w:val="13AC2F5A"/>
    <w:lvl w:ilvl="0" w:tplc="0405000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0400A7D"/>
    <w:multiLevelType w:val="hybridMultilevel"/>
    <w:tmpl w:val="22D25154"/>
    <w:lvl w:ilvl="0" w:tplc="D5325AC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05D7C12"/>
    <w:multiLevelType w:val="hybridMultilevel"/>
    <w:tmpl w:val="46EAFB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09F59DF"/>
    <w:multiLevelType w:val="hybridMultilevel"/>
    <w:tmpl w:val="F4A29E48"/>
    <w:lvl w:ilvl="0" w:tplc="938A89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3A560D3"/>
    <w:multiLevelType w:val="hybridMultilevel"/>
    <w:tmpl w:val="8370B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4E251A9"/>
    <w:multiLevelType w:val="hybridMultilevel"/>
    <w:tmpl w:val="C0C029B6"/>
    <w:lvl w:ilvl="0" w:tplc="04050001">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83" w15:restartNumberingAfterBreak="0">
    <w:nsid w:val="755C24F8"/>
    <w:multiLevelType w:val="hybridMultilevel"/>
    <w:tmpl w:val="10A61B14"/>
    <w:lvl w:ilvl="0" w:tplc="04050001">
      <w:start w:val="1"/>
      <w:numFmt w:val="decimal"/>
      <w:lvlText w:val="%1."/>
      <w:lvlJc w:val="left"/>
      <w:pPr>
        <w:ind w:left="720" w:hanging="360"/>
      </w:pPr>
      <w:rPr>
        <w:rFonts w:cs="Times New Roman"/>
      </w:rPr>
    </w:lvl>
    <w:lvl w:ilvl="1" w:tplc="04050003" w:tentative="1">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84" w15:restartNumberingAfterBreak="0">
    <w:nsid w:val="765E4A7E"/>
    <w:multiLevelType w:val="hybridMultilevel"/>
    <w:tmpl w:val="C2782CD2"/>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6A91511"/>
    <w:multiLevelType w:val="hybridMultilevel"/>
    <w:tmpl w:val="A0B82D7E"/>
    <w:lvl w:ilvl="0" w:tplc="04050005">
      <w:start w:val="217"/>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6C8158D"/>
    <w:multiLevelType w:val="hybridMultilevel"/>
    <w:tmpl w:val="EEDC00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7" w15:restartNumberingAfterBreak="0">
    <w:nsid w:val="774B3A82"/>
    <w:multiLevelType w:val="hybridMultilevel"/>
    <w:tmpl w:val="899E01BC"/>
    <w:lvl w:ilvl="0" w:tplc="A9023088">
      <w:start w:val="1"/>
      <w:numFmt w:val="lowerLetter"/>
      <w:lvlText w:val="%1."/>
      <w:lvlJc w:val="left"/>
      <w:pPr>
        <w:ind w:left="720" w:hanging="360"/>
      </w:pPr>
      <w:rPr>
        <w:rFonts w:cs="Times New Roman"/>
      </w:rPr>
    </w:lvl>
    <w:lvl w:ilvl="1" w:tplc="04050003" w:tentative="1">
      <w:start w:val="1"/>
      <w:numFmt w:val="lowerLetter"/>
      <w:lvlText w:val="%2."/>
      <w:lvlJc w:val="left"/>
      <w:pPr>
        <w:ind w:left="1440" w:hanging="360"/>
      </w:pPr>
      <w:rPr>
        <w:rFonts w:cs="Times New Roman"/>
      </w:rPr>
    </w:lvl>
    <w:lvl w:ilvl="2" w:tplc="04050005">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88" w15:restartNumberingAfterBreak="0">
    <w:nsid w:val="77861DEF"/>
    <w:multiLevelType w:val="hybridMultilevel"/>
    <w:tmpl w:val="08842EDE"/>
    <w:lvl w:ilvl="0" w:tplc="04050019">
      <w:start w:val="1"/>
      <w:numFmt w:val="bullet"/>
      <w:lvlText w:val="•"/>
      <w:lvlJc w:val="left"/>
      <w:pPr>
        <w:tabs>
          <w:tab w:val="num" w:pos="1080"/>
        </w:tabs>
        <w:ind w:left="1080" w:hanging="360"/>
      </w:pPr>
      <w:rPr>
        <w:rFonts w:ascii="Arial" w:hAnsi="Arial" w:hint="default"/>
      </w:rPr>
    </w:lvl>
    <w:lvl w:ilvl="1" w:tplc="04050019">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89" w15:restartNumberingAfterBreak="0">
    <w:nsid w:val="77E43160"/>
    <w:multiLevelType w:val="hybridMultilevel"/>
    <w:tmpl w:val="7AA6BB8E"/>
    <w:lvl w:ilvl="0" w:tplc="0405000F">
      <w:start w:val="1"/>
      <w:numFmt w:val="bullet"/>
      <w:lvlText w:val=""/>
      <w:lvlJc w:val="left"/>
      <w:pPr>
        <w:ind w:left="720" w:hanging="360"/>
      </w:pPr>
      <w:rPr>
        <w:rFonts w:ascii="Symbol" w:hAnsi="Symbol" w:hint="default"/>
      </w:rPr>
    </w:lvl>
    <w:lvl w:ilvl="1" w:tplc="04050019">
      <w:numFmt w:val="bullet"/>
      <w:lvlText w:val="•"/>
      <w:lvlJc w:val="left"/>
      <w:pPr>
        <w:ind w:left="1440" w:hanging="360"/>
      </w:pPr>
      <w:rPr>
        <w:rFonts w:ascii="Arial" w:eastAsia="Times New Roman" w:hAnsi="Arial"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90" w15:restartNumberingAfterBreak="0">
    <w:nsid w:val="780828BE"/>
    <w:multiLevelType w:val="hybridMultilevel"/>
    <w:tmpl w:val="F202F852"/>
    <w:lvl w:ilvl="0" w:tplc="D5325AC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7A875105"/>
    <w:multiLevelType w:val="hybridMultilevel"/>
    <w:tmpl w:val="F6026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AD80A48"/>
    <w:multiLevelType w:val="hybridMultilevel"/>
    <w:tmpl w:val="5EB00808"/>
    <w:lvl w:ilvl="0" w:tplc="04050001">
      <w:start w:val="1"/>
      <w:numFmt w:val="bullet"/>
      <w:lvlText w:val=""/>
      <w:lvlJc w:val="left"/>
      <w:pPr>
        <w:ind w:left="720" w:hanging="360"/>
      </w:pPr>
      <w:rPr>
        <w:rFonts w:ascii="Symbol" w:hAnsi="Symbol" w:hint="default"/>
      </w:rPr>
    </w:lvl>
    <w:lvl w:ilvl="1" w:tplc="E294F620">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B762295"/>
    <w:multiLevelType w:val="hybridMultilevel"/>
    <w:tmpl w:val="B2D41B5C"/>
    <w:lvl w:ilvl="0" w:tplc="418E36F0">
      <w:numFmt w:val="bullet"/>
      <w:lvlText w:val="•"/>
      <w:lvlJc w:val="left"/>
      <w:pPr>
        <w:ind w:left="1425" w:hanging="705"/>
      </w:pPr>
      <w:rPr>
        <w:rFonts w:ascii="Calibri" w:eastAsia="Times New Roman" w:hAnsi="Calibri"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4" w15:restartNumberingAfterBreak="0">
    <w:nsid w:val="7C437CD7"/>
    <w:multiLevelType w:val="hybridMultilevel"/>
    <w:tmpl w:val="40602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CC854D8"/>
    <w:multiLevelType w:val="hybridMultilevel"/>
    <w:tmpl w:val="938E4F10"/>
    <w:lvl w:ilvl="0" w:tplc="04050001">
      <w:start w:val="1"/>
      <w:numFmt w:val="decimal"/>
      <w:lvlText w:val="%1."/>
      <w:lvlJc w:val="left"/>
      <w:pPr>
        <w:tabs>
          <w:tab w:val="num" w:pos="720"/>
        </w:tabs>
        <w:ind w:left="720" w:hanging="360"/>
      </w:pPr>
      <w:rPr>
        <w:rFonts w:cs="Times New Roman"/>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2D428E"/>
    <w:multiLevelType w:val="hybridMultilevel"/>
    <w:tmpl w:val="F0442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9"/>
  </w:num>
  <w:num w:numId="4">
    <w:abstractNumId w:val="88"/>
  </w:num>
  <w:num w:numId="5">
    <w:abstractNumId w:val="67"/>
  </w:num>
  <w:num w:numId="6">
    <w:abstractNumId w:val="93"/>
  </w:num>
  <w:num w:numId="7">
    <w:abstractNumId w:val="60"/>
  </w:num>
  <w:num w:numId="8">
    <w:abstractNumId w:val="75"/>
  </w:num>
  <w:num w:numId="9">
    <w:abstractNumId w:val="34"/>
  </w:num>
  <w:num w:numId="10">
    <w:abstractNumId w:val="92"/>
  </w:num>
  <w:num w:numId="11">
    <w:abstractNumId w:val="0"/>
  </w:num>
  <w:num w:numId="12">
    <w:abstractNumId w:val="19"/>
  </w:num>
  <w:num w:numId="13">
    <w:abstractNumId w:val="31"/>
  </w:num>
  <w:num w:numId="14">
    <w:abstractNumId w:val="69"/>
  </w:num>
  <w:num w:numId="15">
    <w:abstractNumId w:val="36"/>
  </w:num>
  <w:num w:numId="16">
    <w:abstractNumId w:val="82"/>
  </w:num>
  <w:num w:numId="17">
    <w:abstractNumId w:val="1"/>
  </w:num>
  <w:num w:numId="18">
    <w:abstractNumId w:val="95"/>
  </w:num>
  <w:num w:numId="19">
    <w:abstractNumId w:val="58"/>
  </w:num>
  <w:num w:numId="20">
    <w:abstractNumId w:val="37"/>
  </w:num>
  <w:num w:numId="21">
    <w:abstractNumId w:val="65"/>
  </w:num>
  <w:num w:numId="22">
    <w:abstractNumId w:val="70"/>
  </w:num>
  <w:num w:numId="23">
    <w:abstractNumId w:val="14"/>
  </w:num>
  <w:num w:numId="24">
    <w:abstractNumId w:val="68"/>
  </w:num>
  <w:num w:numId="25">
    <w:abstractNumId w:val="42"/>
  </w:num>
  <w:num w:numId="26">
    <w:abstractNumId w:val="52"/>
  </w:num>
  <w:num w:numId="27">
    <w:abstractNumId w:val="77"/>
  </w:num>
  <w:num w:numId="28">
    <w:abstractNumId w:val="10"/>
  </w:num>
  <w:num w:numId="29">
    <w:abstractNumId w:val="61"/>
  </w:num>
  <w:num w:numId="30">
    <w:abstractNumId w:val="89"/>
  </w:num>
  <w:num w:numId="31">
    <w:abstractNumId w:val="26"/>
  </w:num>
  <w:num w:numId="32">
    <w:abstractNumId w:val="24"/>
  </w:num>
  <w:num w:numId="33">
    <w:abstractNumId w:val="8"/>
  </w:num>
  <w:num w:numId="34">
    <w:abstractNumId w:val="49"/>
  </w:num>
  <w:num w:numId="35">
    <w:abstractNumId w:val="40"/>
  </w:num>
  <w:num w:numId="36">
    <w:abstractNumId w:val="56"/>
  </w:num>
  <w:num w:numId="37">
    <w:abstractNumId w:val="4"/>
  </w:num>
  <w:num w:numId="38">
    <w:abstractNumId w:val="13"/>
  </w:num>
  <w:num w:numId="39">
    <w:abstractNumId w:val="23"/>
  </w:num>
  <w:num w:numId="40">
    <w:abstractNumId w:val="59"/>
  </w:num>
  <w:num w:numId="41">
    <w:abstractNumId w:val="41"/>
  </w:num>
  <w:num w:numId="42">
    <w:abstractNumId w:val="55"/>
  </w:num>
  <w:num w:numId="43">
    <w:abstractNumId w:val="45"/>
  </w:num>
  <w:num w:numId="44">
    <w:abstractNumId w:val="87"/>
  </w:num>
  <w:num w:numId="45">
    <w:abstractNumId w:val="46"/>
  </w:num>
  <w:num w:numId="46">
    <w:abstractNumId w:val="57"/>
  </w:num>
  <w:num w:numId="47">
    <w:abstractNumId w:val="74"/>
  </w:num>
  <w:num w:numId="48">
    <w:abstractNumId w:val="39"/>
  </w:num>
  <w:num w:numId="49">
    <w:abstractNumId w:val="53"/>
  </w:num>
  <w:num w:numId="50">
    <w:abstractNumId w:val="94"/>
  </w:num>
  <w:num w:numId="51">
    <w:abstractNumId w:val="72"/>
  </w:num>
  <w:num w:numId="52">
    <w:abstractNumId w:val="7"/>
  </w:num>
  <w:num w:numId="53">
    <w:abstractNumId w:val="83"/>
  </w:num>
  <w:num w:numId="54">
    <w:abstractNumId w:val="50"/>
  </w:num>
  <w:num w:numId="55">
    <w:abstractNumId w:val="43"/>
  </w:num>
  <w:num w:numId="56">
    <w:abstractNumId w:val="28"/>
  </w:num>
  <w:num w:numId="57">
    <w:abstractNumId w:val="11"/>
  </w:num>
  <w:num w:numId="58">
    <w:abstractNumId w:val="73"/>
  </w:num>
  <w:num w:numId="59">
    <w:abstractNumId w:val="16"/>
  </w:num>
  <w:num w:numId="60">
    <w:abstractNumId w:val="2"/>
  </w:num>
  <w:num w:numId="61">
    <w:abstractNumId w:val="84"/>
  </w:num>
  <w:num w:numId="62">
    <w:abstractNumId w:val="79"/>
  </w:num>
  <w:num w:numId="63">
    <w:abstractNumId w:val="30"/>
  </w:num>
  <w:num w:numId="64">
    <w:abstractNumId w:val="62"/>
  </w:num>
  <w:num w:numId="65">
    <w:abstractNumId w:val="33"/>
  </w:num>
  <w:num w:numId="66">
    <w:abstractNumId w:val="22"/>
  </w:num>
  <w:num w:numId="67">
    <w:abstractNumId w:val="85"/>
  </w:num>
  <w:num w:numId="68">
    <w:abstractNumId w:val="3"/>
  </w:num>
  <w:num w:numId="69">
    <w:abstractNumId w:val="64"/>
  </w:num>
  <w:num w:numId="70">
    <w:abstractNumId w:val="35"/>
  </w:num>
  <w:num w:numId="71">
    <w:abstractNumId w:val="6"/>
  </w:num>
  <w:num w:numId="72">
    <w:abstractNumId w:val="54"/>
  </w:num>
  <w:num w:numId="73">
    <w:abstractNumId w:val="27"/>
  </w:num>
  <w:num w:numId="74">
    <w:abstractNumId w:val="47"/>
  </w:num>
  <w:num w:numId="75">
    <w:abstractNumId w:val="71"/>
  </w:num>
  <w:num w:numId="76">
    <w:abstractNumId w:val="29"/>
  </w:num>
  <w:num w:numId="77">
    <w:abstractNumId w:val="63"/>
  </w:num>
  <w:num w:numId="78">
    <w:abstractNumId w:val="18"/>
  </w:num>
  <w:num w:numId="79">
    <w:abstractNumId w:val="80"/>
  </w:num>
  <w:num w:numId="80">
    <w:abstractNumId w:val="15"/>
  </w:num>
  <w:num w:numId="81">
    <w:abstractNumId w:val="76"/>
  </w:num>
  <w:num w:numId="82">
    <w:abstractNumId w:val="5"/>
  </w:num>
  <w:num w:numId="83">
    <w:abstractNumId w:val="91"/>
  </w:num>
  <w:num w:numId="84">
    <w:abstractNumId w:val="81"/>
  </w:num>
  <w:num w:numId="85">
    <w:abstractNumId w:val="38"/>
  </w:num>
  <w:num w:numId="86">
    <w:abstractNumId w:val="21"/>
  </w:num>
  <w:num w:numId="87">
    <w:abstractNumId w:val="47"/>
  </w:num>
  <w:num w:numId="88">
    <w:abstractNumId w:val="21"/>
  </w:num>
  <w:num w:numId="89">
    <w:abstractNumId w:val="48"/>
  </w:num>
  <w:num w:numId="90">
    <w:abstractNumId w:val="96"/>
  </w:num>
  <w:num w:numId="91">
    <w:abstractNumId w:val="44"/>
  </w:num>
  <w:num w:numId="92">
    <w:abstractNumId w:val="86"/>
  </w:num>
  <w:num w:numId="93">
    <w:abstractNumId w:val="12"/>
  </w:num>
  <w:num w:numId="94">
    <w:abstractNumId w:val="17"/>
  </w:num>
  <w:num w:numId="95">
    <w:abstractNumId w:val="66"/>
  </w:num>
  <w:num w:numId="96">
    <w:abstractNumId w:val="84"/>
  </w:num>
  <w:num w:numId="97">
    <w:abstractNumId w:val="51"/>
  </w:num>
  <w:num w:numId="98">
    <w:abstractNumId w:val="90"/>
  </w:num>
  <w:num w:numId="99">
    <w:abstractNumId w:val="78"/>
  </w:num>
  <w:num w:numId="100">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1E1"/>
    <w:rsid w:val="0000024E"/>
    <w:rsid w:val="00000A59"/>
    <w:rsid w:val="0000124A"/>
    <w:rsid w:val="00001374"/>
    <w:rsid w:val="00001428"/>
    <w:rsid w:val="00001519"/>
    <w:rsid w:val="00001575"/>
    <w:rsid w:val="000026D6"/>
    <w:rsid w:val="00003786"/>
    <w:rsid w:val="00003A34"/>
    <w:rsid w:val="00003EAA"/>
    <w:rsid w:val="00004317"/>
    <w:rsid w:val="00004922"/>
    <w:rsid w:val="00004F5B"/>
    <w:rsid w:val="00005387"/>
    <w:rsid w:val="000075D5"/>
    <w:rsid w:val="00007ACF"/>
    <w:rsid w:val="00007B41"/>
    <w:rsid w:val="00007F94"/>
    <w:rsid w:val="00007FC6"/>
    <w:rsid w:val="00011070"/>
    <w:rsid w:val="00011100"/>
    <w:rsid w:val="00011656"/>
    <w:rsid w:val="00012C12"/>
    <w:rsid w:val="000132D7"/>
    <w:rsid w:val="000150B2"/>
    <w:rsid w:val="0001651A"/>
    <w:rsid w:val="00016B83"/>
    <w:rsid w:val="00017DD1"/>
    <w:rsid w:val="00020BEB"/>
    <w:rsid w:val="00022730"/>
    <w:rsid w:val="00022B20"/>
    <w:rsid w:val="00022E4C"/>
    <w:rsid w:val="00023090"/>
    <w:rsid w:val="00023FE0"/>
    <w:rsid w:val="00024261"/>
    <w:rsid w:val="0002484F"/>
    <w:rsid w:val="00024EB3"/>
    <w:rsid w:val="00025356"/>
    <w:rsid w:val="0002590C"/>
    <w:rsid w:val="00025F6E"/>
    <w:rsid w:val="000261FB"/>
    <w:rsid w:val="000267FE"/>
    <w:rsid w:val="0002761F"/>
    <w:rsid w:val="00027BFD"/>
    <w:rsid w:val="00030C52"/>
    <w:rsid w:val="00030E3E"/>
    <w:rsid w:val="00030ED0"/>
    <w:rsid w:val="00031330"/>
    <w:rsid w:val="000316F2"/>
    <w:rsid w:val="00031A12"/>
    <w:rsid w:val="00031A1C"/>
    <w:rsid w:val="0003318C"/>
    <w:rsid w:val="00033CBD"/>
    <w:rsid w:val="00033EFD"/>
    <w:rsid w:val="00034061"/>
    <w:rsid w:val="000348F9"/>
    <w:rsid w:val="00034B6D"/>
    <w:rsid w:val="00034FDD"/>
    <w:rsid w:val="000361C0"/>
    <w:rsid w:val="00036EF3"/>
    <w:rsid w:val="00037204"/>
    <w:rsid w:val="0003720E"/>
    <w:rsid w:val="00037350"/>
    <w:rsid w:val="00037B07"/>
    <w:rsid w:val="00040399"/>
    <w:rsid w:val="000405BE"/>
    <w:rsid w:val="0004113A"/>
    <w:rsid w:val="0004162E"/>
    <w:rsid w:val="00041B99"/>
    <w:rsid w:val="00041E85"/>
    <w:rsid w:val="00042011"/>
    <w:rsid w:val="00042169"/>
    <w:rsid w:val="00042991"/>
    <w:rsid w:val="00042B15"/>
    <w:rsid w:val="00042BEB"/>
    <w:rsid w:val="00042F62"/>
    <w:rsid w:val="000437EF"/>
    <w:rsid w:val="00043B95"/>
    <w:rsid w:val="00044EE7"/>
    <w:rsid w:val="0004592A"/>
    <w:rsid w:val="0004640B"/>
    <w:rsid w:val="00046929"/>
    <w:rsid w:val="00046AA5"/>
    <w:rsid w:val="00046EDA"/>
    <w:rsid w:val="0004720B"/>
    <w:rsid w:val="00047441"/>
    <w:rsid w:val="0004790B"/>
    <w:rsid w:val="0005008A"/>
    <w:rsid w:val="00050B0B"/>
    <w:rsid w:val="00050C6E"/>
    <w:rsid w:val="00051246"/>
    <w:rsid w:val="00052BBE"/>
    <w:rsid w:val="00053393"/>
    <w:rsid w:val="0005341B"/>
    <w:rsid w:val="00053EA4"/>
    <w:rsid w:val="00055323"/>
    <w:rsid w:val="0005545B"/>
    <w:rsid w:val="00055E54"/>
    <w:rsid w:val="00055F24"/>
    <w:rsid w:val="00057BCB"/>
    <w:rsid w:val="00057F90"/>
    <w:rsid w:val="000601A3"/>
    <w:rsid w:val="000602E7"/>
    <w:rsid w:val="00060A95"/>
    <w:rsid w:val="00060B5A"/>
    <w:rsid w:val="00061226"/>
    <w:rsid w:val="000625EC"/>
    <w:rsid w:val="000628B2"/>
    <w:rsid w:val="00063A4C"/>
    <w:rsid w:val="0006460C"/>
    <w:rsid w:val="00064A65"/>
    <w:rsid w:val="00064FB2"/>
    <w:rsid w:val="00065117"/>
    <w:rsid w:val="00065F1C"/>
    <w:rsid w:val="00066384"/>
    <w:rsid w:val="0006649B"/>
    <w:rsid w:val="00066655"/>
    <w:rsid w:val="000668BC"/>
    <w:rsid w:val="000672FF"/>
    <w:rsid w:val="00067B11"/>
    <w:rsid w:val="00067B6A"/>
    <w:rsid w:val="00067DA1"/>
    <w:rsid w:val="00070476"/>
    <w:rsid w:val="000704DD"/>
    <w:rsid w:val="00071003"/>
    <w:rsid w:val="0007175B"/>
    <w:rsid w:val="00072271"/>
    <w:rsid w:val="00072CAD"/>
    <w:rsid w:val="000738B9"/>
    <w:rsid w:val="0007393D"/>
    <w:rsid w:val="00074EC1"/>
    <w:rsid w:val="000750C2"/>
    <w:rsid w:val="000754A0"/>
    <w:rsid w:val="00075B31"/>
    <w:rsid w:val="00076233"/>
    <w:rsid w:val="000771AD"/>
    <w:rsid w:val="00080229"/>
    <w:rsid w:val="000814B5"/>
    <w:rsid w:val="00081A64"/>
    <w:rsid w:val="00081DBF"/>
    <w:rsid w:val="0008236A"/>
    <w:rsid w:val="00082D6D"/>
    <w:rsid w:val="00083247"/>
    <w:rsid w:val="00084399"/>
    <w:rsid w:val="00084A59"/>
    <w:rsid w:val="000857F9"/>
    <w:rsid w:val="00085893"/>
    <w:rsid w:val="000858D8"/>
    <w:rsid w:val="00086516"/>
    <w:rsid w:val="00087025"/>
    <w:rsid w:val="00087105"/>
    <w:rsid w:val="00087DE7"/>
    <w:rsid w:val="00087FB4"/>
    <w:rsid w:val="00090359"/>
    <w:rsid w:val="00090F01"/>
    <w:rsid w:val="000910FC"/>
    <w:rsid w:val="00091B20"/>
    <w:rsid w:val="00092321"/>
    <w:rsid w:val="000924E1"/>
    <w:rsid w:val="00093063"/>
    <w:rsid w:val="00093ECB"/>
    <w:rsid w:val="000945FC"/>
    <w:rsid w:val="00094945"/>
    <w:rsid w:val="000951A3"/>
    <w:rsid w:val="00096DFB"/>
    <w:rsid w:val="0009727E"/>
    <w:rsid w:val="000976BA"/>
    <w:rsid w:val="00097C39"/>
    <w:rsid w:val="000A0F88"/>
    <w:rsid w:val="000A315C"/>
    <w:rsid w:val="000A32A1"/>
    <w:rsid w:val="000A3784"/>
    <w:rsid w:val="000A426B"/>
    <w:rsid w:val="000A47FD"/>
    <w:rsid w:val="000A523B"/>
    <w:rsid w:val="000A5777"/>
    <w:rsid w:val="000A5FA2"/>
    <w:rsid w:val="000A6D74"/>
    <w:rsid w:val="000B06CA"/>
    <w:rsid w:val="000B0D66"/>
    <w:rsid w:val="000B2D42"/>
    <w:rsid w:val="000B318C"/>
    <w:rsid w:val="000B3746"/>
    <w:rsid w:val="000B378D"/>
    <w:rsid w:val="000B3DBA"/>
    <w:rsid w:val="000B43A1"/>
    <w:rsid w:val="000B4B20"/>
    <w:rsid w:val="000B505C"/>
    <w:rsid w:val="000B5641"/>
    <w:rsid w:val="000B58F5"/>
    <w:rsid w:val="000B5E8E"/>
    <w:rsid w:val="000B6179"/>
    <w:rsid w:val="000B656F"/>
    <w:rsid w:val="000B6E72"/>
    <w:rsid w:val="000B7E48"/>
    <w:rsid w:val="000C1B4F"/>
    <w:rsid w:val="000C1C23"/>
    <w:rsid w:val="000C2416"/>
    <w:rsid w:val="000C31F4"/>
    <w:rsid w:val="000C38AE"/>
    <w:rsid w:val="000C3983"/>
    <w:rsid w:val="000C3B87"/>
    <w:rsid w:val="000C4262"/>
    <w:rsid w:val="000C61AD"/>
    <w:rsid w:val="000C685B"/>
    <w:rsid w:val="000C77DB"/>
    <w:rsid w:val="000D04C2"/>
    <w:rsid w:val="000D0514"/>
    <w:rsid w:val="000D2962"/>
    <w:rsid w:val="000D2A1F"/>
    <w:rsid w:val="000D2FBC"/>
    <w:rsid w:val="000D3DF3"/>
    <w:rsid w:val="000D43FC"/>
    <w:rsid w:val="000D59E7"/>
    <w:rsid w:val="000D5B42"/>
    <w:rsid w:val="000D6873"/>
    <w:rsid w:val="000D691E"/>
    <w:rsid w:val="000E0186"/>
    <w:rsid w:val="000E099C"/>
    <w:rsid w:val="000E1BCA"/>
    <w:rsid w:val="000E2116"/>
    <w:rsid w:val="000E21F7"/>
    <w:rsid w:val="000E2C8A"/>
    <w:rsid w:val="000E3C25"/>
    <w:rsid w:val="000E3FC0"/>
    <w:rsid w:val="000E53D3"/>
    <w:rsid w:val="000E5A8F"/>
    <w:rsid w:val="000E709B"/>
    <w:rsid w:val="000E7BA3"/>
    <w:rsid w:val="000F0F96"/>
    <w:rsid w:val="000F1064"/>
    <w:rsid w:val="000F11B1"/>
    <w:rsid w:val="000F1B10"/>
    <w:rsid w:val="000F1B78"/>
    <w:rsid w:val="000F1E82"/>
    <w:rsid w:val="000F21A7"/>
    <w:rsid w:val="000F2376"/>
    <w:rsid w:val="000F240A"/>
    <w:rsid w:val="000F3E82"/>
    <w:rsid w:val="000F4347"/>
    <w:rsid w:val="000F506E"/>
    <w:rsid w:val="000F5267"/>
    <w:rsid w:val="000F6013"/>
    <w:rsid w:val="000F63E3"/>
    <w:rsid w:val="000F6475"/>
    <w:rsid w:val="000F6778"/>
    <w:rsid w:val="000F7549"/>
    <w:rsid w:val="00100537"/>
    <w:rsid w:val="00100C0F"/>
    <w:rsid w:val="00101728"/>
    <w:rsid w:val="0010173C"/>
    <w:rsid w:val="00101A27"/>
    <w:rsid w:val="00102009"/>
    <w:rsid w:val="001038FE"/>
    <w:rsid w:val="001042DB"/>
    <w:rsid w:val="00104620"/>
    <w:rsid w:val="0010532D"/>
    <w:rsid w:val="00105E9D"/>
    <w:rsid w:val="0010631E"/>
    <w:rsid w:val="001065B4"/>
    <w:rsid w:val="00106AD4"/>
    <w:rsid w:val="001075B2"/>
    <w:rsid w:val="0011037F"/>
    <w:rsid w:val="00110693"/>
    <w:rsid w:val="0011279A"/>
    <w:rsid w:val="00113153"/>
    <w:rsid w:val="0011334B"/>
    <w:rsid w:val="00113BDA"/>
    <w:rsid w:val="00114587"/>
    <w:rsid w:val="00114915"/>
    <w:rsid w:val="00114B09"/>
    <w:rsid w:val="00114C5B"/>
    <w:rsid w:val="00115303"/>
    <w:rsid w:val="001157BD"/>
    <w:rsid w:val="00116A6A"/>
    <w:rsid w:val="00117750"/>
    <w:rsid w:val="00117BFE"/>
    <w:rsid w:val="00120172"/>
    <w:rsid w:val="0012098D"/>
    <w:rsid w:val="001217AB"/>
    <w:rsid w:val="00121C85"/>
    <w:rsid w:val="00121D1C"/>
    <w:rsid w:val="00121DB3"/>
    <w:rsid w:val="0012232B"/>
    <w:rsid w:val="00122401"/>
    <w:rsid w:val="001225B1"/>
    <w:rsid w:val="00122859"/>
    <w:rsid w:val="00122D07"/>
    <w:rsid w:val="00123389"/>
    <w:rsid w:val="00123514"/>
    <w:rsid w:val="00125087"/>
    <w:rsid w:val="001256CE"/>
    <w:rsid w:val="0012655B"/>
    <w:rsid w:val="001269F7"/>
    <w:rsid w:val="00126B4F"/>
    <w:rsid w:val="00127148"/>
    <w:rsid w:val="001271A3"/>
    <w:rsid w:val="0012734A"/>
    <w:rsid w:val="00130190"/>
    <w:rsid w:val="001302A5"/>
    <w:rsid w:val="00132988"/>
    <w:rsid w:val="00135141"/>
    <w:rsid w:val="001351B9"/>
    <w:rsid w:val="001356F7"/>
    <w:rsid w:val="0013658D"/>
    <w:rsid w:val="00137503"/>
    <w:rsid w:val="0014041A"/>
    <w:rsid w:val="00140663"/>
    <w:rsid w:val="0014136F"/>
    <w:rsid w:val="0014187C"/>
    <w:rsid w:val="00141F5D"/>
    <w:rsid w:val="00141FEF"/>
    <w:rsid w:val="0014274D"/>
    <w:rsid w:val="001436FB"/>
    <w:rsid w:val="00143B54"/>
    <w:rsid w:val="00143D63"/>
    <w:rsid w:val="00144361"/>
    <w:rsid w:val="0014590F"/>
    <w:rsid w:val="00145953"/>
    <w:rsid w:val="001477A2"/>
    <w:rsid w:val="00147B43"/>
    <w:rsid w:val="00147FEF"/>
    <w:rsid w:val="0015027F"/>
    <w:rsid w:val="0015054E"/>
    <w:rsid w:val="00151A1C"/>
    <w:rsid w:val="0015223E"/>
    <w:rsid w:val="00152DCC"/>
    <w:rsid w:val="00152E6F"/>
    <w:rsid w:val="00152EB4"/>
    <w:rsid w:val="001531B4"/>
    <w:rsid w:val="00153995"/>
    <w:rsid w:val="00153D08"/>
    <w:rsid w:val="00153ED7"/>
    <w:rsid w:val="001540D5"/>
    <w:rsid w:val="00154F3F"/>
    <w:rsid w:val="00155CF2"/>
    <w:rsid w:val="00156DEC"/>
    <w:rsid w:val="0015702C"/>
    <w:rsid w:val="001571A2"/>
    <w:rsid w:val="00157F20"/>
    <w:rsid w:val="001601D5"/>
    <w:rsid w:val="001607A9"/>
    <w:rsid w:val="00160C4D"/>
    <w:rsid w:val="00161CDE"/>
    <w:rsid w:val="001626F9"/>
    <w:rsid w:val="00162D8A"/>
    <w:rsid w:val="00164C49"/>
    <w:rsid w:val="00164D6C"/>
    <w:rsid w:val="00165075"/>
    <w:rsid w:val="0016559B"/>
    <w:rsid w:val="0016565F"/>
    <w:rsid w:val="00165CE4"/>
    <w:rsid w:val="00165EB0"/>
    <w:rsid w:val="00166B80"/>
    <w:rsid w:val="00166BB5"/>
    <w:rsid w:val="00166DFA"/>
    <w:rsid w:val="00167C93"/>
    <w:rsid w:val="00167E3C"/>
    <w:rsid w:val="00170138"/>
    <w:rsid w:val="00170361"/>
    <w:rsid w:val="00171AF5"/>
    <w:rsid w:val="001722E3"/>
    <w:rsid w:val="001725BB"/>
    <w:rsid w:val="00172EF4"/>
    <w:rsid w:val="00173B55"/>
    <w:rsid w:val="00174446"/>
    <w:rsid w:val="0017502C"/>
    <w:rsid w:val="0017512B"/>
    <w:rsid w:val="00175562"/>
    <w:rsid w:val="00175F65"/>
    <w:rsid w:val="001766AE"/>
    <w:rsid w:val="00177177"/>
    <w:rsid w:val="001777A0"/>
    <w:rsid w:val="001802B3"/>
    <w:rsid w:val="00180C0D"/>
    <w:rsid w:val="00180EC1"/>
    <w:rsid w:val="00180EF8"/>
    <w:rsid w:val="00181306"/>
    <w:rsid w:val="0018186D"/>
    <w:rsid w:val="00181A56"/>
    <w:rsid w:val="00181B26"/>
    <w:rsid w:val="00182A6F"/>
    <w:rsid w:val="00182C7A"/>
    <w:rsid w:val="00182DC6"/>
    <w:rsid w:val="0018303A"/>
    <w:rsid w:val="001834F9"/>
    <w:rsid w:val="00183DF5"/>
    <w:rsid w:val="00183F1E"/>
    <w:rsid w:val="00184492"/>
    <w:rsid w:val="00184C7C"/>
    <w:rsid w:val="00185AB8"/>
    <w:rsid w:val="00185D09"/>
    <w:rsid w:val="00186A32"/>
    <w:rsid w:val="00187EDD"/>
    <w:rsid w:val="001907AB"/>
    <w:rsid w:val="00190879"/>
    <w:rsid w:val="001909F1"/>
    <w:rsid w:val="00190C45"/>
    <w:rsid w:val="00191448"/>
    <w:rsid w:val="0019154E"/>
    <w:rsid w:val="0019232C"/>
    <w:rsid w:val="00192A52"/>
    <w:rsid w:val="00192E03"/>
    <w:rsid w:val="00193351"/>
    <w:rsid w:val="0019410B"/>
    <w:rsid w:val="0019432B"/>
    <w:rsid w:val="00194A15"/>
    <w:rsid w:val="001956C9"/>
    <w:rsid w:val="00195D5C"/>
    <w:rsid w:val="00196271"/>
    <w:rsid w:val="001970CC"/>
    <w:rsid w:val="00197E33"/>
    <w:rsid w:val="00197F96"/>
    <w:rsid w:val="001A055B"/>
    <w:rsid w:val="001A05C2"/>
    <w:rsid w:val="001A06A1"/>
    <w:rsid w:val="001A1530"/>
    <w:rsid w:val="001A1F6A"/>
    <w:rsid w:val="001A1F80"/>
    <w:rsid w:val="001A247D"/>
    <w:rsid w:val="001A387B"/>
    <w:rsid w:val="001A3A58"/>
    <w:rsid w:val="001A49E4"/>
    <w:rsid w:val="001A5636"/>
    <w:rsid w:val="001A5685"/>
    <w:rsid w:val="001A593B"/>
    <w:rsid w:val="001A5C1F"/>
    <w:rsid w:val="001A5E19"/>
    <w:rsid w:val="001A6187"/>
    <w:rsid w:val="001A7724"/>
    <w:rsid w:val="001B0C96"/>
    <w:rsid w:val="001B1EEC"/>
    <w:rsid w:val="001B2953"/>
    <w:rsid w:val="001B3024"/>
    <w:rsid w:val="001B3BC6"/>
    <w:rsid w:val="001B3C63"/>
    <w:rsid w:val="001B3CC2"/>
    <w:rsid w:val="001B475D"/>
    <w:rsid w:val="001B4790"/>
    <w:rsid w:val="001B56F4"/>
    <w:rsid w:val="001B57B6"/>
    <w:rsid w:val="001B5E69"/>
    <w:rsid w:val="001B5F67"/>
    <w:rsid w:val="001B63E2"/>
    <w:rsid w:val="001B674A"/>
    <w:rsid w:val="001B76FA"/>
    <w:rsid w:val="001C00EE"/>
    <w:rsid w:val="001C11D4"/>
    <w:rsid w:val="001C1A67"/>
    <w:rsid w:val="001C1AB5"/>
    <w:rsid w:val="001C1B9C"/>
    <w:rsid w:val="001C1C0E"/>
    <w:rsid w:val="001C365A"/>
    <w:rsid w:val="001C3828"/>
    <w:rsid w:val="001C39DD"/>
    <w:rsid w:val="001C3E64"/>
    <w:rsid w:val="001C426D"/>
    <w:rsid w:val="001C4E7C"/>
    <w:rsid w:val="001C5957"/>
    <w:rsid w:val="001C5C71"/>
    <w:rsid w:val="001C5E56"/>
    <w:rsid w:val="001C6D1E"/>
    <w:rsid w:val="001C734A"/>
    <w:rsid w:val="001C7506"/>
    <w:rsid w:val="001C7A36"/>
    <w:rsid w:val="001D1197"/>
    <w:rsid w:val="001D16E7"/>
    <w:rsid w:val="001D1877"/>
    <w:rsid w:val="001D1A46"/>
    <w:rsid w:val="001D1EEF"/>
    <w:rsid w:val="001D283B"/>
    <w:rsid w:val="001D2924"/>
    <w:rsid w:val="001D2B97"/>
    <w:rsid w:val="001D32AD"/>
    <w:rsid w:val="001D3F9D"/>
    <w:rsid w:val="001D4D6C"/>
    <w:rsid w:val="001D55F5"/>
    <w:rsid w:val="001D5892"/>
    <w:rsid w:val="001D5B0A"/>
    <w:rsid w:val="001D5BA9"/>
    <w:rsid w:val="001D5FDA"/>
    <w:rsid w:val="001D70F8"/>
    <w:rsid w:val="001D74FD"/>
    <w:rsid w:val="001D7FF0"/>
    <w:rsid w:val="001E08E2"/>
    <w:rsid w:val="001E1423"/>
    <w:rsid w:val="001E2568"/>
    <w:rsid w:val="001E25C5"/>
    <w:rsid w:val="001E2CF7"/>
    <w:rsid w:val="001E2E0B"/>
    <w:rsid w:val="001E394B"/>
    <w:rsid w:val="001E6A57"/>
    <w:rsid w:val="001E6AFB"/>
    <w:rsid w:val="001E77F4"/>
    <w:rsid w:val="001F19D0"/>
    <w:rsid w:val="001F221B"/>
    <w:rsid w:val="001F2590"/>
    <w:rsid w:val="001F282D"/>
    <w:rsid w:val="001F2B49"/>
    <w:rsid w:val="001F3C28"/>
    <w:rsid w:val="001F41F8"/>
    <w:rsid w:val="001F5B84"/>
    <w:rsid w:val="001F5D3C"/>
    <w:rsid w:val="001F637A"/>
    <w:rsid w:val="001F6429"/>
    <w:rsid w:val="001F6C5A"/>
    <w:rsid w:val="001F73F6"/>
    <w:rsid w:val="001F7CB2"/>
    <w:rsid w:val="0020005F"/>
    <w:rsid w:val="0020040B"/>
    <w:rsid w:val="00201A3E"/>
    <w:rsid w:val="00201CB9"/>
    <w:rsid w:val="00203884"/>
    <w:rsid w:val="00203C57"/>
    <w:rsid w:val="002042B7"/>
    <w:rsid w:val="00204AA3"/>
    <w:rsid w:val="00204E30"/>
    <w:rsid w:val="002056A8"/>
    <w:rsid w:val="00205D4E"/>
    <w:rsid w:val="002065E1"/>
    <w:rsid w:val="00207007"/>
    <w:rsid w:val="002071A4"/>
    <w:rsid w:val="002071D3"/>
    <w:rsid w:val="0020777F"/>
    <w:rsid w:val="00207FA8"/>
    <w:rsid w:val="002100F5"/>
    <w:rsid w:val="0021034B"/>
    <w:rsid w:val="00210500"/>
    <w:rsid w:val="00210F9E"/>
    <w:rsid w:val="00210FAA"/>
    <w:rsid w:val="00211542"/>
    <w:rsid w:val="00211D92"/>
    <w:rsid w:val="00212937"/>
    <w:rsid w:val="00213A1F"/>
    <w:rsid w:val="00213C25"/>
    <w:rsid w:val="00214267"/>
    <w:rsid w:val="00214DE2"/>
    <w:rsid w:val="0021517B"/>
    <w:rsid w:val="002156A5"/>
    <w:rsid w:val="00215AA6"/>
    <w:rsid w:val="00216B21"/>
    <w:rsid w:val="00216CD7"/>
    <w:rsid w:val="00217B90"/>
    <w:rsid w:val="00220476"/>
    <w:rsid w:val="00220FD7"/>
    <w:rsid w:val="002212C5"/>
    <w:rsid w:val="00221769"/>
    <w:rsid w:val="0022187B"/>
    <w:rsid w:val="002223E8"/>
    <w:rsid w:val="0022341D"/>
    <w:rsid w:val="002236A1"/>
    <w:rsid w:val="00223A24"/>
    <w:rsid w:val="00223B25"/>
    <w:rsid w:val="00223C0C"/>
    <w:rsid w:val="00224050"/>
    <w:rsid w:val="00224B1A"/>
    <w:rsid w:val="00224C09"/>
    <w:rsid w:val="00225791"/>
    <w:rsid w:val="00225992"/>
    <w:rsid w:val="0022629D"/>
    <w:rsid w:val="002266A6"/>
    <w:rsid w:val="00226F04"/>
    <w:rsid w:val="0022745A"/>
    <w:rsid w:val="00230EA1"/>
    <w:rsid w:val="002313FE"/>
    <w:rsid w:val="002324B8"/>
    <w:rsid w:val="0023294C"/>
    <w:rsid w:val="0023318A"/>
    <w:rsid w:val="00233938"/>
    <w:rsid w:val="00233AA6"/>
    <w:rsid w:val="00233BF0"/>
    <w:rsid w:val="00233FF1"/>
    <w:rsid w:val="0023435E"/>
    <w:rsid w:val="0023686F"/>
    <w:rsid w:val="00237741"/>
    <w:rsid w:val="00237895"/>
    <w:rsid w:val="00237958"/>
    <w:rsid w:val="00237CC2"/>
    <w:rsid w:val="0024087D"/>
    <w:rsid w:val="00240E1D"/>
    <w:rsid w:val="00241287"/>
    <w:rsid w:val="002413B6"/>
    <w:rsid w:val="00241CC8"/>
    <w:rsid w:val="002433DA"/>
    <w:rsid w:val="002435A2"/>
    <w:rsid w:val="002440BE"/>
    <w:rsid w:val="002454F8"/>
    <w:rsid w:val="00246C0F"/>
    <w:rsid w:val="002470FD"/>
    <w:rsid w:val="00247315"/>
    <w:rsid w:val="00247631"/>
    <w:rsid w:val="00247695"/>
    <w:rsid w:val="00247E9E"/>
    <w:rsid w:val="00251456"/>
    <w:rsid w:val="002519A6"/>
    <w:rsid w:val="00251D72"/>
    <w:rsid w:val="00252169"/>
    <w:rsid w:val="00252373"/>
    <w:rsid w:val="00252F26"/>
    <w:rsid w:val="00253334"/>
    <w:rsid w:val="00253B52"/>
    <w:rsid w:val="0025404E"/>
    <w:rsid w:val="0025472A"/>
    <w:rsid w:val="00254911"/>
    <w:rsid w:val="00254AAA"/>
    <w:rsid w:val="00254F5C"/>
    <w:rsid w:val="002560B7"/>
    <w:rsid w:val="002563D4"/>
    <w:rsid w:val="00256406"/>
    <w:rsid w:val="00256BFA"/>
    <w:rsid w:val="002571B0"/>
    <w:rsid w:val="0025737F"/>
    <w:rsid w:val="00257A77"/>
    <w:rsid w:val="00261213"/>
    <w:rsid w:val="00261A17"/>
    <w:rsid w:val="00261C3E"/>
    <w:rsid w:val="00261EC0"/>
    <w:rsid w:val="00261EEA"/>
    <w:rsid w:val="0026202F"/>
    <w:rsid w:val="002624AC"/>
    <w:rsid w:val="002624EB"/>
    <w:rsid w:val="002625C2"/>
    <w:rsid w:val="00262688"/>
    <w:rsid w:val="00262BCD"/>
    <w:rsid w:val="0026324C"/>
    <w:rsid w:val="00264275"/>
    <w:rsid w:val="00266A15"/>
    <w:rsid w:val="00266F2B"/>
    <w:rsid w:val="00266F8F"/>
    <w:rsid w:val="002673EA"/>
    <w:rsid w:val="002679F5"/>
    <w:rsid w:val="00267AC6"/>
    <w:rsid w:val="002700BD"/>
    <w:rsid w:val="00270DA1"/>
    <w:rsid w:val="002727B4"/>
    <w:rsid w:val="00272B8D"/>
    <w:rsid w:val="00273228"/>
    <w:rsid w:val="0027339A"/>
    <w:rsid w:val="00273523"/>
    <w:rsid w:val="002741FC"/>
    <w:rsid w:val="0027432F"/>
    <w:rsid w:val="00274395"/>
    <w:rsid w:val="0027471A"/>
    <w:rsid w:val="0027489B"/>
    <w:rsid w:val="00274941"/>
    <w:rsid w:val="00274B43"/>
    <w:rsid w:val="00276507"/>
    <w:rsid w:val="00276958"/>
    <w:rsid w:val="002771EA"/>
    <w:rsid w:val="002814BA"/>
    <w:rsid w:val="00283266"/>
    <w:rsid w:val="0028365B"/>
    <w:rsid w:val="00284312"/>
    <w:rsid w:val="00284379"/>
    <w:rsid w:val="00285A01"/>
    <w:rsid w:val="00285B99"/>
    <w:rsid w:val="00285D2F"/>
    <w:rsid w:val="00286320"/>
    <w:rsid w:val="00286862"/>
    <w:rsid w:val="00287372"/>
    <w:rsid w:val="002903A5"/>
    <w:rsid w:val="00290C35"/>
    <w:rsid w:val="00290DFB"/>
    <w:rsid w:val="00292F48"/>
    <w:rsid w:val="00292FD2"/>
    <w:rsid w:val="00292FEA"/>
    <w:rsid w:val="002932D9"/>
    <w:rsid w:val="00293349"/>
    <w:rsid w:val="002934A3"/>
    <w:rsid w:val="00293517"/>
    <w:rsid w:val="002939CA"/>
    <w:rsid w:val="00293BFD"/>
    <w:rsid w:val="002940BA"/>
    <w:rsid w:val="002942AC"/>
    <w:rsid w:val="00294351"/>
    <w:rsid w:val="00294A1F"/>
    <w:rsid w:val="00294C41"/>
    <w:rsid w:val="00295248"/>
    <w:rsid w:val="00295741"/>
    <w:rsid w:val="002976AD"/>
    <w:rsid w:val="002A0AD2"/>
    <w:rsid w:val="002A0C4B"/>
    <w:rsid w:val="002A223E"/>
    <w:rsid w:val="002A2D57"/>
    <w:rsid w:val="002A3E74"/>
    <w:rsid w:val="002A4B14"/>
    <w:rsid w:val="002A5076"/>
    <w:rsid w:val="002A6665"/>
    <w:rsid w:val="002A74A2"/>
    <w:rsid w:val="002A74A5"/>
    <w:rsid w:val="002A7D7E"/>
    <w:rsid w:val="002B0641"/>
    <w:rsid w:val="002B17E8"/>
    <w:rsid w:val="002B1906"/>
    <w:rsid w:val="002B1BA7"/>
    <w:rsid w:val="002B4186"/>
    <w:rsid w:val="002B4320"/>
    <w:rsid w:val="002B4805"/>
    <w:rsid w:val="002B50FE"/>
    <w:rsid w:val="002B55B2"/>
    <w:rsid w:val="002B6444"/>
    <w:rsid w:val="002B6BDB"/>
    <w:rsid w:val="002B71BA"/>
    <w:rsid w:val="002B7553"/>
    <w:rsid w:val="002B75F1"/>
    <w:rsid w:val="002C05D1"/>
    <w:rsid w:val="002C1AB4"/>
    <w:rsid w:val="002C20A0"/>
    <w:rsid w:val="002C224A"/>
    <w:rsid w:val="002C35CE"/>
    <w:rsid w:val="002C3F1F"/>
    <w:rsid w:val="002C41C1"/>
    <w:rsid w:val="002C4C28"/>
    <w:rsid w:val="002C52EC"/>
    <w:rsid w:val="002C568C"/>
    <w:rsid w:val="002C5AF9"/>
    <w:rsid w:val="002C7004"/>
    <w:rsid w:val="002C7452"/>
    <w:rsid w:val="002C7F6A"/>
    <w:rsid w:val="002D0550"/>
    <w:rsid w:val="002D08F0"/>
    <w:rsid w:val="002D09B7"/>
    <w:rsid w:val="002D1138"/>
    <w:rsid w:val="002D3016"/>
    <w:rsid w:val="002D44D9"/>
    <w:rsid w:val="002D4FC2"/>
    <w:rsid w:val="002D56F4"/>
    <w:rsid w:val="002D5FD5"/>
    <w:rsid w:val="002D63C8"/>
    <w:rsid w:val="002D63FD"/>
    <w:rsid w:val="002D65BA"/>
    <w:rsid w:val="002D6780"/>
    <w:rsid w:val="002D6B61"/>
    <w:rsid w:val="002D7813"/>
    <w:rsid w:val="002E0758"/>
    <w:rsid w:val="002E16B8"/>
    <w:rsid w:val="002E16DE"/>
    <w:rsid w:val="002E2AFD"/>
    <w:rsid w:val="002E2C94"/>
    <w:rsid w:val="002E31F4"/>
    <w:rsid w:val="002E3AE5"/>
    <w:rsid w:val="002E3AE9"/>
    <w:rsid w:val="002E4852"/>
    <w:rsid w:val="002E528B"/>
    <w:rsid w:val="002E56FD"/>
    <w:rsid w:val="002E58A9"/>
    <w:rsid w:val="002E6DA9"/>
    <w:rsid w:val="002E6FA9"/>
    <w:rsid w:val="002F0593"/>
    <w:rsid w:val="002F0E82"/>
    <w:rsid w:val="002F12FB"/>
    <w:rsid w:val="002F1944"/>
    <w:rsid w:val="002F3580"/>
    <w:rsid w:val="002F4C89"/>
    <w:rsid w:val="002F4CF9"/>
    <w:rsid w:val="002F4F33"/>
    <w:rsid w:val="002F526D"/>
    <w:rsid w:val="002F530F"/>
    <w:rsid w:val="002F5775"/>
    <w:rsid w:val="002F7B85"/>
    <w:rsid w:val="00300076"/>
    <w:rsid w:val="0030035D"/>
    <w:rsid w:val="003003AC"/>
    <w:rsid w:val="003005E7"/>
    <w:rsid w:val="003006B7"/>
    <w:rsid w:val="00301DE0"/>
    <w:rsid w:val="0030272F"/>
    <w:rsid w:val="00302DEC"/>
    <w:rsid w:val="00303107"/>
    <w:rsid w:val="003034CE"/>
    <w:rsid w:val="003036BA"/>
    <w:rsid w:val="003039FD"/>
    <w:rsid w:val="00303F95"/>
    <w:rsid w:val="003041F2"/>
    <w:rsid w:val="00304B38"/>
    <w:rsid w:val="00304FD4"/>
    <w:rsid w:val="00307228"/>
    <w:rsid w:val="00310966"/>
    <w:rsid w:val="00311643"/>
    <w:rsid w:val="00311B13"/>
    <w:rsid w:val="00311ECA"/>
    <w:rsid w:val="00312377"/>
    <w:rsid w:val="00312A2F"/>
    <w:rsid w:val="00312C02"/>
    <w:rsid w:val="003139C5"/>
    <w:rsid w:val="00313B03"/>
    <w:rsid w:val="003140FA"/>
    <w:rsid w:val="00314653"/>
    <w:rsid w:val="00314E5A"/>
    <w:rsid w:val="0031626B"/>
    <w:rsid w:val="003168BC"/>
    <w:rsid w:val="00316AF8"/>
    <w:rsid w:val="00317598"/>
    <w:rsid w:val="003176B1"/>
    <w:rsid w:val="00320102"/>
    <w:rsid w:val="003209CC"/>
    <w:rsid w:val="003210A2"/>
    <w:rsid w:val="0032159D"/>
    <w:rsid w:val="0032163C"/>
    <w:rsid w:val="0032168C"/>
    <w:rsid w:val="00321D5D"/>
    <w:rsid w:val="00321F1A"/>
    <w:rsid w:val="00321FB5"/>
    <w:rsid w:val="00322321"/>
    <w:rsid w:val="00323350"/>
    <w:rsid w:val="00323D23"/>
    <w:rsid w:val="003244A3"/>
    <w:rsid w:val="00325210"/>
    <w:rsid w:val="003254BC"/>
    <w:rsid w:val="003256DD"/>
    <w:rsid w:val="00325760"/>
    <w:rsid w:val="003259A4"/>
    <w:rsid w:val="00325EBC"/>
    <w:rsid w:val="00326457"/>
    <w:rsid w:val="00326A83"/>
    <w:rsid w:val="00327214"/>
    <w:rsid w:val="0032768A"/>
    <w:rsid w:val="00327AFA"/>
    <w:rsid w:val="00327B00"/>
    <w:rsid w:val="00330E33"/>
    <w:rsid w:val="00330F00"/>
    <w:rsid w:val="00331530"/>
    <w:rsid w:val="003315B6"/>
    <w:rsid w:val="00331B25"/>
    <w:rsid w:val="00331BB7"/>
    <w:rsid w:val="0033265F"/>
    <w:rsid w:val="00332D02"/>
    <w:rsid w:val="003337C1"/>
    <w:rsid w:val="00333F17"/>
    <w:rsid w:val="003341E1"/>
    <w:rsid w:val="00334F0E"/>
    <w:rsid w:val="003352BE"/>
    <w:rsid w:val="00335561"/>
    <w:rsid w:val="0033574F"/>
    <w:rsid w:val="00336036"/>
    <w:rsid w:val="00336EDA"/>
    <w:rsid w:val="003376D5"/>
    <w:rsid w:val="00337832"/>
    <w:rsid w:val="00340A99"/>
    <w:rsid w:val="00340B46"/>
    <w:rsid w:val="00340D0A"/>
    <w:rsid w:val="00341227"/>
    <w:rsid w:val="003414FE"/>
    <w:rsid w:val="00341E42"/>
    <w:rsid w:val="00341EE0"/>
    <w:rsid w:val="00341F0D"/>
    <w:rsid w:val="003429E9"/>
    <w:rsid w:val="00342B00"/>
    <w:rsid w:val="00343243"/>
    <w:rsid w:val="00343403"/>
    <w:rsid w:val="00343B7D"/>
    <w:rsid w:val="0034406F"/>
    <w:rsid w:val="003444AC"/>
    <w:rsid w:val="003444E5"/>
    <w:rsid w:val="0034465A"/>
    <w:rsid w:val="00345103"/>
    <w:rsid w:val="00345D65"/>
    <w:rsid w:val="00346709"/>
    <w:rsid w:val="00346AEF"/>
    <w:rsid w:val="00346D22"/>
    <w:rsid w:val="00346D26"/>
    <w:rsid w:val="003471EF"/>
    <w:rsid w:val="00350504"/>
    <w:rsid w:val="00350D24"/>
    <w:rsid w:val="00350EA6"/>
    <w:rsid w:val="00351276"/>
    <w:rsid w:val="00351B96"/>
    <w:rsid w:val="00351E67"/>
    <w:rsid w:val="00352392"/>
    <w:rsid w:val="00353930"/>
    <w:rsid w:val="00353E05"/>
    <w:rsid w:val="003547A1"/>
    <w:rsid w:val="0035620F"/>
    <w:rsid w:val="0035682A"/>
    <w:rsid w:val="003571D2"/>
    <w:rsid w:val="003571E7"/>
    <w:rsid w:val="00357635"/>
    <w:rsid w:val="00357870"/>
    <w:rsid w:val="003601AC"/>
    <w:rsid w:val="00360935"/>
    <w:rsid w:val="00361F6E"/>
    <w:rsid w:val="0036269F"/>
    <w:rsid w:val="00362E2E"/>
    <w:rsid w:val="00363C8C"/>
    <w:rsid w:val="00363ED2"/>
    <w:rsid w:val="00364968"/>
    <w:rsid w:val="00365C30"/>
    <w:rsid w:val="00366461"/>
    <w:rsid w:val="003664A3"/>
    <w:rsid w:val="00367936"/>
    <w:rsid w:val="003705DB"/>
    <w:rsid w:val="003709F3"/>
    <w:rsid w:val="00371565"/>
    <w:rsid w:val="00371A86"/>
    <w:rsid w:val="00372FCD"/>
    <w:rsid w:val="00373F7E"/>
    <w:rsid w:val="00374036"/>
    <w:rsid w:val="0037466D"/>
    <w:rsid w:val="003747EA"/>
    <w:rsid w:val="00375629"/>
    <w:rsid w:val="0037602C"/>
    <w:rsid w:val="00376390"/>
    <w:rsid w:val="00376532"/>
    <w:rsid w:val="00376D28"/>
    <w:rsid w:val="00377F1B"/>
    <w:rsid w:val="003803E4"/>
    <w:rsid w:val="00381A20"/>
    <w:rsid w:val="0038229A"/>
    <w:rsid w:val="00382B06"/>
    <w:rsid w:val="0038394F"/>
    <w:rsid w:val="00384376"/>
    <w:rsid w:val="0038557D"/>
    <w:rsid w:val="00385FA6"/>
    <w:rsid w:val="00385FEA"/>
    <w:rsid w:val="00386042"/>
    <w:rsid w:val="0038688B"/>
    <w:rsid w:val="00391779"/>
    <w:rsid w:val="00391AD9"/>
    <w:rsid w:val="00391B15"/>
    <w:rsid w:val="00392B5D"/>
    <w:rsid w:val="00393AEE"/>
    <w:rsid w:val="003944D2"/>
    <w:rsid w:val="00394FBF"/>
    <w:rsid w:val="00395562"/>
    <w:rsid w:val="003959A8"/>
    <w:rsid w:val="00396449"/>
    <w:rsid w:val="00396F7C"/>
    <w:rsid w:val="00397226"/>
    <w:rsid w:val="00397581"/>
    <w:rsid w:val="00397CA7"/>
    <w:rsid w:val="003A092C"/>
    <w:rsid w:val="003A09F5"/>
    <w:rsid w:val="003A0BF1"/>
    <w:rsid w:val="003A15F0"/>
    <w:rsid w:val="003A2288"/>
    <w:rsid w:val="003A22D4"/>
    <w:rsid w:val="003A27BE"/>
    <w:rsid w:val="003A2F93"/>
    <w:rsid w:val="003A338C"/>
    <w:rsid w:val="003A392B"/>
    <w:rsid w:val="003A402D"/>
    <w:rsid w:val="003A4589"/>
    <w:rsid w:val="003A4726"/>
    <w:rsid w:val="003A49F2"/>
    <w:rsid w:val="003A4A14"/>
    <w:rsid w:val="003A6122"/>
    <w:rsid w:val="003A65D8"/>
    <w:rsid w:val="003A75D8"/>
    <w:rsid w:val="003A7C23"/>
    <w:rsid w:val="003B0210"/>
    <w:rsid w:val="003B03D7"/>
    <w:rsid w:val="003B0EE7"/>
    <w:rsid w:val="003B1CC1"/>
    <w:rsid w:val="003B2F8D"/>
    <w:rsid w:val="003B30D8"/>
    <w:rsid w:val="003B53D2"/>
    <w:rsid w:val="003B5840"/>
    <w:rsid w:val="003B5C38"/>
    <w:rsid w:val="003B6884"/>
    <w:rsid w:val="003B6DE3"/>
    <w:rsid w:val="003B6FF3"/>
    <w:rsid w:val="003B7609"/>
    <w:rsid w:val="003C0677"/>
    <w:rsid w:val="003C0FAD"/>
    <w:rsid w:val="003C1FC5"/>
    <w:rsid w:val="003C233C"/>
    <w:rsid w:val="003C237A"/>
    <w:rsid w:val="003C2C1E"/>
    <w:rsid w:val="003C3334"/>
    <w:rsid w:val="003C3B58"/>
    <w:rsid w:val="003C3B8D"/>
    <w:rsid w:val="003C3C3B"/>
    <w:rsid w:val="003C40F6"/>
    <w:rsid w:val="003C558B"/>
    <w:rsid w:val="003C6967"/>
    <w:rsid w:val="003C7B63"/>
    <w:rsid w:val="003C7D84"/>
    <w:rsid w:val="003D00C1"/>
    <w:rsid w:val="003D0264"/>
    <w:rsid w:val="003D0CD1"/>
    <w:rsid w:val="003D117C"/>
    <w:rsid w:val="003D16D1"/>
    <w:rsid w:val="003D30C1"/>
    <w:rsid w:val="003D32B3"/>
    <w:rsid w:val="003D3569"/>
    <w:rsid w:val="003D3E00"/>
    <w:rsid w:val="003D42B4"/>
    <w:rsid w:val="003D4450"/>
    <w:rsid w:val="003D45DE"/>
    <w:rsid w:val="003D4BB1"/>
    <w:rsid w:val="003D4DE6"/>
    <w:rsid w:val="003D5D6C"/>
    <w:rsid w:val="003D618E"/>
    <w:rsid w:val="003D6230"/>
    <w:rsid w:val="003D6542"/>
    <w:rsid w:val="003D7BF8"/>
    <w:rsid w:val="003D7EB1"/>
    <w:rsid w:val="003E0214"/>
    <w:rsid w:val="003E024D"/>
    <w:rsid w:val="003E04B5"/>
    <w:rsid w:val="003E0F40"/>
    <w:rsid w:val="003E2257"/>
    <w:rsid w:val="003E359B"/>
    <w:rsid w:val="003E419F"/>
    <w:rsid w:val="003E639A"/>
    <w:rsid w:val="003E745E"/>
    <w:rsid w:val="003E7C47"/>
    <w:rsid w:val="003F030E"/>
    <w:rsid w:val="003F0624"/>
    <w:rsid w:val="003F1913"/>
    <w:rsid w:val="003F1C5F"/>
    <w:rsid w:val="003F31B1"/>
    <w:rsid w:val="003F335F"/>
    <w:rsid w:val="003F3714"/>
    <w:rsid w:val="003F4059"/>
    <w:rsid w:val="003F71B5"/>
    <w:rsid w:val="003F7F34"/>
    <w:rsid w:val="004000B2"/>
    <w:rsid w:val="004012A3"/>
    <w:rsid w:val="004013FB"/>
    <w:rsid w:val="0040162B"/>
    <w:rsid w:val="00401E4D"/>
    <w:rsid w:val="00403639"/>
    <w:rsid w:val="004037F8"/>
    <w:rsid w:val="00403D12"/>
    <w:rsid w:val="00403F14"/>
    <w:rsid w:val="004050A6"/>
    <w:rsid w:val="00405C0E"/>
    <w:rsid w:val="00406131"/>
    <w:rsid w:val="004061B0"/>
    <w:rsid w:val="004067AC"/>
    <w:rsid w:val="00407AA4"/>
    <w:rsid w:val="00410824"/>
    <w:rsid w:val="00410F45"/>
    <w:rsid w:val="0041134B"/>
    <w:rsid w:val="0041151E"/>
    <w:rsid w:val="004117FC"/>
    <w:rsid w:val="004130E2"/>
    <w:rsid w:val="0041329F"/>
    <w:rsid w:val="00413524"/>
    <w:rsid w:val="00413976"/>
    <w:rsid w:val="004148C6"/>
    <w:rsid w:val="004153D2"/>
    <w:rsid w:val="00416378"/>
    <w:rsid w:val="00416B27"/>
    <w:rsid w:val="00416BF2"/>
    <w:rsid w:val="00416F02"/>
    <w:rsid w:val="00417B64"/>
    <w:rsid w:val="00417F93"/>
    <w:rsid w:val="00420900"/>
    <w:rsid w:val="00421206"/>
    <w:rsid w:val="0042157F"/>
    <w:rsid w:val="00422202"/>
    <w:rsid w:val="00422394"/>
    <w:rsid w:val="004224C3"/>
    <w:rsid w:val="00423D38"/>
    <w:rsid w:val="004249F5"/>
    <w:rsid w:val="00424AC3"/>
    <w:rsid w:val="004250CB"/>
    <w:rsid w:val="0042522A"/>
    <w:rsid w:val="004252B0"/>
    <w:rsid w:val="00425C89"/>
    <w:rsid w:val="004265D2"/>
    <w:rsid w:val="00427BE7"/>
    <w:rsid w:val="00430002"/>
    <w:rsid w:val="0043060B"/>
    <w:rsid w:val="0043123A"/>
    <w:rsid w:val="0043136F"/>
    <w:rsid w:val="00431429"/>
    <w:rsid w:val="00431582"/>
    <w:rsid w:val="00431C55"/>
    <w:rsid w:val="00432D23"/>
    <w:rsid w:val="00433B1F"/>
    <w:rsid w:val="00433BD7"/>
    <w:rsid w:val="00433CE8"/>
    <w:rsid w:val="00433FCD"/>
    <w:rsid w:val="0043406F"/>
    <w:rsid w:val="004341BB"/>
    <w:rsid w:val="0043455E"/>
    <w:rsid w:val="004368AB"/>
    <w:rsid w:val="0043793E"/>
    <w:rsid w:val="00440100"/>
    <w:rsid w:val="00440FC2"/>
    <w:rsid w:val="0044158E"/>
    <w:rsid w:val="00441CBF"/>
    <w:rsid w:val="00442D68"/>
    <w:rsid w:val="00442DBE"/>
    <w:rsid w:val="0044371E"/>
    <w:rsid w:val="004437C3"/>
    <w:rsid w:val="00443EA1"/>
    <w:rsid w:val="004441B7"/>
    <w:rsid w:val="0044581F"/>
    <w:rsid w:val="00446716"/>
    <w:rsid w:val="00446BBE"/>
    <w:rsid w:val="00447C6B"/>
    <w:rsid w:val="0045138F"/>
    <w:rsid w:val="00451931"/>
    <w:rsid w:val="004525FE"/>
    <w:rsid w:val="00452BAB"/>
    <w:rsid w:val="00452FC6"/>
    <w:rsid w:val="00453160"/>
    <w:rsid w:val="00453AD2"/>
    <w:rsid w:val="00454BFC"/>
    <w:rsid w:val="00455AA4"/>
    <w:rsid w:val="00455BE2"/>
    <w:rsid w:val="004572CE"/>
    <w:rsid w:val="00457989"/>
    <w:rsid w:val="00457C2C"/>
    <w:rsid w:val="00461495"/>
    <w:rsid w:val="00461E71"/>
    <w:rsid w:val="0046205D"/>
    <w:rsid w:val="0046209C"/>
    <w:rsid w:val="0046250A"/>
    <w:rsid w:val="00462E37"/>
    <w:rsid w:val="00463242"/>
    <w:rsid w:val="00463E1A"/>
    <w:rsid w:val="0046464A"/>
    <w:rsid w:val="00464F2B"/>
    <w:rsid w:val="004655D5"/>
    <w:rsid w:val="0046562C"/>
    <w:rsid w:val="00465FC0"/>
    <w:rsid w:val="004666F5"/>
    <w:rsid w:val="00467406"/>
    <w:rsid w:val="004678BC"/>
    <w:rsid w:val="00470789"/>
    <w:rsid w:val="0047079B"/>
    <w:rsid w:val="00471811"/>
    <w:rsid w:val="004727E5"/>
    <w:rsid w:val="004729E1"/>
    <w:rsid w:val="004730F6"/>
    <w:rsid w:val="00473355"/>
    <w:rsid w:val="00473B0C"/>
    <w:rsid w:val="00474214"/>
    <w:rsid w:val="00474270"/>
    <w:rsid w:val="004763C8"/>
    <w:rsid w:val="00476406"/>
    <w:rsid w:val="00476BF3"/>
    <w:rsid w:val="00476C7B"/>
    <w:rsid w:val="00476FB4"/>
    <w:rsid w:val="00477260"/>
    <w:rsid w:val="00477970"/>
    <w:rsid w:val="00477FA6"/>
    <w:rsid w:val="004801C6"/>
    <w:rsid w:val="004803A3"/>
    <w:rsid w:val="00480ACF"/>
    <w:rsid w:val="0048196C"/>
    <w:rsid w:val="0048265B"/>
    <w:rsid w:val="004827C0"/>
    <w:rsid w:val="00483863"/>
    <w:rsid w:val="004838BB"/>
    <w:rsid w:val="00483A89"/>
    <w:rsid w:val="00483DA7"/>
    <w:rsid w:val="00483FDE"/>
    <w:rsid w:val="0048469C"/>
    <w:rsid w:val="004859D7"/>
    <w:rsid w:val="00485E0D"/>
    <w:rsid w:val="00486779"/>
    <w:rsid w:val="00486AEB"/>
    <w:rsid w:val="00487406"/>
    <w:rsid w:val="00491D84"/>
    <w:rsid w:val="004921C3"/>
    <w:rsid w:val="00492C7A"/>
    <w:rsid w:val="00493018"/>
    <w:rsid w:val="0049390D"/>
    <w:rsid w:val="00493943"/>
    <w:rsid w:val="004942C8"/>
    <w:rsid w:val="0049550D"/>
    <w:rsid w:val="00495622"/>
    <w:rsid w:val="00496BBD"/>
    <w:rsid w:val="00496EE4"/>
    <w:rsid w:val="00497C02"/>
    <w:rsid w:val="00497E3B"/>
    <w:rsid w:val="004A0A7A"/>
    <w:rsid w:val="004A1E07"/>
    <w:rsid w:val="004A2232"/>
    <w:rsid w:val="004A2427"/>
    <w:rsid w:val="004A2745"/>
    <w:rsid w:val="004A2BE1"/>
    <w:rsid w:val="004A3B77"/>
    <w:rsid w:val="004A3C7A"/>
    <w:rsid w:val="004A4860"/>
    <w:rsid w:val="004A4EC2"/>
    <w:rsid w:val="004A570D"/>
    <w:rsid w:val="004A6621"/>
    <w:rsid w:val="004A6B9A"/>
    <w:rsid w:val="004A6DAC"/>
    <w:rsid w:val="004A725C"/>
    <w:rsid w:val="004A77D6"/>
    <w:rsid w:val="004B0A74"/>
    <w:rsid w:val="004B0A9B"/>
    <w:rsid w:val="004B0DB9"/>
    <w:rsid w:val="004B1124"/>
    <w:rsid w:val="004B120C"/>
    <w:rsid w:val="004B14DA"/>
    <w:rsid w:val="004B17A5"/>
    <w:rsid w:val="004B17EA"/>
    <w:rsid w:val="004B1C1E"/>
    <w:rsid w:val="004B1E3D"/>
    <w:rsid w:val="004B3511"/>
    <w:rsid w:val="004B423A"/>
    <w:rsid w:val="004B4338"/>
    <w:rsid w:val="004B44BD"/>
    <w:rsid w:val="004B4CFF"/>
    <w:rsid w:val="004B4E2F"/>
    <w:rsid w:val="004B64B9"/>
    <w:rsid w:val="004B6B9D"/>
    <w:rsid w:val="004B71FF"/>
    <w:rsid w:val="004B76CB"/>
    <w:rsid w:val="004B77AE"/>
    <w:rsid w:val="004B7D86"/>
    <w:rsid w:val="004B7EA0"/>
    <w:rsid w:val="004C15B5"/>
    <w:rsid w:val="004C24A2"/>
    <w:rsid w:val="004C2D88"/>
    <w:rsid w:val="004C2D90"/>
    <w:rsid w:val="004C32C0"/>
    <w:rsid w:val="004C3F06"/>
    <w:rsid w:val="004C42A1"/>
    <w:rsid w:val="004C49C5"/>
    <w:rsid w:val="004C5079"/>
    <w:rsid w:val="004C517C"/>
    <w:rsid w:val="004C5E4C"/>
    <w:rsid w:val="004C60EB"/>
    <w:rsid w:val="004C6349"/>
    <w:rsid w:val="004C745E"/>
    <w:rsid w:val="004C754A"/>
    <w:rsid w:val="004C7C93"/>
    <w:rsid w:val="004D11BA"/>
    <w:rsid w:val="004D17FB"/>
    <w:rsid w:val="004D1C45"/>
    <w:rsid w:val="004D1CEB"/>
    <w:rsid w:val="004D20BA"/>
    <w:rsid w:val="004D2522"/>
    <w:rsid w:val="004D3008"/>
    <w:rsid w:val="004D3021"/>
    <w:rsid w:val="004D36A4"/>
    <w:rsid w:val="004D493B"/>
    <w:rsid w:val="004D4A24"/>
    <w:rsid w:val="004D51F0"/>
    <w:rsid w:val="004D61E7"/>
    <w:rsid w:val="004D7A9C"/>
    <w:rsid w:val="004D7B04"/>
    <w:rsid w:val="004D7BC2"/>
    <w:rsid w:val="004D7E39"/>
    <w:rsid w:val="004E01B5"/>
    <w:rsid w:val="004E0B43"/>
    <w:rsid w:val="004E0C00"/>
    <w:rsid w:val="004E0E9B"/>
    <w:rsid w:val="004E149F"/>
    <w:rsid w:val="004E181A"/>
    <w:rsid w:val="004E195E"/>
    <w:rsid w:val="004E215E"/>
    <w:rsid w:val="004E2701"/>
    <w:rsid w:val="004E2A34"/>
    <w:rsid w:val="004E2D62"/>
    <w:rsid w:val="004E448E"/>
    <w:rsid w:val="004E50C9"/>
    <w:rsid w:val="004E5625"/>
    <w:rsid w:val="004E6079"/>
    <w:rsid w:val="004E6718"/>
    <w:rsid w:val="004F1241"/>
    <w:rsid w:val="004F1DF4"/>
    <w:rsid w:val="004F2E36"/>
    <w:rsid w:val="004F36C9"/>
    <w:rsid w:val="004F38A1"/>
    <w:rsid w:val="004F415B"/>
    <w:rsid w:val="004F49EB"/>
    <w:rsid w:val="004F5778"/>
    <w:rsid w:val="004F5853"/>
    <w:rsid w:val="004F5E73"/>
    <w:rsid w:val="004F68F6"/>
    <w:rsid w:val="004F6974"/>
    <w:rsid w:val="004F7047"/>
    <w:rsid w:val="00500226"/>
    <w:rsid w:val="0050029A"/>
    <w:rsid w:val="00501D3E"/>
    <w:rsid w:val="00501EE7"/>
    <w:rsid w:val="005020D8"/>
    <w:rsid w:val="0050234F"/>
    <w:rsid w:val="0050253D"/>
    <w:rsid w:val="00503611"/>
    <w:rsid w:val="005037F8"/>
    <w:rsid w:val="00504DFB"/>
    <w:rsid w:val="005057AD"/>
    <w:rsid w:val="005058AF"/>
    <w:rsid w:val="00505FA4"/>
    <w:rsid w:val="005062AE"/>
    <w:rsid w:val="005063C7"/>
    <w:rsid w:val="00506489"/>
    <w:rsid w:val="005068CA"/>
    <w:rsid w:val="0050701C"/>
    <w:rsid w:val="0050754F"/>
    <w:rsid w:val="0050796E"/>
    <w:rsid w:val="0051025A"/>
    <w:rsid w:val="00510FB4"/>
    <w:rsid w:val="00511130"/>
    <w:rsid w:val="00513334"/>
    <w:rsid w:val="00513391"/>
    <w:rsid w:val="00513E85"/>
    <w:rsid w:val="00514349"/>
    <w:rsid w:val="005143A8"/>
    <w:rsid w:val="005144D9"/>
    <w:rsid w:val="00515806"/>
    <w:rsid w:val="005158BE"/>
    <w:rsid w:val="005162A5"/>
    <w:rsid w:val="00516FC6"/>
    <w:rsid w:val="005205A8"/>
    <w:rsid w:val="005207C6"/>
    <w:rsid w:val="0052164C"/>
    <w:rsid w:val="00522D5F"/>
    <w:rsid w:val="00526115"/>
    <w:rsid w:val="005268FF"/>
    <w:rsid w:val="00526A6E"/>
    <w:rsid w:val="00526D8E"/>
    <w:rsid w:val="00527915"/>
    <w:rsid w:val="00530CE7"/>
    <w:rsid w:val="00531C64"/>
    <w:rsid w:val="00532358"/>
    <w:rsid w:val="00533377"/>
    <w:rsid w:val="00534A83"/>
    <w:rsid w:val="00535947"/>
    <w:rsid w:val="0053667B"/>
    <w:rsid w:val="0053674C"/>
    <w:rsid w:val="00536B5D"/>
    <w:rsid w:val="00536EEC"/>
    <w:rsid w:val="00537CDE"/>
    <w:rsid w:val="0054003F"/>
    <w:rsid w:val="00540AE5"/>
    <w:rsid w:val="00540DD7"/>
    <w:rsid w:val="00540FA8"/>
    <w:rsid w:val="005415B9"/>
    <w:rsid w:val="00541B4A"/>
    <w:rsid w:val="00541E9E"/>
    <w:rsid w:val="0054200A"/>
    <w:rsid w:val="005421FF"/>
    <w:rsid w:val="00542AFA"/>
    <w:rsid w:val="00542FD3"/>
    <w:rsid w:val="00543325"/>
    <w:rsid w:val="0054384C"/>
    <w:rsid w:val="00543C7D"/>
    <w:rsid w:val="0054464B"/>
    <w:rsid w:val="00544909"/>
    <w:rsid w:val="00545705"/>
    <w:rsid w:val="00545716"/>
    <w:rsid w:val="005464D2"/>
    <w:rsid w:val="00546E46"/>
    <w:rsid w:val="00551FA0"/>
    <w:rsid w:val="00553B77"/>
    <w:rsid w:val="00554CC1"/>
    <w:rsid w:val="00554FD3"/>
    <w:rsid w:val="00555EDD"/>
    <w:rsid w:val="005561D4"/>
    <w:rsid w:val="00556CB9"/>
    <w:rsid w:val="0055724C"/>
    <w:rsid w:val="005574F4"/>
    <w:rsid w:val="00557A29"/>
    <w:rsid w:val="00557F94"/>
    <w:rsid w:val="00560201"/>
    <w:rsid w:val="00560F8C"/>
    <w:rsid w:val="0056146C"/>
    <w:rsid w:val="00561D40"/>
    <w:rsid w:val="005624AB"/>
    <w:rsid w:val="00562934"/>
    <w:rsid w:val="00562AC1"/>
    <w:rsid w:val="00562B73"/>
    <w:rsid w:val="005631D6"/>
    <w:rsid w:val="0056345A"/>
    <w:rsid w:val="00563A4F"/>
    <w:rsid w:val="0056414B"/>
    <w:rsid w:val="005647A5"/>
    <w:rsid w:val="005649DD"/>
    <w:rsid w:val="005650F7"/>
    <w:rsid w:val="0056580F"/>
    <w:rsid w:val="00565E36"/>
    <w:rsid w:val="00565F47"/>
    <w:rsid w:val="00566B9F"/>
    <w:rsid w:val="00567959"/>
    <w:rsid w:val="00567FB3"/>
    <w:rsid w:val="0057020D"/>
    <w:rsid w:val="0057130F"/>
    <w:rsid w:val="005720B7"/>
    <w:rsid w:val="0057270E"/>
    <w:rsid w:val="00575323"/>
    <w:rsid w:val="005754F7"/>
    <w:rsid w:val="0057586E"/>
    <w:rsid w:val="00575994"/>
    <w:rsid w:val="00575ACC"/>
    <w:rsid w:val="00580151"/>
    <w:rsid w:val="00580A89"/>
    <w:rsid w:val="00582262"/>
    <w:rsid w:val="005828A0"/>
    <w:rsid w:val="0058342F"/>
    <w:rsid w:val="00583593"/>
    <w:rsid w:val="005841C2"/>
    <w:rsid w:val="00584A3F"/>
    <w:rsid w:val="005857F6"/>
    <w:rsid w:val="005865A5"/>
    <w:rsid w:val="0058695F"/>
    <w:rsid w:val="00587309"/>
    <w:rsid w:val="00587409"/>
    <w:rsid w:val="00587842"/>
    <w:rsid w:val="005879E4"/>
    <w:rsid w:val="00587BB8"/>
    <w:rsid w:val="005901E6"/>
    <w:rsid w:val="00590466"/>
    <w:rsid w:val="00591361"/>
    <w:rsid w:val="0059147B"/>
    <w:rsid w:val="005914A0"/>
    <w:rsid w:val="005916EA"/>
    <w:rsid w:val="00591DC3"/>
    <w:rsid w:val="00591F4E"/>
    <w:rsid w:val="005922EA"/>
    <w:rsid w:val="00592357"/>
    <w:rsid w:val="00592D19"/>
    <w:rsid w:val="00593057"/>
    <w:rsid w:val="00593183"/>
    <w:rsid w:val="00593485"/>
    <w:rsid w:val="0059431E"/>
    <w:rsid w:val="00594D51"/>
    <w:rsid w:val="00595CE2"/>
    <w:rsid w:val="00597F0E"/>
    <w:rsid w:val="00597F2D"/>
    <w:rsid w:val="005A03B9"/>
    <w:rsid w:val="005A11F7"/>
    <w:rsid w:val="005A1754"/>
    <w:rsid w:val="005A25ED"/>
    <w:rsid w:val="005A29C6"/>
    <w:rsid w:val="005A2EE0"/>
    <w:rsid w:val="005A3016"/>
    <w:rsid w:val="005A3124"/>
    <w:rsid w:val="005A34F0"/>
    <w:rsid w:val="005A4876"/>
    <w:rsid w:val="005A4C26"/>
    <w:rsid w:val="005A50B0"/>
    <w:rsid w:val="005A6103"/>
    <w:rsid w:val="005A6F59"/>
    <w:rsid w:val="005B0B37"/>
    <w:rsid w:val="005B0CD0"/>
    <w:rsid w:val="005B24FA"/>
    <w:rsid w:val="005B279B"/>
    <w:rsid w:val="005B2F47"/>
    <w:rsid w:val="005B3243"/>
    <w:rsid w:val="005B328C"/>
    <w:rsid w:val="005B32E5"/>
    <w:rsid w:val="005B3572"/>
    <w:rsid w:val="005B3E0F"/>
    <w:rsid w:val="005B41A9"/>
    <w:rsid w:val="005B4E91"/>
    <w:rsid w:val="005B54F7"/>
    <w:rsid w:val="005B5934"/>
    <w:rsid w:val="005B6AE9"/>
    <w:rsid w:val="005B7D5B"/>
    <w:rsid w:val="005C03D6"/>
    <w:rsid w:val="005C1D31"/>
    <w:rsid w:val="005C30FC"/>
    <w:rsid w:val="005C3778"/>
    <w:rsid w:val="005C5F7C"/>
    <w:rsid w:val="005C605C"/>
    <w:rsid w:val="005C6F68"/>
    <w:rsid w:val="005C7064"/>
    <w:rsid w:val="005C706F"/>
    <w:rsid w:val="005C764E"/>
    <w:rsid w:val="005C7CE2"/>
    <w:rsid w:val="005D0B60"/>
    <w:rsid w:val="005D1596"/>
    <w:rsid w:val="005D2279"/>
    <w:rsid w:val="005D32D8"/>
    <w:rsid w:val="005D3CBE"/>
    <w:rsid w:val="005D3D0C"/>
    <w:rsid w:val="005D4335"/>
    <w:rsid w:val="005D47B4"/>
    <w:rsid w:val="005D6CA2"/>
    <w:rsid w:val="005D7548"/>
    <w:rsid w:val="005D75C7"/>
    <w:rsid w:val="005D77EC"/>
    <w:rsid w:val="005D797B"/>
    <w:rsid w:val="005E00DA"/>
    <w:rsid w:val="005E01F4"/>
    <w:rsid w:val="005E0C75"/>
    <w:rsid w:val="005E11D7"/>
    <w:rsid w:val="005E1820"/>
    <w:rsid w:val="005E1FA8"/>
    <w:rsid w:val="005E2B39"/>
    <w:rsid w:val="005E3B29"/>
    <w:rsid w:val="005E40A4"/>
    <w:rsid w:val="005E45D7"/>
    <w:rsid w:val="005E501D"/>
    <w:rsid w:val="005E533B"/>
    <w:rsid w:val="005E5454"/>
    <w:rsid w:val="005E5A9C"/>
    <w:rsid w:val="005E630A"/>
    <w:rsid w:val="005E6C10"/>
    <w:rsid w:val="005E6CF4"/>
    <w:rsid w:val="005F14DC"/>
    <w:rsid w:val="005F1974"/>
    <w:rsid w:val="005F1F27"/>
    <w:rsid w:val="005F201F"/>
    <w:rsid w:val="005F238E"/>
    <w:rsid w:val="005F2B40"/>
    <w:rsid w:val="005F2CF1"/>
    <w:rsid w:val="005F304A"/>
    <w:rsid w:val="005F3F26"/>
    <w:rsid w:val="005F570A"/>
    <w:rsid w:val="005F5807"/>
    <w:rsid w:val="005F6C8F"/>
    <w:rsid w:val="00600207"/>
    <w:rsid w:val="00600337"/>
    <w:rsid w:val="006005E9"/>
    <w:rsid w:val="00600F84"/>
    <w:rsid w:val="00601A37"/>
    <w:rsid w:val="00601FF2"/>
    <w:rsid w:val="00602F81"/>
    <w:rsid w:val="006037CD"/>
    <w:rsid w:val="006044B2"/>
    <w:rsid w:val="006046B3"/>
    <w:rsid w:val="006048CD"/>
    <w:rsid w:val="00604DA8"/>
    <w:rsid w:val="0060500B"/>
    <w:rsid w:val="00605487"/>
    <w:rsid w:val="006055E9"/>
    <w:rsid w:val="00605C98"/>
    <w:rsid w:val="00606F64"/>
    <w:rsid w:val="006070C6"/>
    <w:rsid w:val="006075D5"/>
    <w:rsid w:val="00607B23"/>
    <w:rsid w:val="0061019B"/>
    <w:rsid w:val="00610528"/>
    <w:rsid w:val="00610D2B"/>
    <w:rsid w:val="00612132"/>
    <w:rsid w:val="00612CF9"/>
    <w:rsid w:val="0061378A"/>
    <w:rsid w:val="00613903"/>
    <w:rsid w:val="00613E20"/>
    <w:rsid w:val="00614263"/>
    <w:rsid w:val="006149BF"/>
    <w:rsid w:val="00614BDA"/>
    <w:rsid w:val="00615B83"/>
    <w:rsid w:val="00616C80"/>
    <w:rsid w:val="00617198"/>
    <w:rsid w:val="0061784B"/>
    <w:rsid w:val="00617912"/>
    <w:rsid w:val="00617E17"/>
    <w:rsid w:val="00620FE3"/>
    <w:rsid w:val="0062114A"/>
    <w:rsid w:val="006212F6"/>
    <w:rsid w:val="0062144E"/>
    <w:rsid w:val="00621F3B"/>
    <w:rsid w:val="006220EA"/>
    <w:rsid w:val="00623293"/>
    <w:rsid w:val="00623752"/>
    <w:rsid w:val="00623A9B"/>
    <w:rsid w:val="0062430D"/>
    <w:rsid w:val="00624662"/>
    <w:rsid w:val="0062488F"/>
    <w:rsid w:val="00625C37"/>
    <w:rsid w:val="00626F2E"/>
    <w:rsid w:val="00627214"/>
    <w:rsid w:val="006279AB"/>
    <w:rsid w:val="0063015C"/>
    <w:rsid w:val="00630B9F"/>
    <w:rsid w:val="006317C6"/>
    <w:rsid w:val="00632173"/>
    <w:rsid w:val="00632442"/>
    <w:rsid w:val="006325BD"/>
    <w:rsid w:val="00633523"/>
    <w:rsid w:val="00633C1C"/>
    <w:rsid w:val="0063471F"/>
    <w:rsid w:val="00634FE9"/>
    <w:rsid w:val="006355B6"/>
    <w:rsid w:val="00635764"/>
    <w:rsid w:val="00635F85"/>
    <w:rsid w:val="00636CC9"/>
    <w:rsid w:val="006372FF"/>
    <w:rsid w:val="0063780A"/>
    <w:rsid w:val="00637CE0"/>
    <w:rsid w:val="006415F6"/>
    <w:rsid w:val="006416BA"/>
    <w:rsid w:val="00641F8F"/>
    <w:rsid w:val="00642842"/>
    <w:rsid w:val="00642BA2"/>
    <w:rsid w:val="00642F05"/>
    <w:rsid w:val="006434C3"/>
    <w:rsid w:val="00643C45"/>
    <w:rsid w:val="006448CF"/>
    <w:rsid w:val="00646277"/>
    <w:rsid w:val="00646B94"/>
    <w:rsid w:val="00647062"/>
    <w:rsid w:val="0064745E"/>
    <w:rsid w:val="00647744"/>
    <w:rsid w:val="00650A42"/>
    <w:rsid w:val="00651B46"/>
    <w:rsid w:val="00651E39"/>
    <w:rsid w:val="00652E41"/>
    <w:rsid w:val="006537E2"/>
    <w:rsid w:val="00654793"/>
    <w:rsid w:val="006549F8"/>
    <w:rsid w:val="00654F69"/>
    <w:rsid w:val="00655D59"/>
    <w:rsid w:val="00655FEF"/>
    <w:rsid w:val="006561E1"/>
    <w:rsid w:val="006562E2"/>
    <w:rsid w:val="0065634E"/>
    <w:rsid w:val="006567F2"/>
    <w:rsid w:val="00656A0E"/>
    <w:rsid w:val="00657F21"/>
    <w:rsid w:val="00660A82"/>
    <w:rsid w:val="00660C27"/>
    <w:rsid w:val="00661000"/>
    <w:rsid w:val="00662349"/>
    <w:rsid w:val="006631C1"/>
    <w:rsid w:val="0066381C"/>
    <w:rsid w:val="00664618"/>
    <w:rsid w:val="00664E27"/>
    <w:rsid w:val="0066588B"/>
    <w:rsid w:val="00665979"/>
    <w:rsid w:val="00665ADD"/>
    <w:rsid w:val="006663C9"/>
    <w:rsid w:val="006663D1"/>
    <w:rsid w:val="0066751D"/>
    <w:rsid w:val="00667756"/>
    <w:rsid w:val="006678D3"/>
    <w:rsid w:val="006679B6"/>
    <w:rsid w:val="006701AB"/>
    <w:rsid w:val="00670BD5"/>
    <w:rsid w:val="00670EF4"/>
    <w:rsid w:val="0067101E"/>
    <w:rsid w:val="00671E30"/>
    <w:rsid w:val="00672777"/>
    <w:rsid w:val="00674307"/>
    <w:rsid w:val="006747DD"/>
    <w:rsid w:val="00675B9A"/>
    <w:rsid w:val="00675E19"/>
    <w:rsid w:val="00675F2E"/>
    <w:rsid w:val="006766E4"/>
    <w:rsid w:val="0067716D"/>
    <w:rsid w:val="006774A6"/>
    <w:rsid w:val="00677639"/>
    <w:rsid w:val="00677C02"/>
    <w:rsid w:val="00680362"/>
    <w:rsid w:val="0068059D"/>
    <w:rsid w:val="006806F3"/>
    <w:rsid w:val="00680B5C"/>
    <w:rsid w:val="0068157A"/>
    <w:rsid w:val="00681CBD"/>
    <w:rsid w:val="006825D2"/>
    <w:rsid w:val="00682C16"/>
    <w:rsid w:val="00682FBD"/>
    <w:rsid w:val="006836DD"/>
    <w:rsid w:val="00683E47"/>
    <w:rsid w:val="00683F34"/>
    <w:rsid w:val="00683FDD"/>
    <w:rsid w:val="006842C8"/>
    <w:rsid w:val="0068476B"/>
    <w:rsid w:val="00684FF3"/>
    <w:rsid w:val="0068568E"/>
    <w:rsid w:val="0068594C"/>
    <w:rsid w:val="006865A7"/>
    <w:rsid w:val="006874B8"/>
    <w:rsid w:val="00687D7F"/>
    <w:rsid w:val="0069045C"/>
    <w:rsid w:val="006914B7"/>
    <w:rsid w:val="00691942"/>
    <w:rsid w:val="00691E79"/>
    <w:rsid w:val="00692668"/>
    <w:rsid w:val="006931CD"/>
    <w:rsid w:val="006941C6"/>
    <w:rsid w:val="00694AD9"/>
    <w:rsid w:val="00695E9F"/>
    <w:rsid w:val="0069764E"/>
    <w:rsid w:val="00697E6E"/>
    <w:rsid w:val="006A0D72"/>
    <w:rsid w:val="006A10B9"/>
    <w:rsid w:val="006A15A9"/>
    <w:rsid w:val="006A1B99"/>
    <w:rsid w:val="006A1E7C"/>
    <w:rsid w:val="006A470F"/>
    <w:rsid w:val="006A4A73"/>
    <w:rsid w:val="006A5261"/>
    <w:rsid w:val="006A534F"/>
    <w:rsid w:val="006A5B26"/>
    <w:rsid w:val="006A5BF2"/>
    <w:rsid w:val="006A68CD"/>
    <w:rsid w:val="006A74BB"/>
    <w:rsid w:val="006A7DD3"/>
    <w:rsid w:val="006B1DB8"/>
    <w:rsid w:val="006B2962"/>
    <w:rsid w:val="006B3B5F"/>
    <w:rsid w:val="006B4240"/>
    <w:rsid w:val="006B43F9"/>
    <w:rsid w:val="006B5367"/>
    <w:rsid w:val="006B5500"/>
    <w:rsid w:val="006B58EE"/>
    <w:rsid w:val="006B596C"/>
    <w:rsid w:val="006B64C0"/>
    <w:rsid w:val="006B6540"/>
    <w:rsid w:val="006B6F2A"/>
    <w:rsid w:val="006B7426"/>
    <w:rsid w:val="006C16E0"/>
    <w:rsid w:val="006C1FDA"/>
    <w:rsid w:val="006C2B8B"/>
    <w:rsid w:val="006C318C"/>
    <w:rsid w:val="006C4054"/>
    <w:rsid w:val="006C4374"/>
    <w:rsid w:val="006C464B"/>
    <w:rsid w:val="006C47F2"/>
    <w:rsid w:val="006C4A17"/>
    <w:rsid w:val="006C5135"/>
    <w:rsid w:val="006C55C7"/>
    <w:rsid w:val="006C56BA"/>
    <w:rsid w:val="006C69C1"/>
    <w:rsid w:val="006C7B31"/>
    <w:rsid w:val="006C7B7E"/>
    <w:rsid w:val="006D1547"/>
    <w:rsid w:val="006D1939"/>
    <w:rsid w:val="006D195E"/>
    <w:rsid w:val="006D2606"/>
    <w:rsid w:val="006D2DDE"/>
    <w:rsid w:val="006D2E96"/>
    <w:rsid w:val="006D3EC2"/>
    <w:rsid w:val="006D4CCA"/>
    <w:rsid w:val="006D4DBF"/>
    <w:rsid w:val="006D5135"/>
    <w:rsid w:val="006D5148"/>
    <w:rsid w:val="006D5DBA"/>
    <w:rsid w:val="006D67F1"/>
    <w:rsid w:val="006E0171"/>
    <w:rsid w:val="006E0C69"/>
    <w:rsid w:val="006E2E2A"/>
    <w:rsid w:val="006E2FB1"/>
    <w:rsid w:val="006E3320"/>
    <w:rsid w:val="006E363F"/>
    <w:rsid w:val="006E379A"/>
    <w:rsid w:val="006E3842"/>
    <w:rsid w:val="006E3EC6"/>
    <w:rsid w:val="006E4D0C"/>
    <w:rsid w:val="006E5168"/>
    <w:rsid w:val="006E5D19"/>
    <w:rsid w:val="006E67B4"/>
    <w:rsid w:val="006E77C3"/>
    <w:rsid w:val="006E7E23"/>
    <w:rsid w:val="006F0E95"/>
    <w:rsid w:val="006F160C"/>
    <w:rsid w:val="006F1A2A"/>
    <w:rsid w:val="006F20EF"/>
    <w:rsid w:val="006F2558"/>
    <w:rsid w:val="006F315A"/>
    <w:rsid w:val="006F3B31"/>
    <w:rsid w:val="006F42A5"/>
    <w:rsid w:val="006F4666"/>
    <w:rsid w:val="006F5127"/>
    <w:rsid w:val="006F59FB"/>
    <w:rsid w:val="006F628A"/>
    <w:rsid w:val="006F63C2"/>
    <w:rsid w:val="006F67BE"/>
    <w:rsid w:val="006F6D5C"/>
    <w:rsid w:val="006F70EF"/>
    <w:rsid w:val="006F736A"/>
    <w:rsid w:val="006F744A"/>
    <w:rsid w:val="006F771D"/>
    <w:rsid w:val="006F7AAC"/>
    <w:rsid w:val="006F7C84"/>
    <w:rsid w:val="006F7CDF"/>
    <w:rsid w:val="006F7E7D"/>
    <w:rsid w:val="00700CAA"/>
    <w:rsid w:val="00700EF1"/>
    <w:rsid w:val="00701117"/>
    <w:rsid w:val="007013B8"/>
    <w:rsid w:val="007014C1"/>
    <w:rsid w:val="0070154A"/>
    <w:rsid w:val="00701612"/>
    <w:rsid w:val="00701E1A"/>
    <w:rsid w:val="0070320F"/>
    <w:rsid w:val="00703AD5"/>
    <w:rsid w:val="00703FA8"/>
    <w:rsid w:val="00704B16"/>
    <w:rsid w:val="007050E6"/>
    <w:rsid w:val="007067F6"/>
    <w:rsid w:val="00706A42"/>
    <w:rsid w:val="00706BAA"/>
    <w:rsid w:val="0070729E"/>
    <w:rsid w:val="00711310"/>
    <w:rsid w:val="00711EB4"/>
    <w:rsid w:val="0071272B"/>
    <w:rsid w:val="007128DB"/>
    <w:rsid w:val="00712B98"/>
    <w:rsid w:val="00712C68"/>
    <w:rsid w:val="007130D4"/>
    <w:rsid w:val="00713664"/>
    <w:rsid w:val="00715241"/>
    <w:rsid w:val="007160E1"/>
    <w:rsid w:val="00716203"/>
    <w:rsid w:val="00716595"/>
    <w:rsid w:val="00716AD5"/>
    <w:rsid w:val="0071724D"/>
    <w:rsid w:val="0072152E"/>
    <w:rsid w:val="0072168F"/>
    <w:rsid w:val="00722500"/>
    <w:rsid w:val="00722998"/>
    <w:rsid w:val="00722B2E"/>
    <w:rsid w:val="007236E8"/>
    <w:rsid w:val="00723858"/>
    <w:rsid w:val="00723EA3"/>
    <w:rsid w:val="0072403F"/>
    <w:rsid w:val="0072485A"/>
    <w:rsid w:val="00724F18"/>
    <w:rsid w:val="00727227"/>
    <w:rsid w:val="00727939"/>
    <w:rsid w:val="00730408"/>
    <w:rsid w:val="007309BE"/>
    <w:rsid w:val="007314C9"/>
    <w:rsid w:val="007315D9"/>
    <w:rsid w:val="00732070"/>
    <w:rsid w:val="00733DC7"/>
    <w:rsid w:val="00733F9C"/>
    <w:rsid w:val="00734298"/>
    <w:rsid w:val="00734D71"/>
    <w:rsid w:val="00735089"/>
    <w:rsid w:val="007356C6"/>
    <w:rsid w:val="0073587E"/>
    <w:rsid w:val="0073644A"/>
    <w:rsid w:val="00736664"/>
    <w:rsid w:val="00737851"/>
    <w:rsid w:val="00737C66"/>
    <w:rsid w:val="007409CC"/>
    <w:rsid w:val="00740E53"/>
    <w:rsid w:val="0074157F"/>
    <w:rsid w:val="007422B2"/>
    <w:rsid w:val="00742783"/>
    <w:rsid w:val="007430B8"/>
    <w:rsid w:val="007447E9"/>
    <w:rsid w:val="00745378"/>
    <w:rsid w:val="00745911"/>
    <w:rsid w:val="00745C6C"/>
    <w:rsid w:val="0074622E"/>
    <w:rsid w:val="00746834"/>
    <w:rsid w:val="00746FF4"/>
    <w:rsid w:val="00747452"/>
    <w:rsid w:val="00747CD2"/>
    <w:rsid w:val="00750309"/>
    <w:rsid w:val="0075128B"/>
    <w:rsid w:val="00751551"/>
    <w:rsid w:val="0075199F"/>
    <w:rsid w:val="00752004"/>
    <w:rsid w:val="007525C3"/>
    <w:rsid w:val="00753240"/>
    <w:rsid w:val="007537DD"/>
    <w:rsid w:val="00754087"/>
    <w:rsid w:val="00754AD6"/>
    <w:rsid w:val="00755138"/>
    <w:rsid w:val="0075668E"/>
    <w:rsid w:val="00756809"/>
    <w:rsid w:val="007578E3"/>
    <w:rsid w:val="007579EF"/>
    <w:rsid w:val="007579FE"/>
    <w:rsid w:val="00760EB7"/>
    <w:rsid w:val="00762ABF"/>
    <w:rsid w:val="0076305E"/>
    <w:rsid w:val="007637FC"/>
    <w:rsid w:val="00764247"/>
    <w:rsid w:val="007645D0"/>
    <w:rsid w:val="007647A2"/>
    <w:rsid w:val="0076490D"/>
    <w:rsid w:val="00765000"/>
    <w:rsid w:val="00765D98"/>
    <w:rsid w:val="00766B52"/>
    <w:rsid w:val="007670C9"/>
    <w:rsid w:val="007672E4"/>
    <w:rsid w:val="007707B5"/>
    <w:rsid w:val="00770E77"/>
    <w:rsid w:val="007722BE"/>
    <w:rsid w:val="00772A0F"/>
    <w:rsid w:val="00773313"/>
    <w:rsid w:val="0077442D"/>
    <w:rsid w:val="00774476"/>
    <w:rsid w:val="007746DA"/>
    <w:rsid w:val="00774952"/>
    <w:rsid w:val="007752F0"/>
    <w:rsid w:val="00775861"/>
    <w:rsid w:val="00775A6A"/>
    <w:rsid w:val="00775E1F"/>
    <w:rsid w:val="00776424"/>
    <w:rsid w:val="00776BD0"/>
    <w:rsid w:val="007773B8"/>
    <w:rsid w:val="00777433"/>
    <w:rsid w:val="007774D1"/>
    <w:rsid w:val="00777F5C"/>
    <w:rsid w:val="00780AA0"/>
    <w:rsid w:val="00780C8B"/>
    <w:rsid w:val="00782562"/>
    <w:rsid w:val="0078341A"/>
    <w:rsid w:val="007834DB"/>
    <w:rsid w:val="00783E95"/>
    <w:rsid w:val="00784486"/>
    <w:rsid w:val="00784681"/>
    <w:rsid w:val="00784717"/>
    <w:rsid w:val="00784C2F"/>
    <w:rsid w:val="007854C2"/>
    <w:rsid w:val="00785FE9"/>
    <w:rsid w:val="007879B9"/>
    <w:rsid w:val="007900DE"/>
    <w:rsid w:val="00790406"/>
    <w:rsid w:val="0079043B"/>
    <w:rsid w:val="007905A4"/>
    <w:rsid w:val="0079072A"/>
    <w:rsid w:val="00790914"/>
    <w:rsid w:val="00790E5D"/>
    <w:rsid w:val="0079146D"/>
    <w:rsid w:val="00791617"/>
    <w:rsid w:val="007916EF"/>
    <w:rsid w:val="00791EAF"/>
    <w:rsid w:val="007920AF"/>
    <w:rsid w:val="00793452"/>
    <w:rsid w:val="00793E8B"/>
    <w:rsid w:val="0079412D"/>
    <w:rsid w:val="007943C5"/>
    <w:rsid w:val="007947E3"/>
    <w:rsid w:val="00794946"/>
    <w:rsid w:val="0079497D"/>
    <w:rsid w:val="00794F32"/>
    <w:rsid w:val="00795115"/>
    <w:rsid w:val="00795173"/>
    <w:rsid w:val="0079611B"/>
    <w:rsid w:val="007968DD"/>
    <w:rsid w:val="0079715E"/>
    <w:rsid w:val="007974FA"/>
    <w:rsid w:val="007A0F3F"/>
    <w:rsid w:val="007A127D"/>
    <w:rsid w:val="007A197B"/>
    <w:rsid w:val="007A24AE"/>
    <w:rsid w:val="007A2CD8"/>
    <w:rsid w:val="007A2F44"/>
    <w:rsid w:val="007A3667"/>
    <w:rsid w:val="007A392E"/>
    <w:rsid w:val="007A3F34"/>
    <w:rsid w:val="007A4613"/>
    <w:rsid w:val="007A476A"/>
    <w:rsid w:val="007A48D7"/>
    <w:rsid w:val="007A56B7"/>
    <w:rsid w:val="007A5D65"/>
    <w:rsid w:val="007A627B"/>
    <w:rsid w:val="007A65C4"/>
    <w:rsid w:val="007A699E"/>
    <w:rsid w:val="007A752D"/>
    <w:rsid w:val="007B07AF"/>
    <w:rsid w:val="007B0DDE"/>
    <w:rsid w:val="007B1543"/>
    <w:rsid w:val="007B2A2E"/>
    <w:rsid w:val="007B2DEF"/>
    <w:rsid w:val="007B3F79"/>
    <w:rsid w:val="007B45B3"/>
    <w:rsid w:val="007B463D"/>
    <w:rsid w:val="007B5302"/>
    <w:rsid w:val="007B553D"/>
    <w:rsid w:val="007B6168"/>
    <w:rsid w:val="007B669C"/>
    <w:rsid w:val="007B6721"/>
    <w:rsid w:val="007B6E66"/>
    <w:rsid w:val="007B7552"/>
    <w:rsid w:val="007B7673"/>
    <w:rsid w:val="007B7750"/>
    <w:rsid w:val="007C0281"/>
    <w:rsid w:val="007C087C"/>
    <w:rsid w:val="007C0CDA"/>
    <w:rsid w:val="007C0E86"/>
    <w:rsid w:val="007C1AC4"/>
    <w:rsid w:val="007C1D48"/>
    <w:rsid w:val="007C1EE5"/>
    <w:rsid w:val="007C2066"/>
    <w:rsid w:val="007C22C5"/>
    <w:rsid w:val="007C252C"/>
    <w:rsid w:val="007C2546"/>
    <w:rsid w:val="007C2D36"/>
    <w:rsid w:val="007C366C"/>
    <w:rsid w:val="007C3BB7"/>
    <w:rsid w:val="007C4F6E"/>
    <w:rsid w:val="007C5364"/>
    <w:rsid w:val="007C55DD"/>
    <w:rsid w:val="007C624B"/>
    <w:rsid w:val="007C6E8B"/>
    <w:rsid w:val="007C7628"/>
    <w:rsid w:val="007C7C25"/>
    <w:rsid w:val="007D0783"/>
    <w:rsid w:val="007D0CF8"/>
    <w:rsid w:val="007D1614"/>
    <w:rsid w:val="007D1858"/>
    <w:rsid w:val="007D27C3"/>
    <w:rsid w:val="007D2C58"/>
    <w:rsid w:val="007D2F2E"/>
    <w:rsid w:val="007D3287"/>
    <w:rsid w:val="007D3836"/>
    <w:rsid w:val="007D3926"/>
    <w:rsid w:val="007D521C"/>
    <w:rsid w:val="007D52D8"/>
    <w:rsid w:val="007D61DA"/>
    <w:rsid w:val="007D6237"/>
    <w:rsid w:val="007D6939"/>
    <w:rsid w:val="007D6F55"/>
    <w:rsid w:val="007D75C6"/>
    <w:rsid w:val="007E0AC8"/>
    <w:rsid w:val="007E113F"/>
    <w:rsid w:val="007E1B4D"/>
    <w:rsid w:val="007E2558"/>
    <w:rsid w:val="007E2F0B"/>
    <w:rsid w:val="007E3EF9"/>
    <w:rsid w:val="007E44B9"/>
    <w:rsid w:val="007E49E5"/>
    <w:rsid w:val="007E4F38"/>
    <w:rsid w:val="007E52EE"/>
    <w:rsid w:val="007E545F"/>
    <w:rsid w:val="007E5742"/>
    <w:rsid w:val="007E5C19"/>
    <w:rsid w:val="007E6559"/>
    <w:rsid w:val="007E69F1"/>
    <w:rsid w:val="007E6D24"/>
    <w:rsid w:val="007E7EBB"/>
    <w:rsid w:val="007F05F8"/>
    <w:rsid w:val="007F0E40"/>
    <w:rsid w:val="007F12E8"/>
    <w:rsid w:val="007F13BC"/>
    <w:rsid w:val="007F1467"/>
    <w:rsid w:val="007F1B20"/>
    <w:rsid w:val="007F1F28"/>
    <w:rsid w:val="007F23E6"/>
    <w:rsid w:val="007F2C10"/>
    <w:rsid w:val="007F31E3"/>
    <w:rsid w:val="007F32E3"/>
    <w:rsid w:val="007F3497"/>
    <w:rsid w:val="007F5205"/>
    <w:rsid w:val="007F57B0"/>
    <w:rsid w:val="007F5B4B"/>
    <w:rsid w:val="007F5D7C"/>
    <w:rsid w:val="007F7407"/>
    <w:rsid w:val="00800415"/>
    <w:rsid w:val="0080112E"/>
    <w:rsid w:val="00801789"/>
    <w:rsid w:val="0080213F"/>
    <w:rsid w:val="008022ED"/>
    <w:rsid w:val="008024F5"/>
    <w:rsid w:val="0080268E"/>
    <w:rsid w:val="00802B96"/>
    <w:rsid w:val="00803019"/>
    <w:rsid w:val="00803E4E"/>
    <w:rsid w:val="00803F3E"/>
    <w:rsid w:val="00804204"/>
    <w:rsid w:val="0080551E"/>
    <w:rsid w:val="00805FB7"/>
    <w:rsid w:val="0080748B"/>
    <w:rsid w:val="008074B1"/>
    <w:rsid w:val="00807539"/>
    <w:rsid w:val="0080777E"/>
    <w:rsid w:val="00807790"/>
    <w:rsid w:val="00807CDD"/>
    <w:rsid w:val="0081062D"/>
    <w:rsid w:val="008112FE"/>
    <w:rsid w:val="008119C9"/>
    <w:rsid w:val="00811D45"/>
    <w:rsid w:val="0081231E"/>
    <w:rsid w:val="00812968"/>
    <w:rsid w:val="00812D1F"/>
    <w:rsid w:val="0081314B"/>
    <w:rsid w:val="008133C6"/>
    <w:rsid w:val="0081355D"/>
    <w:rsid w:val="00813D55"/>
    <w:rsid w:val="00813F23"/>
    <w:rsid w:val="00814104"/>
    <w:rsid w:val="0081650C"/>
    <w:rsid w:val="00816990"/>
    <w:rsid w:val="00816D68"/>
    <w:rsid w:val="008174C3"/>
    <w:rsid w:val="008175FD"/>
    <w:rsid w:val="00817837"/>
    <w:rsid w:val="00817840"/>
    <w:rsid w:val="00820505"/>
    <w:rsid w:val="00820B35"/>
    <w:rsid w:val="00821065"/>
    <w:rsid w:val="00821380"/>
    <w:rsid w:val="00823083"/>
    <w:rsid w:val="008235B9"/>
    <w:rsid w:val="00823695"/>
    <w:rsid w:val="00824334"/>
    <w:rsid w:val="0082458B"/>
    <w:rsid w:val="0082465D"/>
    <w:rsid w:val="0082490D"/>
    <w:rsid w:val="00825517"/>
    <w:rsid w:val="00825EDE"/>
    <w:rsid w:val="00826470"/>
    <w:rsid w:val="00830A45"/>
    <w:rsid w:val="00831219"/>
    <w:rsid w:val="00831C64"/>
    <w:rsid w:val="008327A8"/>
    <w:rsid w:val="00832F0F"/>
    <w:rsid w:val="0083384F"/>
    <w:rsid w:val="00833E81"/>
    <w:rsid w:val="00834005"/>
    <w:rsid w:val="008346A6"/>
    <w:rsid w:val="00835456"/>
    <w:rsid w:val="00835CCA"/>
    <w:rsid w:val="008366D3"/>
    <w:rsid w:val="008369BD"/>
    <w:rsid w:val="00836C13"/>
    <w:rsid w:val="008373E5"/>
    <w:rsid w:val="00837575"/>
    <w:rsid w:val="00837892"/>
    <w:rsid w:val="00837AF8"/>
    <w:rsid w:val="00841304"/>
    <w:rsid w:val="008425CE"/>
    <w:rsid w:val="00842D40"/>
    <w:rsid w:val="00842F55"/>
    <w:rsid w:val="0084318A"/>
    <w:rsid w:val="008436B9"/>
    <w:rsid w:val="008438A3"/>
    <w:rsid w:val="0084453C"/>
    <w:rsid w:val="008449FF"/>
    <w:rsid w:val="00845238"/>
    <w:rsid w:val="00845C02"/>
    <w:rsid w:val="00845D9B"/>
    <w:rsid w:val="0084681B"/>
    <w:rsid w:val="00846928"/>
    <w:rsid w:val="00847809"/>
    <w:rsid w:val="008512CD"/>
    <w:rsid w:val="0085136F"/>
    <w:rsid w:val="00852A20"/>
    <w:rsid w:val="00852EEF"/>
    <w:rsid w:val="0085311F"/>
    <w:rsid w:val="00853C10"/>
    <w:rsid w:val="0085421B"/>
    <w:rsid w:val="00854519"/>
    <w:rsid w:val="00854C53"/>
    <w:rsid w:val="008558D4"/>
    <w:rsid w:val="00855F24"/>
    <w:rsid w:val="00856105"/>
    <w:rsid w:val="00857163"/>
    <w:rsid w:val="008571DD"/>
    <w:rsid w:val="008572E8"/>
    <w:rsid w:val="0086121D"/>
    <w:rsid w:val="0086149D"/>
    <w:rsid w:val="008618CA"/>
    <w:rsid w:val="00863A04"/>
    <w:rsid w:val="00863E59"/>
    <w:rsid w:val="00864C12"/>
    <w:rsid w:val="008655CD"/>
    <w:rsid w:val="0086613A"/>
    <w:rsid w:val="008663CD"/>
    <w:rsid w:val="008671F3"/>
    <w:rsid w:val="008674AE"/>
    <w:rsid w:val="008703AB"/>
    <w:rsid w:val="00870B8E"/>
    <w:rsid w:val="00871301"/>
    <w:rsid w:val="008717C7"/>
    <w:rsid w:val="00871C1A"/>
    <w:rsid w:val="00871EC9"/>
    <w:rsid w:val="00871F93"/>
    <w:rsid w:val="00872291"/>
    <w:rsid w:val="008726F2"/>
    <w:rsid w:val="00872A07"/>
    <w:rsid w:val="00873BA8"/>
    <w:rsid w:val="00874B52"/>
    <w:rsid w:val="008757B9"/>
    <w:rsid w:val="00875AA3"/>
    <w:rsid w:val="00875E68"/>
    <w:rsid w:val="008763A0"/>
    <w:rsid w:val="00876E53"/>
    <w:rsid w:val="00877209"/>
    <w:rsid w:val="00877954"/>
    <w:rsid w:val="00877984"/>
    <w:rsid w:val="008779D7"/>
    <w:rsid w:val="008803FB"/>
    <w:rsid w:val="00880B94"/>
    <w:rsid w:val="00881217"/>
    <w:rsid w:val="00881931"/>
    <w:rsid w:val="00882D6F"/>
    <w:rsid w:val="0088332F"/>
    <w:rsid w:val="00883691"/>
    <w:rsid w:val="00884443"/>
    <w:rsid w:val="00884941"/>
    <w:rsid w:val="00884A21"/>
    <w:rsid w:val="00884BD3"/>
    <w:rsid w:val="0088558C"/>
    <w:rsid w:val="008861FA"/>
    <w:rsid w:val="0088620F"/>
    <w:rsid w:val="00886600"/>
    <w:rsid w:val="0088767E"/>
    <w:rsid w:val="0088779F"/>
    <w:rsid w:val="00891741"/>
    <w:rsid w:val="00891DA0"/>
    <w:rsid w:val="00892046"/>
    <w:rsid w:val="008927B2"/>
    <w:rsid w:val="00893515"/>
    <w:rsid w:val="008940BA"/>
    <w:rsid w:val="00894EE7"/>
    <w:rsid w:val="00895066"/>
    <w:rsid w:val="00895890"/>
    <w:rsid w:val="0089592B"/>
    <w:rsid w:val="00896015"/>
    <w:rsid w:val="0089603F"/>
    <w:rsid w:val="00897143"/>
    <w:rsid w:val="008A0B9B"/>
    <w:rsid w:val="008A17F7"/>
    <w:rsid w:val="008A2A16"/>
    <w:rsid w:val="008A2F12"/>
    <w:rsid w:val="008A38AA"/>
    <w:rsid w:val="008A409B"/>
    <w:rsid w:val="008A4951"/>
    <w:rsid w:val="008A50E2"/>
    <w:rsid w:val="008A518B"/>
    <w:rsid w:val="008A5210"/>
    <w:rsid w:val="008A6523"/>
    <w:rsid w:val="008A6CC4"/>
    <w:rsid w:val="008A7685"/>
    <w:rsid w:val="008A7848"/>
    <w:rsid w:val="008A7E6D"/>
    <w:rsid w:val="008B0001"/>
    <w:rsid w:val="008B0887"/>
    <w:rsid w:val="008B1927"/>
    <w:rsid w:val="008B1A7A"/>
    <w:rsid w:val="008B2ACB"/>
    <w:rsid w:val="008B3002"/>
    <w:rsid w:val="008B3649"/>
    <w:rsid w:val="008B4D13"/>
    <w:rsid w:val="008B71D6"/>
    <w:rsid w:val="008C0054"/>
    <w:rsid w:val="008C0681"/>
    <w:rsid w:val="008C0CD3"/>
    <w:rsid w:val="008C0E7B"/>
    <w:rsid w:val="008C14BE"/>
    <w:rsid w:val="008C153D"/>
    <w:rsid w:val="008C1A6E"/>
    <w:rsid w:val="008C2B16"/>
    <w:rsid w:val="008C2C6A"/>
    <w:rsid w:val="008C390B"/>
    <w:rsid w:val="008C3B69"/>
    <w:rsid w:val="008C3F1A"/>
    <w:rsid w:val="008C436F"/>
    <w:rsid w:val="008C4D3D"/>
    <w:rsid w:val="008C4DC6"/>
    <w:rsid w:val="008C5B44"/>
    <w:rsid w:val="008C5DF6"/>
    <w:rsid w:val="008C61FF"/>
    <w:rsid w:val="008C69B1"/>
    <w:rsid w:val="008C6DFC"/>
    <w:rsid w:val="008D0A65"/>
    <w:rsid w:val="008D0DEE"/>
    <w:rsid w:val="008D1A01"/>
    <w:rsid w:val="008D25F3"/>
    <w:rsid w:val="008D2A4C"/>
    <w:rsid w:val="008D341C"/>
    <w:rsid w:val="008D3462"/>
    <w:rsid w:val="008D34F3"/>
    <w:rsid w:val="008D34F8"/>
    <w:rsid w:val="008D4206"/>
    <w:rsid w:val="008D44AE"/>
    <w:rsid w:val="008D4E5D"/>
    <w:rsid w:val="008D4ED1"/>
    <w:rsid w:val="008D55D2"/>
    <w:rsid w:val="008D55DD"/>
    <w:rsid w:val="008D5627"/>
    <w:rsid w:val="008D58C0"/>
    <w:rsid w:val="008D5DBB"/>
    <w:rsid w:val="008D7419"/>
    <w:rsid w:val="008D7458"/>
    <w:rsid w:val="008D7A4A"/>
    <w:rsid w:val="008D7D8A"/>
    <w:rsid w:val="008E0026"/>
    <w:rsid w:val="008E1170"/>
    <w:rsid w:val="008E13EE"/>
    <w:rsid w:val="008E1608"/>
    <w:rsid w:val="008E1897"/>
    <w:rsid w:val="008E2314"/>
    <w:rsid w:val="008E2F3F"/>
    <w:rsid w:val="008E2FEB"/>
    <w:rsid w:val="008E3041"/>
    <w:rsid w:val="008E347D"/>
    <w:rsid w:val="008E37E7"/>
    <w:rsid w:val="008E44F5"/>
    <w:rsid w:val="008E4CAF"/>
    <w:rsid w:val="008E4E77"/>
    <w:rsid w:val="008E5714"/>
    <w:rsid w:val="008E5A5F"/>
    <w:rsid w:val="008E5E85"/>
    <w:rsid w:val="008E6612"/>
    <w:rsid w:val="008E674F"/>
    <w:rsid w:val="008E698E"/>
    <w:rsid w:val="008E6992"/>
    <w:rsid w:val="008E7518"/>
    <w:rsid w:val="008F0188"/>
    <w:rsid w:val="008F0758"/>
    <w:rsid w:val="008F18A7"/>
    <w:rsid w:val="008F1AFA"/>
    <w:rsid w:val="008F1C31"/>
    <w:rsid w:val="008F2273"/>
    <w:rsid w:val="008F2710"/>
    <w:rsid w:val="008F27E3"/>
    <w:rsid w:val="008F2E6C"/>
    <w:rsid w:val="008F303A"/>
    <w:rsid w:val="008F3B3F"/>
    <w:rsid w:val="008F3C5C"/>
    <w:rsid w:val="008F3FE9"/>
    <w:rsid w:val="008F47E4"/>
    <w:rsid w:val="008F52B4"/>
    <w:rsid w:val="008F5C48"/>
    <w:rsid w:val="008F5CDB"/>
    <w:rsid w:val="008F5D1D"/>
    <w:rsid w:val="008F5FDA"/>
    <w:rsid w:val="008F6596"/>
    <w:rsid w:val="008F662D"/>
    <w:rsid w:val="008F6AF1"/>
    <w:rsid w:val="008F6D73"/>
    <w:rsid w:val="008F6EE4"/>
    <w:rsid w:val="008F6F0F"/>
    <w:rsid w:val="008F76D9"/>
    <w:rsid w:val="00900E1F"/>
    <w:rsid w:val="00902266"/>
    <w:rsid w:val="00902B34"/>
    <w:rsid w:val="009031B9"/>
    <w:rsid w:val="009033D3"/>
    <w:rsid w:val="00904344"/>
    <w:rsid w:val="00904B2F"/>
    <w:rsid w:val="00906820"/>
    <w:rsid w:val="00906AF1"/>
    <w:rsid w:val="00906EF1"/>
    <w:rsid w:val="00906FF8"/>
    <w:rsid w:val="00907A85"/>
    <w:rsid w:val="00907F3F"/>
    <w:rsid w:val="0091083E"/>
    <w:rsid w:val="00910A83"/>
    <w:rsid w:val="00910B3D"/>
    <w:rsid w:val="00910E6B"/>
    <w:rsid w:val="0091224C"/>
    <w:rsid w:val="00912340"/>
    <w:rsid w:val="00914708"/>
    <w:rsid w:val="00914B58"/>
    <w:rsid w:val="00914D67"/>
    <w:rsid w:val="009157E6"/>
    <w:rsid w:val="00915E61"/>
    <w:rsid w:val="0091664E"/>
    <w:rsid w:val="00916B7C"/>
    <w:rsid w:val="00917E38"/>
    <w:rsid w:val="009202AB"/>
    <w:rsid w:val="00920320"/>
    <w:rsid w:val="00920393"/>
    <w:rsid w:val="009218A0"/>
    <w:rsid w:val="0092206C"/>
    <w:rsid w:val="00922452"/>
    <w:rsid w:val="00922588"/>
    <w:rsid w:val="00922874"/>
    <w:rsid w:val="00923976"/>
    <w:rsid w:val="00923DBF"/>
    <w:rsid w:val="00924113"/>
    <w:rsid w:val="00925F89"/>
    <w:rsid w:val="0092666E"/>
    <w:rsid w:val="0092746B"/>
    <w:rsid w:val="00927971"/>
    <w:rsid w:val="00930B1D"/>
    <w:rsid w:val="00930B30"/>
    <w:rsid w:val="00931037"/>
    <w:rsid w:val="00931914"/>
    <w:rsid w:val="0093234A"/>
    <w:rsid w:val="00932CB8"/>
    <w:rsid w:val="00933328"/>
    <w:rsid w:val="009333CC"/>
    <w:rsid w:val="00933D27"/>
    <w:rsid w:val="00933D64"/>
    <w:rsid w:val="00934179"/>
    <w:rsid w:val="009348B3"/>
    <w:rsid w:val="00935479"/>
    <w:rsid w:val="00935CA2"/>
    <w:rsid w:val="00935ECC"/>
    <w:rsid w:val="0093613F"/>
    <w:rsid w:val="009369DD"/>
    <w:rsid w:val="009410E2"/>
    <w:rsid w:val="009417E5"/>
    <w:rsid w:val="009419DB"/>
    <w:rsid w:val="00942A69"/>
    <w:rsid w:val="009434A8"/>
    <w:rsid w:val="00943C1D"/>
    <w:rsid w:val="0094485A"/>
    <w:rsid w:val="009449CE"/>
    <w:rsid w:val="00944CE3"/>
    <w:rsid w:val="00945099"/>
    <w:rsid w:val="009452B2"/>
    <w:rsid w:val="00945823"/>
    <w:rsid w:val="00945BBF"/>
    <w:rsid w:val="00947133"/>
    <w:rsid w:val="0094720A"/>
    <w:rsid w:val="00947665"/>
    <w:rsid w:val="00947692"/>
    <w:rsid w:val="009476F4"/>
    <w:rsid w:val="00947D4F"/>
    <w:rsid w:val="00947F41"/>
    <w:rsid w:val="00950484"/>
    <w:rsid w:val="00950CFF"/>
    <w:rsid w:val="00951180"/>
    <w:rsid w:val="00951745"/>
    <w:rsid w:val="00951FFC"/>
    <w:rsid w:val="0095230B"/>
    <w:rsid w:val="00953BAD"/>
    <w:rsid w:val="009542B0"/>
    <w:rsid w:val="009544F5"/>
    <w:rsid w:val="00956F16"/>
    <w:rsid w:val="00956F28"/>
    <w:rsid w:val="00956FA7"/>
    <w:rsid w:val="00957D49"/>
    <w:rsid w:val="009606D5"/>
    <w:rsid w:val="009607F4"/>
    <w:rsid w:val="00960BE3"/>
    <w:rsid w:val="00962B14"/>
    <w:rsid w:val="00962D69"/>
    <w:rsid w:val="00962E90"/>
    <w:rsid w:val="009638E3"/>
    <w:rsid w:val="00964166"/>
    <w:rsid w:val="00964686"/>
    <w:rsid w:val="00965107"/>
    <w:rsid w:val="009653DE"/>
    <w:rsid w:val="009655FB"/>
    <w:rsid w:val="00966663"/>
    <w:rsid w:val="0096725D"/>
    <w:rsid w:val="009672AB"/>
    <w:rsid w:val="009677BB"/>
    <w:rsid w:val="009677DA"/>
    <w:rsid w:val="00967B0F"/>
    <w:rsid w:val="00967FF1"/>
    <w:rsid w:val="0097025B"/>
    <w:rsid w:val="009715ED"/>
    <w:rsid w:val="00971D98"/>
    <w:rsid w:val="0097251C"/>
    <w:rsid w:val="00972C3B"/>
    <w:rsid w:val="00972C92"/>
    <w:rsid w:val="00973589"/>
    <w:rsid w:val="009745A0"/>
    <w:rsid w:val="009747C1"/>
    <w:rsid w:val="00974F99"/>
    <w:rsid w:val="009763F0"/>
    <w:rsid w:val="00976659"/>
    <w:rsid w:val="00976C2B"/>
    <w:rsid w:val="00977C1E"/>
    <w:rsid w:val="00977C5F"/>
    <w:rsid w:val="009803C0"/>
    <w:rsid w:val="009821CF"/>
    <w:rsid w:val="0098259E"/>
    <w:rsid w:val="00982E44"/>
    <w:rsid w:val="00983D13"/>
    <w:rsid w:val="00983E7E"/>
    <w:rsid w:val="0098449A"/>
    <w:rsid w:val="009845A1"/>
    <w:rsid w:val="009846E9"/>
    <w:rsid w:val="00985E2A"/>
    <w:rsid w:val="00986DAE"/>
    <w:rsid w:val="00986E26"/>
    <w:rsid w:val="009875BD"/>
    <w:rsid w:val="009877DC"/>
    <w:rsid w:val="00987837"/>
    <w:rsid w:val="00987BF8"/>
    <w:rsid w:val="009916BF"/>
    <w:rsid w:val="009920E2"/>
    <w:rsid w:val="009921F2"/>
    <w:rsid w:val="00992769"/>
    <w:rsid w:val="00992F61"/>
    <w:rsid w:val="00994315"/>
    <w:rsid w:val="00994AFA"/>
    <w:rsid w:val="00994D2A"/>
    <w:rsid w:val="00994D93"/>
    <w:rsid w:val="0099508D"/>
    <w:rsid w:val="009958A6"/>
    <w:rsid w:val="00995A94"/>
    <w:rsid w:val="00995CD1"/>
    <w:rsid w:val="009973DB"/>
    <w:rsid w:val="009A0183"/>
    <w:rsid w:val="009A0402"/>
    <w:rsid w:val="009A0A93"/>
    <w:rsid w:val="009A1D3A"/>
    <w:rsid w:val="009A2220"/>
    <w:rsid w:val="009A2831"/>
    <w:rsid w:val="009A37A7"/>
    <w:rsid w:val="009A386B"/>
    <w:rsid w:val="009A4E97"/>
    <w:rsid w:val="009A5802"/>
    <w:rsid w:val="009A5AA7"/>
    <w:rsid w:val="009A5E84"/>
    <w:rsid w:val="009A681C"/>
    <w:rsid w:val="009A6994"/>
    <w:rsid w:val="009A7EB7"/>
    <w:rsid w:val="009B04E7"/>
    <w:rsid w:val="009B08FB"/>
    <w:rsid w:val="009B0BB5"/>
    <w:rsid w:val="009B129D"/>
    <w:rsid w:val="009B149A"/>
    <w:rsid w:val="009B1D9D"/>
    <w:rsid w:val="009B2A28"/>
    <w:rsid w:val="009B35F7"/>
    <w:rsid w:val="009B489A"/>
    <w:rsid w:val="009B522C"/>
    <w:rsid w:val="009B54C6"/>
    <w:rsid w:val="009B5E32"/>
    <w:rsid w:val="009B5E78"/>
    <w:rsid w:val="009B6732"/>
    <w:rsid w:val="009B748A"/>
    <w:rsid w:val="009B7DB9"/>
    <w:rsid w:val="009C14A2"/>
    <w:rsid w:val="009C15D7"/>
    <w:rsid w:val="009C1813"/>
    <w:rsid w:val="009C2213"/>
    <w:rsid w:val="009C2B56"/>
    <w:rsid w:val="009C2E9F"/>
    <w:rsid w:val="009C3357"/>
    <w:rsid w:val="009C3CDB"/>
    <w:rsid w:val="009C4474"/>
    <w:rsid w:val="009C6138"/>
    <w:rsid w:val="009C6658"/>
    <w:rsid w:val="009C6E53"/>
    <w:rsid w:val="009D0876"/>
    <w:rsid w:val="009D1228"/>
    <w:rsid w:val="009D1357"/>
    <w:rsid w:val="009D1887"/>
    <w:rsid w:val="009D1945"/>
    <w:rsid w:val="009D1B1E"/>
    <w:rsid w:val="009D1CA8"/>
    <w:rsid w:val="009D2041"/>
    <w:rsid w:val="009D2236"/>
    <w:rsid w:val="009D2545"/>
    <w:rsid w:val="009D2704"/>
    <w:rsid w:val="009D2CAE"/>
    <w:rsid w:val="009D311A"/>
    <w:rsid w:val="009D3E82"/>
    <w:rsid w:val="009D4CE5"/>
    <w:rsid w:val="009D4EBB"/>
    <w:rsid w:val="009D5017"/>
    <w:rsid w:val="009D6004"/>
    <w:rsid w:val="009D6315"/>
    <w:rsid w:val="009D7624"/>
    <w:rsid w:val="009D7661"/>
    <w:rsid w:val="009D7ADE"/>
    <w:rsid w:val="009D7C4E"/>
    <w:rsid w:val="009D7DD9"/>
    <w:rsid w:val="009E0909"/>
    <w:rsid w:val="009E112A"/>
    <w:rsid w:val="009E19D8"/>
    <w:rsid w:val="009E2071"/>
    <w:rsid w:val="009E2316"/>
    <w:rsid w:val="009E2A81"/>
    <w:rsid w:val="009E2B43"/>
    <w:rsid w:val="009E2B45"/>
    <w:rsid w:val="009E3569"/>
    <w:rsid w:val="009E4F28"/>
    <w:rsid w:val="009E5087"/>
    <w:rsid w:val="009E51E3"/>
    <w:rsid w:val="009E69D4"/>
    <w:rsid w:val="009E6EE9"/>
    <w:rsid w:val="009E7B50"/>
    <w:rsid w:val="009F0422"/>
    <w:rsid w:val="009F04E3"/>
    <w:rsid w:val="009F1A62"/>
    <w:rsid w:val="009F1CB7"/>
    <w:rsid w:val="009F3BD3"/>
    <w:rsid w:val="009F3BF2"/>
    <w:rsid w:val="009F3E04"/>
    <w:rsid w:val="009F4511"/>
    <w:rsid w:val="009F45D6"/>
    <w:rsid w:val="009F48D0"/>
    <w:rsid w:val="009F511C"/>
    <w:rsid w:val="009F5864"/>
    <w:rsid w:val="009F5CAC"/>
    <w:rsid w:val="009F5E79"/>
    <w:rsid w:val="009F6F96"/>
    <w:rsid w:val="009F71DE"/>
    <w:rsid w:val="00A00276"/>
    <w:rsid w:val="00A012BD"/>
    <w:rsid w:val="00A01C91"/>
    <w:rsid w:val="00A02873"/>
    <w:rsid w:val="00A028C7"/>
    <w:rsid w:val="00A03249"/>
    <w:rsid w:val="00A03312"/>
    <w:rsid w:val="00A036B2"/>
    <w:rsid w:val="00A04813"/>
    <w:rsid w:val="00A058FC"/>
    <w:rsid w:val="00A06139"/>
    <w:rsid w:val="00A06533"/>
    <w:rsid w:val="00A1045A"/>
    <w:rsid w:val="00A10509"/>
    <w:rsid w:val="00A1063D"/>
    <w:rsid w:val="00A10BC0"/>
    <w:rsid w:val="00A11346"/>
    <w:rsid w:val="00A11588"/>
    <w:rsid w:val="00A12185"/>
    <w:rsid w:val="00A1267B"/>
    <w:rsid w:val="00A129E8"/>
    <w:rsid w:val="00A1578C"/>
    <w:rsid w:val="00A16258"/>
    <w:rsid w:val="00A16F4E"/>
    <w:rsid w:val="00A17162"/>
    <w:rsid w:val="00A17A22"/>
    <w:rsid w:val="00A208B0"/>
    <w:rsid w:val="00A20949"/>
    <w:rsid w:val="00A21A86"/>
    <w:rsid w:val="00A21C4B"/>
    <w:rsid w:val="00A223AB"/>
    <w:rsid w:val="00A225C2"/>
    <w:rsid w:val="00A22D14"/>
    <w:rsid w:val="00A22FBF"/>
    <w:rsid w:val="00A245B3"/>
    <w:rsid w:val="00A24C20"/>
    <w:rsid w:val="00A2518F"/>
    <w:rsid w:val="00A255E5"/>
    <w:rsid w:val="00A25D0A"/>
    <w:rsid w:val="00A264E4"/>
    <w:rsid w:val="00A266A4"/>
    <w:rsid w:val="00A273DF"/>
    <w:rsid w:val="00A3040A"/>
    <w:rsid w:val="00A31243"/>
    <w:rsid w:val="00A312FC"/>
    <w:rsid w:val="00A318D8"/>
    <w:rsid w:val="00A31A84"/>
    <w:rsid w:val="00A326A4"/>
    <w:rsid w:val="00A326BA"/>
    <w:rsid w:val="00A327EF"/>
    <w:rsid w:val="00A32863"/>
    <w:rsid w:val="00A32D75"/>
    <w:rsid w:val="00A33A92"/>
    <w:rsid w:val="00A34449"/>
    <w:rsid w:val="00A348B7"/>
    <w:rsid w:val="00A34D3C"/>
    <w:rsid w:val="00A34E7D"/>
    <w:rsid w:val="00A35566"/>
    <w:rsid w:val="00A35882"/>
    <w:rsid w:val="00A35F56"/>
    <w:rsid w:val="00A35FE6"/>
    <w:rsid w:val="00A37C13"/>
    <w:rsid w:val="00A37E26"/>
    <w:rsid w:val="00A410AD"/>
    <w:rsid w:val="00A410DB"/>
    <w:rsid w:val="00A430CD"/>
    <w:rsid w:val="00A43FFD"/>
    <w:rsid w:val="00A44356"/>
    <w:rsid w:val="00A448AD"/>
    <w:rsid w:val="00A448C1"/>
    <w:rsid w:val="00A45129"/>
    <w:rsid w:val="00A45402"/>
    <w:rsid w:val="00A4738F"/>
    <w:rsid w:val="00A47740"/>
    <w:rsid w:val="00A4775F"/>
    <w:rsid w:val="00A477C9"/>
    <w:rsid w:val="00A47A3E"/>
    <w:rsid w:val="00A47A43"/>
    <w:rsid w:val="00A505F9"/>
    <w:rsid w:val="00A50830"/>
    <w:rsid w:val="00A508BF"/>
    <w:rsid w:val="00A50943"/>
    <w:rsid w:val="00A50C77"/>
    <w:rsid w:val="00A518D1"/>
    <w:rsid w:val="00A52203"/>
    <w:rsid w:val="00A52253"/>
    <w:rsid w:val="00A5296D"/>
    <w:rsid w:val="00A52D1B"/>
    <w:rsid w:val="00A532D7"/>
    <w:rsid w:val="00A53916"/>
    <w:rsid w:val="00A54787"/>
    <w:rsid w:val="00A54AD2"/>
    <w:rsid w:val="00A5545B"/>
    <w:rsid w:val="00A56CE4"/>
    <w:rsid w:val="00A57419"/>
    <w:rsid w:val="00A577A2"/>
    <w:rsid w:val="00A577A4"/>
    <w:rsid w:val="00A57DC5"/>
    <w:rsid w:val="00A60B7B"/>
    <w:rsid w:val="00A60CEF"/>
    <w:rsid w:val="00A60DF4"/>
    <w:rsid w:val="00A615CC"/>
    <w:rsid w:val="00A618D9"/>
    <w:rsid w:val="00A61953"/>
    <w:rsid w:val="00A61E42"/>
    <w:rsid w:val="00A626A2"/>
    <w:rsid w:val="00A62BBF"/>
    <w:rsid w:val="00A6398E"/>
    <w:rsid w:val="00A63D6A"/>
    <w:rsid w:val="00A6535B"/>
    <w:rsid w:val="00A65646"/>
    <w:rsid w:val="00A65AD0"/>
    <w:rsid w:val="00A6648B"/>
    <w:rsid w:val="00A6761A"/>
    <w:rsid w:val="00A706C8"/>
    <w:rsid w:val="00A71273"/>
    <w:rsid w:val="00A7153D"/>
    <w:rsid w:val="00A71E2E"/>
    <w:rsid w:val="00A7260A"/>
    <w:rsid w:val="00A737A7"/>
    <w:rsid w:val="00A73846"/>
    <w:rsid w:val="00A745F8"/>
    <w:rsid w:val="00A76052"/>
    <w:rsid w:val="00A76993"/>
    <w:rsid w:val="00A773FD"/>
    <w:rsid w:val="00A81C0A"/>
    <w:rsid w:val="00A82311"/>
    <w:rsid w:val="00A82852"/>
    <w:rsid w:val="00A831DF"/>
    <w:rsid w:val="00A8323D"/>
    <w:rsid w:val="00A83603"/>
    <w:rsid w:val="00A83BEC"/>
    <w:rsid w:val="00A84116"/>
    <w:rsid w:val="00A84355"/>
    <w:rsid w:val="00A84640"/>
    <w:rsid w:val="00A84D0E"/>
    <w:rsid w:val="00A85302"/>
    <w:rsid w:val="00A85415"/>
    <w:rsid w:val="00A85B5A"/>
    <w:rsid w:val="00A85B7C"/>
    <w:rsid w:val="00A85C9E"/>
    <w:rsid w:val="00A86C65"/>
    <w:rsid w:val="00A86EF2"/>
    <w:rsid w:val="00A87B65"/>
    <w:rsid w:val="00A87C5B"/>
    <w:rsid w:val="00A90309"/>
    <w:rsid w:val="00A90707"/>
    <w:rsid w:val="00A92051"/>
    <w:rsid w:val="00A92724"/>
    <w:rsid w:val="00A92F62"/>
    <w:rsid w:val="00A92F6D"/>
    <w:rsid w:val="00A93B16"/>
    <w:rsid w:val="00A9409D"/>
    <w:rsid w:val="00A941B9"/>
    <w:rsid w:val="00A9490C"/>
    <w:rsid w:val="00A95718"/>
    <w:rsid w:val="00A96E67"/>
    <w:rsid w:val="00A970D1"/>
    <w:rsid w:val="00A97410"/>
    <w:rsid w:val="00AA0534"/>
    <w:rsid w:val="00AA081A"/>
    <w:rsid w:val="00AA113A"/>
    <w:rsid w:val="00AA1508"/>
    <w:rsid w:val="00AA2928"/>
    <w:rsid w:val="00AA4376"/>
    <w:rsid w:val="00AA4EBC"/>
    <w:rsid w:val="00AA4F6C"/>
    <w:rsid w:val="00AA6FED"/>
    <w:rsid w:val="00AA7B28"/>
    <w:rsid w:val="00AB0114"/>
    <w:rsid w:val="00AB02DD"/>
    <w:rsid w:val="00AB058C"/>
    <w:rsid w:val="00AB060B"/>
    <w:rsid w:val="00AB0EB9"/>
    <w:rsid w:val="00AB100B"/>
    <w:rsid w:val="00AB113F"/>
    <w:rsid w:val="00AB1CEE"/>
    <w:rsid w:val="00AB249A"/>
    <w:rsid w:val="00AB35E4"/>
    <w:rsid w:val="00AB45F0"/>
    <w:rsid w:val="00AB574F"/>
    <w:rsid w:val="00AB693F"/>
    <w:rsid w:val="00AB6E8D"/>
    <w:rsid w:val="00AB7751"/>
    <w:rsid w:val="00AC0419"/>
    <w:rsid w:val="00AC0479"/>
    <w:rsid w:val="00AC0EA1"/>
    <w:rsid w:val="00AC10DA"/>
    <w:rsid w:val="00AC1C8D"/>
    <w:rsid w:val="00AC3040"/>
    <w:rsid w:val="00AC3046"/>
    <w:rsid w:val="00AC31A9"/>
    <w:rsid w:val="00AC3C42"/>
    <w:rsid w:val="00AC461F"/>
    <w:rsid w:val="00AC4D59"/>
    <w:rsid w:val="00AC4E40"/>
    <w:rsid w:val="00AC4ED5"/>
    <w:rsid w:val="00AC53B9"/>
    <w:rsid w:val="00AC59E1"/>
    <w:rsid w:val="00AC6308"/>
    <w:rsid w:val="00AC673B"/>
    <w:rsid w:val="00AC6B9D"/>
    <w:rsid w:val="00AC6EB9"/>
    <w:rsid w:val="00AD0083"/>
    <w:rsid w:val="00AD02C0"/>
    <w:rsid w:val="00AD0B95"/>
    <w:rsid w:val="00AD1B74"/>
    <w:rsid w:val="00AD1C17"/>
    <w:rsid w:val="00AD2884"/>
    <w:rsid w:val="00AD3087"/>
    <w:rsid w:val="00AD3B4B"/>
    <w:rsid w:val="00AD4551"/>
    <w:rsid w:val="00AD4C8C"/>
    <w:rsid w:val="00AD572D"/>
    <w:rsid w:val="00AD5A9E"/>
    <w:rsid w:val="00AD6068"/>
    <w:rsid w:val="00AD74C6"/>
    <w:rsid w:val="00AD7560"/>
    <w:rsid w:val="00AD758F"/>
    <w:rsid w:val="00AE0499"/>
    <w:rsid w:val="00AE1ECA"/>
    <w:rsid w:val="00AE1F4D"/>
    <w:rsid w:val="00AE2AD2"/>
    <w:rsid w:val="00AE38B9"/>
    <w:rsid w:val="00AE4060"/>
    <w:rsid w:val="00AE43DA"/>
    <w:rsid w:val="00AE497F"/>
    <w:rsid w:val="00AE5B20"/>
    <w:rsid w:val="00AE5BFB"/>
    <w:rsid w:val="00AE5C7E"/>
    <w:rsid w:val="00AE6259"/>
    <w:rsid w:val="00AE634D"/>
    <w:rsid w:val="00AE6C2F"/>
    <w:rsid w:val="00AE7053"/>
    <w:rsid w:val="00AF0286"/>
    <w:rsid w:val="00AF02F2"/>
    <w:rsid w:val="00AF03A4"/>
    <w:rsid w:val="00AF0645"/>
    <w:rsid w:val="00AF0AAA"/>
    <w:rsid w:val="00AF1864"/>
    <w:rsid w:val="00AF1BAB"/>
    <w:rsid w:val="00AF2346"/>
    <w:rsid w:val="00AF3CAD"/>
    <w:rsid w:val="00AF4747"/>
    <w:rsid w:val="00AF4756"/>
    <w:rsid w:val="00AF4C85"/>
    <w:rsid w:val="00AF59D5"/>
    <w:rsid w:val="00AF63B3"/>
    <w:rsid w:val="00AF70D7"/>
    <w:rsid w:val="00AF72AD"/>
    <w:rsid w:val="00AF73F8"/>
    <w:rsid w:val="00B0035E"/>
    <w:rsid w:val="00B00758"/>
    <w:rsid w:val="00B009CE"/>
    <w:rsid w:val="00B01010"/>
    <w:rsid w:val="00B01121"/>
    <w:rsid w:val="00B01508"/>
    <w:rsid w:val="00B019A1"/>
    <w:rsid w:val="00B0253A"/>
    <w:rsid w:val="00B0267C"/>
    <w:rsid w:val="00B0299B"/>
    <w:rsid w:val="00B03681"/>
    <w:rsid w:val="00B03CEE"/>
    <w:rsid w:val="00B0503D"/>
    <w:rsid w:val="00B059C8"/>
    <w:rsid w:val="00B05F17"/>
    <w:rsid w:val="00B0604F"/>
    <w:rsid w:val="00B065A5"/>
    <w:rsid w:val="00B06B3F"/>
    <w:rsid w:val="00B076CA"/>
    <w:rsid w:val="00B076DA"/>
    <w:rsid w:val="00B10B1D"/>
    <w:rsid w:val="00B10E84"/>
    <w:rsid w:val="00B117C7"/>
    <w:rsid w:val="00B12A86"/>
    <w:rsid w:val="00B12B37"/>
    <w:rsid w:val="00B13014"/>
    <w:rsid w:val="00B135EB"/>
    <w:rsid w:val="00B139D4"/>
    <w:rsid w:val="00B14A26"/>
    <w:rsid w:val="00B14ABA"/>
    <w:rsid w:val="00B14D43"/>
    <w:rsid w:val="00B15702"/>
    <w:rsid w:val="00B1773A"/>
    <w:rsid w:val="00B17A4B"/>
    <w:rsid w:val="00B2051A"/>
    <w:rsid w:val="00B209E6"/>
    <w:rsid w:val="00B20D11"/>
    <w:rsid w:val="00B21236"/>
    <w:rsid w:val="00B21343"/>
    <w:rsid w:val="00B21DA0"/>
    <w:rsid w:val="00B21F89"/>
    <w:rsid w:val="00B2265B"/>
    <w:rsid w:val="00B2284C"/>
    <w:rsid w:val="00B238E1"/>
    <w:rsid w:val="00B23A5D"/>
    <w:rsid w:val="00B23B57"/>
    <w:rsid w:val="00B24532"/>
    <w:rsid w:val="00B24970"/>
    <w:rsid w:val="00B24C71"/>
    <w:rsid w:val="00B24D18"/>
    <w:rsid w:val="00B24D8F"/>
    <w:rsid w:val="00B24F9A"/>
    <w:rsid w:val="00B25898"/>
    <w:rsid w:val="00B26971"/>
    <w:rsid w:val="00B30FAF"/>
    <w:rsid w:val="00B3105E"/>
    <w:rsid w:val="00B318CA"/>
    <w:rsid w:val="00B3204A"/>
    <w:rsid w:val="00B32E6E"/>
    <w:rsid w:val="00B333D1"/>
    <w:rsid w:val="00B334ED"/>
    <w:rsid w:val="00B345B5"/>
    <w:rsid w:val="00B346C6"/>
    <w:rsid w:val="00B34E92"/>
    <w:rsid w:val="00B35482"/>
    <w:rsid w:val="00B35620"/>
    <w:rsid w:val="00B36AAB"/>
    <w:rsid w:val="00B36FA0"/>
    <w:rsid w:val="00B37CDE"/>
    <w:rsid w:val="00B40619"/>
    <w:rsid w:val="00B407EA"/>
    <w:rsid w:val="00B4124C"/>
    <w:rsid w:val="00B412B8"/>
    <w:rsid w:val="00B41617"/>
    <w:rsid w:val="00B418D4"/>
    <w:rsid w:val="00B420B7"/>
    <w:rsid w:val="00B42113"/>
    <w:rsid w:val="00B436E4"/>
    <w:rsid w:val="00B43CE0"/>
    <w:rsid w:val="00B4518A"/>
    <w:rsid w:val="00B455E6"/>
    <w:rsid w:val="00B458B1"/>
    <w:rsid w:val="00B46583"/>
    <w:rsid w:val="00B46BA5"/>
    <w:rsid w:val="00B46E74"/>
    <w:rsid w:val="00B47049"/>
    <w:rsid w:val="00B507BE"/>
    <w:rsid w:val="00B51760"/>
    <w:rsid w:val="00B520FD"/>
    <w:rsid w:val="00B5288E"/>
    <w:rsid w:val="00B52903"/>
    <w:rsid w:val="00B52C7E"/>
    <w:rsid w:val="00B531AB"/>
    <w:rsid w:val="00B5359D"/>
    <w:rsid w:val="00B5506F"/>
    <w:rsid w:val="00B55A25"/>
    <w:rsid w:val="00B55D0C"/>
    <w:rsid w:val="00B55F2E"/>
    <w:rsid w:val="00B56255"/>
    <w:rsid w:val="00B56695"/>
    <w:rsid w:val="00B56BA8"/>
    <w:rsid w:val="00B570CF"/>
    <w:rsid w:val="00B572CD"/>
    <w:rsid w:val="00B57BDD"/>
    <w:rsid w:val="00B60191"/>
    <w:rsid w:val="00B6100F"/>
    <w:rsid w:val="00B61AA0"/>
    <w:rsid w:val="00B62BDF"/>
    <w:rsid w:val="00B62E6E"/>
    <w:rsid w:val="00B62F31"/>
    <w:rsid w:val="00B634DD"/>
    <w:rsid w:val="00B655F3"/>
    <w:rsid w:val="00B66508"/>
    <w:rsid w:val="00B66AFC"/>
    <w:rsid w:val="00B67416"/>
    <w:rsid w:val="00B675D6"/>
    <w:rsid w:val="00B700D7"/>
    <w:rsid w:val="00B70279"/>
    <w:rsid w:val="00B70497"/>
    <w:rsid w:val="00B707B2"/>
    <w:rsid w:val="00B71B6D"/>
    <w:rsid w:val="00B733A8"/>
    <w:rsid w:val="00B736E7"/>
    <w:rsid w:val="00B74AFD"/>
    <w:rsid w:val="00B750DF"/>
    <w:rsid w:val="00B7595E"/>
    <w:rsid w:val="00B75B9E"/>
    <w:rsid w:val="00B7680C"/>
    <w:rsid w:val="00B76B9F"/>
    <w:rsid w:val="00B76E9D"/>
    <w:rsid w:val="00B77AE5"/>
    <w:rsid w:val="00B77C7E"/>
    <w:rsid w:val="00B80048"/>
    <w:rsid w:val="00B8095A"/>
    <w:rsid w:val="00B80AD9"/>
    <w:rsid w:val="00B813BC"/>
    <w:rsid w:val="00B824FD"/>
    <w:rsid w:val="00B82F19"/>
    <w:rsid w:val="00B83180"/>
    <w:rsid w:val="00B8367E"/>
    <w:rsid w:val="00B84186"/>
    <w:rsid w:val="00B84BA3"/>
    <w:rsid w:val="00B85E0E"/>
    <w:rsid w:val="00B86104"/>
    <w:rsid w:val="00B86390"/>
    <w:rsid w:val="00B86BF2"/>
    <w:rsid w:val="00B86CA5"/>
    <w:rsid w:val="00B8786C"/>
    <w:rsid w:val="00B87A55"/>
    <w:rsid w:val="00B902C2"/>
    <w:rsid w:val="00B90C64"/>
    <w:rsid w:val="00B91A3D"/>
    <w:rsid w:val="00B91C25"/>
    <w:rsid w:val="00B92348"/>
    <w:rsid w:val="00B924F6"/>
    <w:rsid w:val="00B928FB"/>
    <w:rsid w:val="00B947B2"/>
    <w:rsid w:val="00B94C36"/>
    <w:rsid w:val="00B952C3"/>
    <w:rsid w:val="00B95439"/>
    <w:rsid w:val="00B95F66"/>
    <w:rsid w:val="00B96105"/>
    <w:rsid w:val="00B96674"/>
    <w:rsid w:val="00B96A40"/>
    <w:rsid w:val="00B96BB3"/>
    <w:rsid w:val="00B96C0F"/>
    <w:rsid w:val="00B9734A"/>
    <w:rsid w:val="00B97E1D"/>
    <w:rsid w:val="00BA02EA"/>
    <w:rsid w:val="00BA1697"/>
    <w:rsid w:val="00BA1B03"/>
    <w:rsid w:val="00BA2BE0"/>
    <w:rsid w:val="00BA38F6"/>
    <w:rsid w:val="00BA49FA"/>
    <w:rsid w:val="00BA4E66"/>
    <w:rsid w:val="00BA4F30"/>
    <w:rsid w:val="00BA55FB"/>
    <w:rsid w:val="00BA5A07"/>
    <w:rsid w:val="00BA5AC7"/>
    <w:rsid w:val="00BA5DF2"/>
    <w:rsid w:val="00BA671A"/>
    <w:rsid w:val="00BA7037"/>
    <w:rsid w:val="00BA7AB2"/>
    <w:rsid w:val="00BA7E78"/>
    <w:rsid w:val="00BA7F9E"/>
    <w:rsid w:val="00BB0031"/>
    <w:rsid w:val="00BB0229"/>
    <w:rsid w:val="00BB05CA"/>
    <w:rsid w:val="00BB10D7"/>
    <w:rsid w:val="00BB16F8"/>
    <w:rsid w:val="00BB2BCF"/>
    <w:rsid w:val="00BB32F4"/>
    <w:rsid w:val="00BB41FE"/>
    <w:rsid w:val="00BB428F"/>
    <w:rsid w:val="00BB4B5A"/>
    <w:rsid w:val="00BB5A41"/>
    <w:rsid w:val="00BB623D"/>
    <w:rsid w:val="00BB7069"/>
    <w:rsid w:val="00BB7171"/>
    <w:rsid w:val="00BB7549"/>
    <w:rsid w:val="00BB77F5"/>
    <w:rsid w:val="00BB7CB8"/>
    <w:rsid w:val="00BB7E29"/>
    <w:rsid w:val="00BB7ECF"/>
    <w:rsid w:val="00BC0099"/>
    <w:rsid w:val="00BC04AD"/>
    <w:rsid w:val="00BC058C"/>
    <w:rsid w:val="00BC082C"/>
    <w:rsid w:val="00BC0AB6"/>
    <w:rsid w:val="00BC0F7C"/>
    <w:rsid w:val="00BC15AE"/>
    <w:rsid w:val="00BC20D1"/>
    <w:rsid w:val="00BC2284"/>
    <w:rsid w:val="00BC238F"/>
    <w:rsid w:val="00BC27FE"/>
    <w:rsid w:val="00BC3B41"/>
    <w:rsid w:val="00BC5707"/>
    <w:rsid w:val="00BC5DC4"/>
    <w:rsid w:val="00BC6AB6"/>
    <w:rsid w:val="00BC6AE5"/>
    <w:rsid w:val="00BC774A"/>
    <w:rsid w:val="00BC7BCA"/>
    <w:rsid w:val="00BD13D0"/>
    <w:rsid w:val="00BD19E6"/>
    <w:rsid w:val="00BD1BBA"/>
    <w:rsid w:val="00BD2105"/>
    <w:rsid w:val="00BD2563"/>
    <w:rsid w:val="00BD280C"/>
    <w:rsid w:val="00BD2982"/>
    <w:rsid w:val="00BD2B1B"/>
    <w:rsid w:val="00BD2BD5"/>
    <w:rsid w:val="00BD42FB"/>
    <w:rsid w:val="00BD4CA2"/>
    <w:rsid w:val="00BD5554"/>
    <w:rsid w:val="00BD56C8"/>
    <w:rsid w:val="00BD5C2C"/>
    <w:rsid w:val="00BD61F4"/>
    <w:rsid w:val="00BD640F"/>
    <w:rsid w:val="00BD64C2"/>
    <w:rsid w:val="00BD65CE"/>
    <w:rsid w:val="00BD6C61"/>
    <w:rsid w:val="00BD768C"/>
    <w:rsid w:val="00BD7A8B"/>
    <w:rsid w:val="00BD7BD2"/>
    <w:rsid w:val="00BD7C52"/>
    <w:rsid w:val="00BD7EA5"/>
    <w:rsid w:val="00BE02E1"/>
    <w:rsid w:val="00BE0D4B"/>
    <w:rsid w:val="00BE0DC0"/>
    <w:rsid w:val="00BE1216"/>
    <w:rsid w:val="00BE1884"/>
    <w:rsid w:val="00BE2957"/>
    <w:rsid w:val="00BE353B"/>
    <w:rsid w:val="00BE3580"/>
    <w:rsid w:val="00BE55AC"/>
    <w:rsid w:val="00BE5796"/>
    <w:rsid w:val="00BE582F"/>
    <w:rsid w:val="00BE5DED"/>
    <w:rsid w:val="00BE6ACC"/>
    <w:rsid w:val="00BE6BBC"/>
    <w:rsid w:val="00BE7068"/>
    <w:rsid w:val="00BE72A5"/>
    <w:rsid w:val="00BE7964"/>
    <w:rsid w:val="00BE7E98"/>
    <w:rsid w:val="00BF00E5"/>
    <w:rsid w:val="00BF0553"/>
    <w:rsid w:val="00BF09B7"/>
    <w:rsid w:val="00BF0A9E"/>
    <w:rsid w:val="00BF1AF5"/>
    <w:rsid w:val="00BF25A9"/>
    <w:rsid w:val="00BF27BE"/>
    <w:rsid w:val="00BF2EDA"/>
    <w:rsid w:val="00BF3C48"/>
    <w:rsid w:val="00BF500E"/>
    <w:rsid w:val="00BF6C4F"/>
    <w:rsid w:val="00BF704B"/>
    <w:rsid w:val="00BF70F7"/>
    <w:rsid w:val="00BF767F"/>
    <w:rsid w:val="00BF7B3E"/>
    <w:rsid w:val="00C00116"/>
    <w:rsid w:val="00C0095B"/>
    <w:rsid w:val="00C00DF0"/>
    <w:rsid w:val="00C0114A"/>
    <w:rsid w:val="00C01A83"/>
    <w:rsid w:val="00C01D51"/>
    <w:rsid w:val="00C02CC0"/>
    <w:rsid w:val="00C02E46"/>
    <w:rsid w:val="00C030EB"/>
    <w:rsid w:val="00C03F5C"/>
    <w:rsid w:val="00C042DD"/>
    <w:rsid w:val="00C04635"/>
    <w:rsid w:val="00C04EA9"/>
    <w:rsid w:val="00C05025"/>
    <w:rsid w:val="00C058AE"/>
    <w:rsid w:val="00C060E1"/>
    <w:rsid w:val="00C066D1"/>
    <w:rsid w:val="00C06A70"/>
    <w:rsid w:val="00C06F46"/>
    <w:rsid w:val="00C06F89"/>
    <w:rsid w:val="00C070FC"/>
    <w:rsid w:val="00C07300"/>
    <w:rsid w:val="00C07760"/>
    <w:rsid w:val="00C10770"/>
    <w:rsid w:val="00C11480"/>
    <w:rsid w:val="00C12A00"/>
    <w:rsid w:val="00C1335E"/>
    <w:rsid w:val="00C14D9E"/>
    <w:rsid w:val="00C1568F"/>
    <w:rsid w:val="00C157A9"/>
    <w:rsid w:val="00C1608E"/>
    <w:rsid w:val="00C1681A"/>
    <w:rsid w:val="00C1713B"/>
    <w:rsid w:val="00C2097D"/>
    <w:rsid w:val="00C20B34"/>
    <w:rsid w:val="00C20D68"/>
    <w:rsid w:val="00C211F7"/>
    <w:rsid w:val="00C23E66"/>
    <w:rsid w:val="00C25599"/>
    <w:rsid w:val="00C25825"/>
    <w:rsid w:val="00C2606A"/>
    <w:rsid w:val="00C27029"/>
    <w:rsid w:val="00C2784F"/>
    <w:rsid w:val="00C30A3F"/>
    <w:rsid w:val="00C31247"/>
    <w:rsid w:val="00C3142A"/>
    <w:rsid w:val="00C32172"/>
    <w:rsid w:val="00C32DCF"/>
    <w:rsid w:val="00C32F03"/>
    <w:rsid w:val="00C33E19"/>
    <w:rsid w:val="00C33F63"/>
    <w:rsid w:val="00C344C9"/>
    <w:rsid w:val="00C34D5B"/>
    <w:rsid w:val="00C34D6B"/>
    <w:rsid w:val="00C354C6"/>
    <w:rsid w:val="00C3608F"/>
    <w:rsid w:val="00C3768F"/>
    <w:rsid w:val="00C407E7"/>
    <w:rsid w:val="00C40BAA"/>
    <w:rsid w:val="00C4105E"/>
    <w:rsid w:val="00C41A7A"/>
    <w:rsid w:val="00C41D7D"/>
    <w:rsid w:val="00C41E93"/>
    <w:rsid w:val="00C44033"/>
    <w:rsid w:val="00C4648F"/>
    <w:rsid w:val="00C46DD2"/>
    <w:rsid w:val="00C478B4"/>
    <w:rsid w:val="00C500F0"/>
    <w:rsid w:val="00C51032"/>
    <w:rsid w:val="00C51A0E"/>
    <w:rsid w:val="00C5239D"/>
    <w:rsid w:val="00C5256C"/>
    <w:rsid w:val="00C525C3"/>
    <w:rsid w:val="00C52991"/>
    <w:rsid w:val="00C52ECE"/>
    <w:rsid w:val="00C53104"/>
    <w:rsid w:val="00C53415"/>
    <w:rsid w:val="00C53B25"/>
    <w:rsid w:val="00C53F9F"/>
    <w:rsid w:val="00C57033"/>
    <w:rsid w:val="00C5772B"/>
    <w:rsid w:val="00C57732"/>
    <w:rsid w:val="00C57918"/>
    <w:rsid w:val="00C60ECD"/>
    <w:rsid w:val="00C61687"/>
    <w:rsid w:val="00C62E3D"/>
    <w:rsid w:val="00C63045"/>
    <w:rsid w:val="00C634F4"/>
    <w:rsid w:val="00C63A1D"/>
    <w:rsid w:val="00C63D0D"/>
    <w:rsid w:val="00C64BB4"/>
    <w:rsid w:val="00C64C9B"/>
    <w:rsid w:val="00C658E2"/>
    <w:rsid w:val="00C65FDB"/>
    <w:rsid w:val="00C673D8"/>
    <w:rsid w:val="00C67422"/>
    <w:rsid w:val="00C67561"/>
    <w:rsid w:val="00C67960"/>
    <w:rsid w:val="00C67BB4"/>
    <w:rsid w:val="00C710C0"/>
    <w:rsid w:val="00C7203D"/>
    <w:rsid w:val="00C72A67"/>
    <w:rsid w:val="00C72C85"/>
    <w:rsid w:val="00C72F85"/>
    <w:rsid w:val="00C72FA0"/>
    <w:rsid w:val="00C741C5"/>
    <w:rsid w:val="00C74817"/>
    <w:rsid w:val="00C7562A"/>
    <w:rsid w:val="00C75AA6"/>
    <w:rsid w:val="00C76073"/>
    <w:rsid w:val="00C7668F"/>
    <w:rsid w:val="00C767FC"/>
    <w:rsid w:val="00C77872"/>
    <w:rsid w:val="00C77A57"/>
    <w:rsid w:val="00C801CD"/>
    <w:rsid w:val="00C80201"/>
    <w:rsid w:val="00C8056D"/>
    <w:rsid w:val="00C81F05"/>
    <w:rsid w:val="00C82370"/>
    <w:rsid w:val="00C82D5E"/>
    <w:rsid w:val="00C831F4"/>
    <w:rsid w:val="00C83592"/>
    <w:rsid w:val="00C836FE"/>
    <w:rsid w:val="00C83A23"/>
    <w:rsid w:val="00C84376"/>
    <w:rsid w:val="00C84C92"/>
    <w:rsid w:val="00C85C21"/>
    <w:rsid w:val="00C85EB1"/>
    <w:rsid w:val="00C8771F"/>
    <w:rsid w:val="00C87CB0"/>
    <w:rsid w:val="00C90621"/>
    <w:rsid w:val="00C910D3"/>
    <w:rsid w:val="00C912D7"/>
    <w:rsid w:val="00C91C90"/>
    <w:rsid w:val="00C921AD"/>
    <w:rsid w:val="00C9325F"/>
    <w:rsid w:val="00C93436"/>
    <w:rsid w:val="00C93BB7"/>
    <w:rsid w:val="00C9443E"/>
    <w:rsid w:val="00C94475"/>
    <w:rsid w:val="00C94A24"/>
    <w:rsid w:val="00C94E02"/>
    <w:rsid w:val="00C95B4C"/>
    <w:rsid w:val="00C967FE"/>
    <w:rsid w:val="00C970F7"/>
    <w:rsid w:val="00C975D7"/>
    <w:rsid w:val="00C97F4A"/>
    <w:rsid w:val="00CA0217"/>
    <w:rsid w:val="00CA0881"/>
    <w:rsid w:val="00CA0F31"/>
    <w:rsid w:val="00CA10CA"/>
    <w:rsid w:val="00CA1813"/>
    <w:rsid w:val="00CA1A8B"/>
    <w:rsid w:val="00CA1AC6"/>
    <w:rsid w:val="00CA1AFE"/>
    <w:rsid w:val="00CA22DF"/>
    <w:rsid w:val="00CA29E5"/>
    <w:rsid w:val="00CA3114"/>
    <w:rsid w:val="00CA344C"/>
    <w:rsid w:val="00CA3874"/>
    <w:rsid w:val="00CA42C6"/>
    <w:rsid w:val="00CA4588"/>
    <w:rsid w:val="00CA4655"/>
    <w:rsid w:val="00CA4A28"/>
    <w:rsid w:val="00CA5DF6"/>
    <w:rsid w:val="00CA67E9"/>
    <w:rsid w:val="00CA6813"/>
    <w:rsid w:val="00CA6B36"/>
    <w:rsid w:val="00CA6E55"/>
    <w:rsid w:val="00CA70B9"/>
    <w:rsid w:val="00CA7379"/>
    <w:rsid w:val="00CA7F3B"/>
    <w:rsid w:val="00CB09EA"/>
    <w:rsid w:val="00CB125B"/>
    <w:rsid w:val="00CB12A4"/>
    <w:rsid w:val="00CB148C"/>
    <w:rsid w:val="00CB1546"/>
    <w:rsid w:val="00CB2CB9"/>
    <w:rsid w:val="00CB3315"/>
    <w:rsid w:val="00CB67B7"/>
    <w:rsid w:val="00CB76E1"/>
    <w:rsid w:val="00CB7EC2"/>
    <w:rsid w:val="00CC02FF"/>
    <w:rsid w:val="00CC0C7A"/>
    <w:rsid w:val="00CC1774"/>
    <w:rsid w:val="00CC1CF6"/>
    <w:rsid w:val="00CC255A"/>
    <w:rsid w:val="00CC3A99"/>
    <w:rsid w:val="00CC4646"/>
    <w:rsid w:val="00CC468F"/>
    <w:rsid w:val="00CC4792"/>
    <w:rsid w:val="00CC4CA2"/>
    <w:rsid w:val="00CC6E7B"/>
    <w:rsid w:val="00CC70F8"/>
    <w:rsid w:val="00CC715F"/>
    <w:rsid w:val="00CC7695"/>
    <w:rsid w:val="00CD09D2"/>
    <w:rsid w:val="00CD162A"/>
    <w:rsid w:val="00CD170D"/>
    <w:rsid w:val="00CD226A"/>
    <w:rsid w:val="00CD30FE"/>
    <w:rsid w:val="00CD313B"/>
    <w:rsid w:val="00CD32AC"/>
    <w:rsid w:val="00CD3375"/>
    <w:rsid w:val="00CD3994"/>
    <w:rsid w:val="00CD3A75"/>
    <w:rsid w:val="00CD4302"/>
    <w:rsid w:val="00CD4580"/>
    <w:rsid w:val="00CD58BF"/>
    <w:rsid w:val="00CD64E4"/>
    <w:rsid w:val="00CD665A"/>
    <w:rsid w:val="00CD70E5"/>
    <w:rsid w:val="00CE01B4"/>
    <w:rsid w:val="00CE0F8D"/>
    <w:rsid w:val="00CE12AF"/>
    <w:rsid w:val="00CE3165"/>
    <w:rsid w:val="00CE4589"/>
    <w:rsid w:val="00CE4E51"/>
    <w:rsid w:val="00CE5CB4"/>
    <w:rsid w:val="00CE68E2"/>
    <w:rsid w:val="00CE7A24"/>
    <w:rsid w:val="00CF0A7B"/>
    <w:rsid w:val="00CF1396"/>
    <w:rsid w:val="00CF1AD4"/>
    <w:rsid w:val="00CF29B1"/>
    <w:rsid w:val="00CF3767"/>
    <w:rsid w:val="00CF3EF5"/>
    <w:rsid w:val="00CF4402"/>
    <w:rsid w:val="00CF4A64"/>
    <w:rsid w:val="00CF4AE1"/>
    <w:rsid w:val="00CF4FBA"/>
    <w:rsid w:val="00CF5519"/>
    <w:rsid w:val="00CF554B"/>
    <w:rsid w:val="00CF58D6"/>
    <w:rsid w:val="00CF65AF"/>
    <w:rsid w:val="00CF705E"/>
    <w:rsid w:val="00CF7099"/>
    <w:rsid w:val="00CF75DF"/>
    <w:rsid w:val="00CF7943"/>
    <w:rsid w:val="00CF79CD"/>
    <w:rsid w:val="00D0020C"/>
    <w:rsid w:val="00D004DA"/>
    <w:rsid w:val="00D00A86"/>
    <w:rsid w:val="00D00C54"/>
    <w:rsid w:val="00D01072"/>
    <w:rsid w:val="00D0114C"/>
    <w:rsid w:val="00D014D3"/>
    <w:rsid w:val="00D01585"/>
    <w:rsid w:val="00D01F5D"/>
    <w:rsid w:val="00D024F6"/>
    <w:rsid w:val="00D026F9"/>
    <w:rsid w:val="00D02A7A"/>
    <w:rsid w:val="00D02B3C"/>
    <w:rsid w:val="00D02C30"/>
    <w:rsid w:val="00D02FE6"/>
    <w:rsid w:val="00D03ACF"/>
    <w:rsid w:val="00D03D37"/>
    <w:rsid w:val="00D047F8"/>
    <w:rsid w:val="00D04A08"/>
    <w:rsid w:val="00D053DB"/>
    <w:rsid w:val="00D05D8F"/>
    <w:rsid w:val="00D06A18"/>
    <w:rsid w:val="00D06C0D"/>
    <w:rsid w:val="00D06DDE"/>
    <w:rsid w:val="00D07C1D"/>
    <w:rsid w:val="00D10947"/>
    <w:rsid w:val="00D10F4D"/>
    <w:rsid w:val="00D123F0"/>
    <w:rsid w:val="00D125B3"/>
    <w:rsid w:val="00D126C1"/>
    <w:rsid w:val="00D126C4"/>
    <w:rsid w:val="00D128DE"/>
    <w:rsid w:val="00D12A61"/>
    <w:rsid w:val="00D1376C"/>
    <w:rsid w:val="00D14008"/>
    <w:rsid w:val="00D144BB"/>
    <w:rsid w:val="00D15477"/>
    <w:rsid w:val="00D15FCA"/>
    <w:rsid w:val="00D16154"/>
    <w:rsid w:val="00D1735A"/>
    <w:rsid w:val="00D205D4"/>
    <w:rsid w:val="00D20A8E"/>
    <w:rsid w:val="00D2182C"/>
    <w:rsid w:val="00D222C7"/>
    <w:rsid w:val="00D22455"/>
    <w:rsid w:val="00D2309D"/>
    <w:rsid w:val="00D23452"/>
    <w:rsid w:val="00D2362B"/>
    <w:rsid w:val="00D247C6"/>
    <w:rsid w:val="00D24B03"/>
    <w:rsid w:val="00D262C2"/>
    <w:rsid w:val="00D27E03"/>
    <w:rsid w:val="00D30B94"/>
    <w:rsid w:val="00D30F57"/>
    <w:rsid w:val="00D31A73"/>
    <w:rsid w:val="00D33BF7"/>
    <w:rsid w:val="00D352F3"/>
    <w:rsid w:val="00D3534A"/>
    <w:rsid w:val="00D35AAD"/>
    <w:rsid w:val="00D35C74"/>
    <w:rsid w:val="00D3612C"/>
    <w:rsid w:val="00D36323"/>
    <w:rsid w:val="00D372DB"/>
    <w:rsid w:val="00D4003C"/>
    <w:rsid w:val="00D400D6"/>
    <w:rsid w:val="00D407F8"/>
    <w:rsid w:val="00D41C0E"/>
    <w:rsid w:val="00D4221A"/>
    <w:rsid w:val="00D42234"/>
    <w:rsid w:val="00D4234A"/>
    <w:rsid w:val="00D4245C"/>
    <w:rsid w:val="00D42DF4"/>
    <w:rsid w:val="00D42F02"/>
    <w:rsid w:val="00D433D2"/>
    <w:rsid w:val="00D435B0"/>
    <w:rsid w:val="00D435B8"/>
    <w:rsid w:val="00D43CBA"/>
    <w:rsid w:val="00D44CBE"/>
    <w:rsid w:val="00D44E6E"/>
    <w:rsid w:val="00D453A0"/>
    <w:rsid w:val="00D454E1"/>
    <w:rsid w:val="00D45777"/>
    <w:rsid w:val="00D45B3D"/>
    <w:rsid w:val="00D46647"/>
    <w:rsid w:val="00D468EC"/>
    <w:rsid w:val="00D474B2"/>
    <w:rsid w:val="00D478D0"/>
    <w:rsid w:val="00D47D71"/>
    <w:rsid w:val="00D47FED"/>
    <w:rsid w:val="00D5069D"/>
    <w:rsid w:val="00D507F4"/>
    <w:rsid w:val="00D507F5"/>
    <w:rsid w:val="00D50C0A"/>
    <w:rsid w:val="00D514A2"/>
    <w:rsid w:val="00D51B9B"/>
    <w:rsid w:val="00D51D67"/>
    <w:rsid w:val="00D522F6"/>
    <w:rsid w:val="00D523B4"/>
    <w:rsid w:val="00D527F7"/>
    <w:rsid w:val="00D52BAE"/>
    <w:rsid w:val="00D542C6"/>
    <w:rsid w:val="00D54364"/>
    <w:rsid w:val="00D548D8"/>
    <w:rsid w:val="00D54D70"/>
    <w:rsid w:val="00D54F9D"/>
    <w:rsid w:val="00D553D2"/>
    <w:rsid w:val="00D55811"/>
    <w:rsid w:val="00D558F7"/>
    <w:rsid w:val="00D5622D"/>
    <w:rsid w:val="00D56695"/>
    <w:rsid w:val="00D570BD"/>
    <w:rsid w:val="00D57630"/>
    <w:rsid w:val="00D60347"/>
    <w:rsid w:val="00D60762"/>
    <w:rsid w:val="00D60826"/>
    <w:rsid w:val="00D61C03"/>
    <w:rsid w:val="00D62A4F"/>
    <w:rsid w:val="00D63902"/>
    <w:rsid w:val="00D63CD7"/>
    <w:rsid w:val="00D644B2"/>
    <w:rsid w:val="00D64888"/>
    <w:rsid w:val="00D65FE0"/>
    <w:rsid w:val="00D660E9"/>
    <w:rsid w:val="00D668B8"/>
    <w:rsid w:val="00D66D0C"/>
    <w:rsid w:val="00D67A40"/>
    <w:rsid w:val="00D70825"/>
    <w:rsid w:val="00D710BF"/>
    <w:rsid w:val="00D72D38"/>
    <w:rsid w:val="00D73B8F"/>
    <w:rsid w:val="00D73F61"/>
    <w:rsid w:val="00D740C1"/>
    <w:rsid w:val="00D7490C"/>
    <w:rsid w:val="00D74FA7"/>
    <w:rsid w:val="00D7558E"/>
    <w:rsid w:val="00D75AD2"/>
    <w:rsid w:val="00D75FCC"/>
    <w:rsid w:val="00D76421"/>
    <w:rsid w:val="00D764DE"/>
    <w:rsid w:val="00D76BFD"/>
    <w:rsid w:val="00D80362"/>
    <w:rsid w:val="00D804D0"/>
    <w:rsid w:val="00D8097B"/>
    <w:rsid w:val="00D81EB2"/>
    <w:rsid w:val="00D82695"/>
    <w:rsid w:val="00D83416"/>
    <w:rsid w:val="00D84110"/>
    <w:rsid w:val="00D84C8A"/>
    <w:rsid w:val="00D85309"/>
    <w:rsid w:val="00D85C8C"/>
    <w:rsid w:val="00D8628E"/>
    <w:rsid w:val="00D863C9"/>
    <w:rsid w:val="00D87B80"/>
    <w:rsid w:val="00D90B8B"/>
    <w:rsid w:val="00D90D1B"/>
    <w:rsid w:val="00D9149C"/>
    <w:rsid w:val="00D927DC"/>
    <w:rsid w:val="00D92A2B"/>
    <w:rsid w:val="00D93287"/>
    <w:rsid w:val="00D93517"/>
    <w:rsid w:val="00D93D15"/>
    <w:rsid w:val="00D93DAE"/>
    <w:rsid w:val="00D94DB7"/>
    <w:rsid w:val="00D94E0F"/>
    <w:rsid w:val="00D9505E"/>
    <w:rsid w:val="00D95716"/>
    <w:rsid w:val="00D95B88"/>
    <w:rsid w:val="00D95BB8"/>
    <w:rsid w:val="00D96696"/>
    <w:rsid w:val="00D96B03"/>
    <w:rsid w:val="00D97632"/>
    <w:rsid w:val="00D97D6E"/>
    <w:rsid w:val="00DA05A3"/>
    <w:rsid w:val="00DA0A7A"/>
    <w:rsid w:val="00DA272E"/>
    <w:rsid w:val="00DA2862"/>
    <w:rsid w:val="00DA2C62"/>
    <w:rsid w:val="00DA2E6E"/>
    <w:rsid w:val="00DA3038"/>
    <w:rsid w:val="00DA44C2"/>
    <w:rsid w:val="00DA4827"/>
    <w:rsid w:val="00DA5277"/>
    <w:rsid w:val="00DA531C"/>
    <w:rsid w:val="00DA5BBF"/>
    <w:rsid w:val="00DA5F8B"/>
    <w:rsid w:val="00DA6356"/>
    <w:rsid w:val="00DA6BB7"/>
    <w:rsid w:val="00DA7214"/>
    <w:rsid w:val="00DA7C20"/>
    <w:rsid w:val="00DA7FCC"/>
    <w:rsid w:val="00DB0DBA"/>
    <w:rsid w:val="00DB136F"/>
    <w:rsid w:val="00DB141E"/>
    <w:rsid w:val="00DB2607"/>
    <w:rsid w:val="00DB318F"/>
    <w:rsid w:val="00DB588A"/>
    <w:rsid w:val="00DB5A91"/>
    <w:rsid w:val="00DB5BBE"/>
    <w:rsid w:val="00DB5D0A"/>
    <w:rsid w:val="00DB630A"/>
    <w:rsid w:val="00DB6327"/>
    <w:rsid w:val="00DB63A2"/>
    <w:rsid w:val="00DB6FD0"/>
    <w:rsid w:val="00DB7744"/>
    <w:rsid w:val="00DB7968"/>
    <w:rsid w:val="00DC0186"/>
    <w:rsid w:val="00DC0610"/>
    <w:rsid w:val="00DC0942"/>
    <w:rsid w:val="00DC0ABF"/>
    <w:rsid w:val="00DC0CF9"/>
    <w:rsid w:val="00DC12A9"/>
    <w:rsid w:val="00DC15DD"/>
    <w:rsid w:val="00DC19EB"/>
    <w:rsid w:val="00DC22DD"/>
    <w:rsid w:val="00DC25FE"/>
    <w:rsid w:val="00DC28D2"/>
    <w:rsid w:val="00DC2A15"/>
    <w:rsid w:val="00DC2CA2"/>
    <w:rsid w:val="00DC310F"/>
    <w:rsid w:val="00DC3742"/>
    <w:rsid w:val="00DC374B"/>
    <w:rsid w:val="00DC3B1F"/>
    <w:rsid w:val="00DC3BF2"/>
    <w:rsid w:val="00DC5741"/>
    <w:rsid w:val="00DC5ACE"/>
    <w:rsid w:val="00DC6459"/>
    <w:rsid w:val="00DC6A0F"/>
    <w:rsid w:val="00DC7A71"/>
    <w:rsid w:val="00DD1393"/>
    <w:rsid w:val="00DD1E5E"/>
    <w:rsid w:val="00DD2245"/>
    <w:rsid w:val="00DD2ADB"/>
    <w:rsid w:val="00DD409D"/>
    <w:rsid w:val="00DD4C89"/>
    <w:rsid w:val="00DD4FB3"/>
    <w:rsid w:val="00DD59C7"/>
    <w:rsid w:val="00DD631F"/>
    <w:rsid w:val="00DD66B8"/>
    <w:rsid w:val="00DD69BE"/>
    <w:rsid w:val="00DD6C74"/>
    <w:rsid w:val="00DD74F1"/>
    <w:rsid w:val="00DE03D5"/>
    <w:rsid w:val="00DE094D"/>
    <w:rsid w:val="00DE0CB4"/>
    <w:rsid w:val="00DE1D35"/>
    <w:rsid w:val="00DE2499"/>
    <w:rsid w:val="00DE316C"/>
    <w:rsid w:val="00DE3B0E"/>
    <w:rsid w:val="00DE5096"/>
    <w:rsid w:val="00DE54ED"/>
    <w:rsid w:val="00DE6914"/>
    <w:rsid w:val="00DE6D78"/>
    <w:rsid w:val="00DE702A"/>
    <w:rsid w:val="00DE7059"/>
    <w:rsid w:val="00DE7069"/>
    <w:rsid w:val="00DE74CD"/>
    <w:rsid w:val="00DE784C"/>
    <w:rsid w:val="00DF0CD6"/>
    <w:rsid w:val="00DF0DFC"/>
    <w:rsid w:val="00DF1003"/>
    <w:rsid w:val="00DF203C"/>
    <w:rsid w:val="00DF343D"/>
    <w:rsid w:val="00DF37BD"/>
    <w:rsid w:val="00DF5537"/>
    <w:rsid w:val="00DF60D5"/>
    <w:rsid w:val="00DF63D5"/>
    <w:rsid w:val="00DF66B0"/>
    <w:rsid w:val="00DF6E0B"/>
    <w:rsid w:val="00DF6FF0"/>
    <w:rsid w:val="00DF7299"/>
    <w:rsid w:val="00DF744D"/>
    <w:rsid w:val="00DF74FB"/>
    <w:rsid w:val="00DF7C24"/>
    <w:rsid w:val="00E0031A"/>
    <w:rsid w:val="00E00F58"/>
    <w:rsid w:val="00E01C2E"/>
    <w:rsid w:val="00E02303"/>
    <w:rsid w:val="00E02854"/>
    <w:rsid w:val="00E036D0"/>
    <w:rsid w:val="00E03980"/>
    <w:rsid w:val="00E045BC"/>
    <w:rsid w:val="00E0486A"/>
    <w:rsid w:val="00E0503E"/>
    <w:rsid w:val="00E058E3"/>
    <w:rsid w:val="00E05BEC"/>
    <w:rsid w:val="00E05E2D"/>
    <w:rsid w:val="00E05EDA"/>
    <w:rsid w:val="00E0602B"/>
    <w:rsid w:val="00E066DD"/>
    <w:rsid w:val="00E06A8B"/>
    <w:rsid w:val="00E06E0B"/>
    <w:rsid w:val="00E06FC5"/>
    <w:rsid w:val="00E07015"/>
    <w:rsid w:val="00E07DE3"/>
    <w:rsid w:val="00E10886"/>
    <w:rsid w:val="00E10E27"/>
    <w:rsid w:val="00E10FE9"/>
    <w:rsid w:val="00E115E1"/>
    <w:rsid w:val="00E12C14"/>
    <w:rsid w:val="00E137FD"/>
    <w:rsid w:val="00E14E52"/>
    <w:rsid w:val="00E15207"/>
    <w:rsid w:val="00E154D7"/>
    <w:rsid w:val="00E15CB4"/>
    <w:rsid w:val="00E15F70"/>
    <w:rsid w:val="00E162FA"/>
    <w:rsid w:val="00E169E4"/>
    <w:rsid w:val="00E20A73"/>
    <w:rsid w:val="00E20C52"/>
    <w:rsid w:val="00E2157A"/>
    <w:rsid w:val="00E21713"/>
    <w:rsid w:val="00E21CF1"/>
    <w:rsid w:val="00E26FF6"/>
    <w:rsid w:val="00E27130"/>
    <w:rsid w:val="00E27D33"/>
    <w:rsid w:val="00E300A9"/>
    <w:rsid w:val="00E31AB9"/>
    <w:rsid w:val="00E31C96"/>
    <w:rsid w:val="00E32C8D"/>
    <w:rsid w:val="00E334AC"/>
    <w:rsid w:val="00E3383A"/>
    <w:rsid w:val="00E33D01"/>
    <w:rsid w:val="00E34821"/>
    <w:rsid w:val="00E34D00"/>
    <w:rsid w:val="00E34F11"/>
    <w:rsid w:val="00E35C9D"/>
    <w:rsid w:val="00E3617A"/>
    <w:rsid w:val="00E36562"/>
    <w:rsid w:val="00E365FC"/>
    <w:rsid w:val="00E370FA"/>
    <w:rsid w:val="00E378AC"/>
    <w:rsid w:val="00E37C0D"/>
    <w:rsid w:val="00E37E17"/>
    <w:rsid w:val="00E37FC6"/>
    <w:rsid w:val="00E40307"/>
    <w:rsid w:val="00E40EB0"/>
    <w:rsid w:val="00E41D36"/>
    <w:rsid w:val="00E427A1"/>
    <w:rsid w:val="00E435F2"/>
    <w:rsid w:val="00E43E85"/>
    <w:rsid w:val="00E44190"/>
    <w:rsid w:val="00E4523A"/>
    <w:rsid w:val="00E4531F"/>
    <w:rsid w:val="00E45795"/>
    <w:rsid w:val="00E46303"/>
    <w:rsid w:val="00E46D7D"/>
    <w:rsid w:val="00E4726C"/>
    <w:rsid w:val="00E4728D"/>
    <w:rsid w:val="00E508EC"/>
    <w:rsid w:val="00E50FD8"/>
    <w:rsid w:val="00E512EE"/>
    <w:rsid w:val="00E520F9"/>
    <w:rsid w:val="00E5241B"/>
    <w:rsid w:val="00E5251D"/>
    <w:rsid w:val="00E528C8"/>
    <w:rsid w:val="00E52A0C"/>
    <w:rsid w:val="00E52B50"/>
    <w:rsid w:val="00E52D8D"/>
    <w:rsid w:val="00E5330C"/>
    <w:rsid w:val="00E53E47"/>
    <w:rsid w:val="00E54F18"/>
    <w:rsid w:val="00E55A3A"/>
    <w:rsid w:val="00E55C6A"/>
    <w:rsid w:val="00E55D8B"/>
    <w:rsid w:val="00E55DA2"/>
    <w:rsid w:val="00E5618A"/>
    <w:rsid w:val="00E56CD7"/>
    <w:rsid w:val="00E572F2"/>
    <w:rsid w:val="00E574C1"/>
    <w:rsid w:val="00E576F0"/>
    <w:rsid w:val="00E57CCB"/>
    <w:rsid w:val="00E57ECC"/>
    <w:rsid w:val="00E608B5"/>
    <w:rsid w:val="00E608C5"/>
    <w:rsid w:val="00E60F31"/>
    <w:rsid w:val="00E61CBB"/>
    <w:rsid w:val="00E6220F"/>
    <w:rsid w:val="00E6270B"/>
    <w:rsid w:val="00E62CA8"/>
    <w:rsid w:val="00E653B6"/>
    <w:rsid w:val="00E661CA"/>
    <w:rsid w:val="00E66D8C"/>
    <w:rsid w:val="00E67AB6"/>
    <w:rsid w:val="00E67ABD"/>
    <w:rsid w:val="00E67D85"/>
    <w:rsid w:val="00E67F3E"/>
    <w:rsid w:val="00E70A32"/>
    <w:rsid w:val="00E70BC7"/>
    <w:rsid w:val="00E70FB3"/>
    <w:rsid w:val="00E71A75"/>
    <w:rsid w:val="00E722EA"/>
    <w:rsid w:val="00E7279A"/>
    <w:rsid w:val="00E72A9A"/>
    <w:rsid w:val="00E74691"/>
    <w:rsid w:val="00E74F27"/>
    <w:rsid w:val="00E75292"/>
    <w:rsid w:val="00E7530C"/>
    <w:rsid w:val="00E753D3"/>
    <w:rsid w:val="00E7643D"/>
    <w:rsid w:val="00E778E8"/>
    <w:rsid w:val="00E8147C"/>
    <w:rsid w:val="00E81AD1"/>
    <w:rsid w:val="00E81B43"/>
    <w:rsid w:val="00E81F0F"/>
    <w:rsid w:val="00E82C7F"/>
    <w:rsid w:val="00E82CD3"/>
    <w:rsid w:val="00E83073"/>
    <w:rsid w:val="00E832E6"/>
    <w:rsid w:val="00E83762"/>
    <w:rsid w:val="00E84236"/>
    <w:rsid w:val="00E84A5E"/>
    <w:rsid w:val="00E84E9B"/>
    <w:rsid w:val="00E856AA"/>
    <w:rsid w:val="00E8581D"/>
    <w:rsid w:val="00E86567"/>
    <w:rsid w:val="00E86592"/>
    <w:rsid w:val="00E866EA"/>
    <w:rsid w:val="00E870FB"/>
    <w:rsid w:val="00E900EC"/>
    <w:rsid w:val="00E90495"/>
    <w:rsid w:val="00E90830"/>
    <w:rsid w:val="00E910B4"/>
    <w:rsid w:val="00E9112A"/>
    <w:rsid w:val="00E92262"/>
    <w:rsid w:val="00E92B7F"/>
    <w:rsid w:val="00E9305D"/>
    <w:rsid w:val="00E94D58"/>
    <w:rsid w:val="00E94FCE"/>
    <w:rsid w:val="00E95B32"/>
    <w:rsid w:val="00E96F10"/>
    <w:rsid w:val="00EA08CF"/>
    <w:rsid w:val="00EA09B1"/>
    <w:rsid w:val="00EA0A6F"/>
    <w:rsid w:val="00EA0EA8"/>
    <w:rsid w:val="00EA1153"/>
    <w:rsid w:val="00EA1B31"/>
    <w:rsid w:val="00EA2BA7"/>
    <w:rsid w:val="00EA3E60"/>
    <w:rsid w:val="00EA43CE"/>
    <w:rsid w:val="00EA4933"/>
    <w:rsid w:val="00EA4A42"/>
    <w:rsid w:val="00EA4FE9"/>
    <w:rsid w:val="00EA5261"/>
    <w:rsid w:val="00EA5763"/>
    <w:rsid w:val="00EA57AD"/>
    <w:rsid w:val="00EA57C6"/>
    <w:rsid w:val="00EA6531"/>
    <w:rsid w:val="00EA73DA"/>
    <w:rsid w:val="00EA7F95"/>
    <w:rsid w:val="00EB0BCC"/>
    <w:rsid w:val="00EB0E92"/>
    <w:rsid w:val="00EB0FD1"/>
    <w:rsid w:val="00EB1D05"/>
    <w:rsid w:val="00EB2189"/>
    <w:rsid w:val="00EB2427"/>
    <w:rsid w:val="00EB27E7"/>
    <w:rsid w:val="00EB2A4A"/>
    <w:rsid w:val="00EB2B34"/>
    <w:rsid w:val="00EB2EA9"/>
    <w:rsid w:val="00EB326E"/>
    <w:rsid w:val="00EB61A5"/>
    <w:rsid w:val="00EB63D7"/>
    <w:rsid w:val="00EB63F5"/>
    <w:rsid w:val="00EB67D1"/>
    <w:rsid w:val="00EB6AD5"/>
    <w:rsid w:val="00EB6FF7"/>
    <w:rsid w:val="00EB72F9"/>
    <w:rsid w:val="00EB763D"/>
    <w:rsid w:val="00EB7775"/>
    <w:rsid w:val="00EB7F6D"/>
    <w:rsid w:val="00EC0879"/>
    <w:rsid w:val="00EC14AA"/>
    <w:rsid w:val="00EC1CBD"/>
    <w:rsid w:val="00EC2CC6"/>
    <w:rsid w:val="00EC3790"/>
    <w:rsid w:val="00EC3DC5"/>
    <w:rsid w:val="00EC3E54"/>
    <w:rsid w:val="00EC4743"/>
    <w:rsid w:val="00EC52E6"/>
    <w:rsid w:val="00EC5568"/>
    <w:rsid w:val="00EC58B3"/>
    <w:rsid w:val="00EC5B81"/>
    <w:rsid w:val="00EC5D81"/>
    <w:rsid w:val="00EC63B5"/>
    <w:rsid w:val="00EC66E0"/>
    <w:rsid w:val="00EC6FF2"/>
    <w:rsid w:val="00EC7853"/>
    <w:rsid w:val="00EC7DAF"/>
    <w:rsid w:val="00ED007C"/>
    <w:rsid w:val="00ED0981"/>
    <w:rsid w:val="00ED0B05"/>
    <w:rsid w:val="00ED174C"/>
    <w:rsid w:val="00ED1876"/>
    <w:rsid w:val="00ED33AF"/>
    <w:rsid w:val="00ED3407"/>
    <w:rsid w:val="00ED441D"/>
    <w:rsid w:val="00ED4F4F"/>
    <w:rsid w:val="00ED526C"/>
    <w:rsid w:val="00ED5FEB"/>
    <w:rsid w:val="00ED6E51"/>
    <w:rsid w:val="00ED7665"/>
    <w:rsid w:val="00ED799A"/>
    <w:rsid w:val="00ED7E45"/>
    <w:rsid w:val="00ED7ED0"/>
    <w:rsid w:val="00EE0497"/>
    <w:rsid w:val="00EE0788"/>
    <w:rsid w:val="00EE0DF5"/>
    <w:rsid w:val="00EE0F25"/>
    <w:rsid w:val="00EE11FE"/>
    <w:rsid w:val="00EE1BAE"/>
    <w:rsid w:val="00EE1C9A"/>
    <w:rsid w:val="00EE1CF8"/>
    <w:rsid w:val="00EE2250"/>
    <w:rsid w:val="00EE22FF"/>
    <w:rsid w:val="00EE238A"/>
    <w:rsid w:val="00EE3C49"/>
    <w:rsid w:val="00EE3D27"/>
    <w:rsid w:val="00EE43E1"/>
    <w:rsid w:val="00EE497E"/>
    <w:rsid w:val="00EE4CC1"/>
    <w:rsid w:val="00EE4D47"/>
    <w:rsid w:val="00EE6B30"/>
    <w:rsid w:val="00EE7207"/>
    <w:rsid w:val="00EE73AE"/>
    <w:rsid w:val="00EE7AB1"/>
    <w:rsid w:val="00EE7F44"/>
    <w:rsid w:val="00EF03E0"/>
    <w:rsid w:val="00EF101B"/>
    <w:rsid w:val="00EF123A"/>
    <w:rsid w:val="00EF1E0D"/>
    <w:rsid w:val="00EF28C3"/>
    <w:rsid w:val="00EF3058"/>
    <w:rsid w:val="00EF3AC0"/>
    <w:rsid w:val="00EF3DC8"/>
    <w:rsid w:val="00EF437D"/>
    <w:rsid w:val="00EF4DC5"/>
    <w:rsid w:val="00EF526D"/>
    <w:rsid w:val="00EF6121"/>
    <w:rsid w:val="00EF665B"/>
    <w:rsid w:val="00EF6B69"/>
    <w:rsid w:val="00EF7455"/>
    <w:rsid w:val="00EF75EC"/>
    <w:rsid w:val="00F000B2"/>
    <w:rsid w:val="00F00219"/>
    <w:rsid w:val="00F005CE"/>
    <w:rsid w:val="00F008F8"/>
    <w:rsid w:val="00F014E7"/>
    <w:rsid w:val="00F015CD"/>
    <w:rsid w:val="00F01B08"/>
    <w:rsid w:val="00F0235F"/>
    <w:rsid w:val="00F02395"/>
    <w:rsid w:val="00F027B0"/>
    <w:rsid w:val="00F028D4"/>
    <w:rsid w:val="00F02D76"/>
    <w:rsid w:val="00F032E0"/>
    <w:rsid w:val="00F060F4"/>
    <w:rsid w:val="00F0629F"/>
    <w:rsid w:val="00F06756"/>
    <w:rsid w:val="00F06C91"/>
    <w:rsid w:val="00F06FA1"/>
    <w:rsid w:val="00F0788B"/>
    <w:rsid w:val="00F079B2"/>
    <w:rsid w:val="00F07A3E"/>
    <w:rsid w:val="00F1102A"/>
    <w:rsid w:val="00F117B4"/>
    <w:rsid w:val="00F11CA0"/>
    <w:rsid w:val="00F12884"/>
    <w:rsid w:val="00F12F89"/>
    <w:rsid w:val="00F13461"/>
    <w:rsid w:val="00F13FC5"/>
    <w:rsid w:val="00F14F6F"/>
    <w:rsid w:val="00F15B24"/>
    <w:rsid w:val="00F1629E"/>
    <w:rsid w:val="00F16512"/>
    <w:rsid w:val="00F16C3F"/>
    <w:rsid w:val="00F17D93"/>
    <w:rsid w:val="00F17DA7"/>
    <w:rsid w:val="00F207B9"/>
    <w:rsid w:val="00F20A2F"/>
    <w:rsid w:val="00F22FA4"/>
    <w:rsid w:val="00F22FD8"/>
    <w:rsid w:val="00F2306B"/>
    <w:rsid w:val="00F23CD9"/>
    <w:rsid w:val="00F24282"/>
    <w:rsid w:val="00F2501D"/>
    <w:rsid w:val="00F256B1"/>
    <w:rsid w:val="00F259B8"/>
    <w:rsid w:val="00F2610F"/>
    <w:rsid w:val="00F27678"/>
    <w:rsid w:val="00F3237D"/>
    <w:rsid w:val="00F33C02"/>
    <w:rsid w:val="00F33E46"/>
    <w:rsid w:val="00F34F41"/>
    <w:rsid w:val="00F352AF"/>
    <w:rsid w:val="00F35E9F"/>
    <w:rsid w:val="00F371DE"/>
    <w:rsid w:val="00F373F8"/>
    <w:rsid w:val="00F40196"/>
    <w:rsid w:val="00F404E6"/>
    <w:rsid w:val="00F41130"/>
    <w:rsid w:val="00F41A12"/>
    <w:rsid w:val="00F41FA8"/>
    <w:rsid w:val="00F421E4"/>
    <w:rsid w:val="00F42B2F"/>
    <w:rsid w:val="00F4422F"/>
    <w:rsid w:val="00F4423D"/>
    <w:rsid w:val="00F44E1B"/>
    <w:rsid w:val="00F451FA"/>
    <w:rsid w:val="00F46C8D"/>
    <w:rsid w:val="00F46CB6"/>
    <w:rsid w:val="00F46E31"/>
    <w:rsid w:val="00F47219"/>
    <w:rsid w:val="00F472A6"/>
    <w:rsid w:val="00F5078C"/>
    <w:rsid w:val="00F50BC7"/>
    <w:rsid w:val="00F5333D"/>
    <w:rsid w:val="00F54157"/>
    <w:rsid w:val="00F542A0"/>
    <w:rsid w:val="00F54959"/>
    <w:rsid w:val="00F54B8A"/>
    <w:rsid w:val="00F5511F"/>
    <w:rsid w:val="00F5578A"/>
    <w:rsid w:val="00F55892"/>
    <w:rsid w:val="00F55F79"/>
    <w:rsid w:val="00F560B1"/>
    <w:rsid w:val="00F56B33"/>
    <w:rsid w:val="00F56C23"/>
    <w:rsid w:val="00F57263"/>
    <w:rsid w:val="00F57B27"/>
    <w:rsid w:val="00F57BE4"/>
    <w:rsid w:val="00F6060A"/>
    <w:rsid w:val="00F6076B"/>
    <w:rsid w:val="00F61ADE"/>
    <w:rsid w:val="00F61C2C"/>
    <w:rsid w:val="00F61ECD"/>
    <w:rsid w:val="00F62102"/>
    <w:rsid w:val="00F6236B"/>
    <w:rsid w:val="00F62595"/>
    <w:rsid w:val="00F63058"/>
    <w:rsid w:val="00F63180"/>
    <w:rsid w:val="00F63691"/>
    <w:rsid w:val="00F638D6"/>
    <w:rsid w:val="00F6449A"/>
    <w:rsid w:val="00F64ED6"/>
    <w:rsid w:val="00F66480"/>
    <w:rsid w:val="00F701E7"/>
    <w:rsid w:val="00F705C6"/>
    <w:rsid w:val="00F70B42"/>
    <w:rsid w:val="00F71000"/>
    <w:rsid w:val="00F71905"/>
    <w:rsid w:val="00F71912"/>
    <w:rsid w:val="00F7209F"/>
    <w:rsid w:val="00F7280B"/>
    <w:rsid w:val="00F72C1E"/>
    <w:rsid w:val="00F7413A"/>
    <w:rsid w:val="00F74367"/>
    <w:rsid w:val="00F743C0"/>
    <w:rsid w:val="00F746BE"/>
    <w:rsid w:val="00F74B06"/>
    <w:rsid w:val="00F75961"/>
    <w:rsid w:val="00F75FB4"/>
    <w:rsid w:val="00F7637F"/>
    <w:rsid w:val="00F76C3E"/>
    <w:rsid w:val="00F76EF0"/>
    <w:rsid w:val="00F7702D"/>
    <w:rsid w:val="00F770A2"/>
    <w:rsid w:val="00F77791"/>
    <w:rsid w:val="00F77E6C"/>
    <w:rsid w:val="00F805A8"/>
    <w:rsid w:val="00F80B02"/>
    <w:rsid w:val="00F81216"/>
    <w:rsid w:val="00F81A36"/>
    <w:rsid w:val="00F81B2B"/>
    <w:rsid w:val="00F820AE"/>
    <w:rsid w:val="00F82857"/>
    <w:rsid w:val="00F82B75"/>
    <w:rsid w:val="00F82FB5"/>
    <w:rsid w:val="00F8333A"/>
    <w:rsid w:val="00F83367"/>
    <w:rsid w:val="00F8454D"/>
    <w:rsid w:val="00F84D50"/>
    <w:rsid w:val="00F850FB"/>
    <w:rsid w:val="00F8513E"/>
    <w:rsid w:val="00F8583E"/>
    <w:rsid w:val="00F86E3B"/>
    <w:rsid w:val="00F87038"/>
    <w:rsid w:val="00F870EF"/>
    <w:rsid w:val="00F87888"/>
    <w:rsid w:val="00F90197"/>
    <w:rsid w:val="00F91F8E"/>
    <w:rsid w:val="00F9270F"/>
    <w:rsid w:val="00F92BAC"/>
    <w:rsid w:val="00F9398E"/>
    <w:rsid w:val="00F93B37"/>
    <w:rsid w:val="00F94617"/>
    <w:rsid w:val="00F94BE6"/>
    <w:rsid w:val="00F94E1C"/>
    <w:rsid w:val="00F95796"/>
    <w:rsid w:val="00F96669"/>
    <w:rsid w:val="00F96992"/>
    <w:rsid w:val="00F96A08"/>
    <w:rsid w:val="00F96DCE"/>
    <w:rsid w:val="00F977E0"/>
    <w:rsid w:val="00F97B1B"/>
    <w:rsid w:val="00FA09D4"/>
    <w:rsid w:val="00FA0DC6"/>
    <w:rsid w:val="00FA1215"/>
    <w:rsid w:val="00FA1658"/>
    <w:rsid w:val="00FA18DB"/>
    <w:rsid w:val="00FA1A2F"/>
    <w:rsid w:val="00FA1CE0"/>
    <w:rsid w:val="00FA1EB6"/>
    <w:rsid w:val="00FA323B"/>
    <w:rsid w:val="00FA395C"/>
    <w:rsid w:val="00FA5A53"/>
    <w:rsid w:val="00FA6536"/>
    <w:rsid w:val="00FA6A15"/>
    <w:rsid w:val="00FA7D98"/>
    <w:rsid w:val="00FB0134"/>
    <w:rsid w:val="00FB06C0"/>
    <w:rsid w:val="00FB19EB"/>
    <w:rsid w:val="00FB1DFF"/>
    <w:rsid w:val="00FB1EBB"/>
    <w:rsid w:val="00FB20E9"/>
    <w:rsid w:val="00FB2CAD"/>
    <w:rsid w:val="00FB2DAF"/>
    <w:rsid w:val="00FB300D"/>
    <w:rsid w:val="00FB35F7"/>
    <w:rsid w:val="00FB388C"/>
    <w:rsid w:val="00FB3938"/>
    <w:rsid w:val="00FB3B08"/>
    <w:rsid w:val="00FB3D68"/>
    <w:rsid w:val="00FB3DD4"/>
    <w:rsid w:val="00FB40A2"/>
    <w:rsid w:val="00FB55E4"/>
    <w:rsid w:val="00FB61E2"/>
    <w:rsid w:val="00FB627F"/>
    <w:rsid w:val="00FB636C"/>
    <w:rsid w:val="00FC002F"/>
    <w:rsid w:val="00FC0490"/>
    <w:rsid w:val="00FC08A4"/>
    <w:rsid w:val="00FC0C17"/>
    <w:rsid w:val="00FC14BF"/>
    <w:rsid w:val="00FC1D2F"/>
    <w:rsid w:val="00FC2741"/>
    <w:rsid w:val="00FC2DC1"/>
    <w:rsid w:val="00FC2DF7"/>
    <w:rsid w:val="00FC2E08"/>
    <w:rsid w:val="00FC3830"/>
    <w:rsid w:val="00FC38F3"/>
    <w:rsid w:val="00FC3B4F"/>
    <w:rsid w:val="00FC4A4E"/>
    <w:rsid w:val="00FC63D6"/>
    <w:rsid w:val="00FC7D19"/>
    <w:rsid w:val="00FD0045"/>
    <w:rsid w:val="00FD0473"/>
    <w:rsid w:val="00FD0C85"/>
    <w:rsid w:val="00FD1A9F"/>
    <w:rsid w:val="00FD30E3"/>
    <w:rsid w:val="00FD32E5"/>
    <w:rsid w:val="00FD3599"/>
    <w:rsid w:val="00FD3D6C"/>
    <w:rsid w:val="00FD3F8D"/>
    <w:rsid w:val="00FD433E"/>
    <w:rsid w:val="00FD4D63"/>
    <w:rsid w:val="00FD6B8E"/>
    <w:rsid w:val="00FD6D7C"/>
    <w:rsid w:val="00FD7585"/>
    <w:rsid w:val="00FD7FA0"/>
    <w:rsid w:val="00FE0A43"/>
    <w:rsid w:val="00FE0FF8"/>
    <w:rsid w:val="00FE101F"/>
    <w:rsid w:val="00FE1400"/>
    <w:rsid w:val="00FE277C"/>
    <w:rsid w:val="00FE2C65"/>
    <w:rsid w:val="00FE2D66"/>
    <w:rsid w:val="00FE44D9"/>
    <w:rsid w:val="00FE4903"/>
    <w:rsid w:val="00FE5BCE"/>
    <w:rsid w:val="00FE5C57"/>
    <w:rsid w:val="00FE71C3"/>
    <w:rsid w:val="00FE75C1"/>
    <w:rsid w:val="00FF09C2"/>
    <w:rsid w:val="00FF0BE1"/>
    <w:rsid w:val="00FF0F53"/>
    <w:rsid w:val="00FF17B2"/>
    <w:rsid w:val="00FF1B41"/>
    <w:rsid w:val="00FF22B2"/>
    <w:rsid w:val="00FF2B1F"/>
    <w:rsid w:val="00FF2B84"/>
    <w:rsid w:val="00FF2EDD"/>
    <w:rsid w:val="00FF323A"/>
    <w:rsid w:val="00FF3302"/>
    <w:rsid w:val="00FF34B6"/>
    <w:rsid w:val="00FF3623"/>
    <w:rsid w:val="00FF4517"/>
    <w:rsid w:val="00FF5003"/>
    <w:rsid w:val="00FF5121"/>
    <w:rsid w:val="00FF5564"/>
    <w:rsid w:val="00FF5723"/>
    <w:rsid w:val="00FF600E"/>
    <w:rsid w:val="00FF6017"/>
    <w:rsid w:val="00FF634E"/>
    <w:rsid w:val="00FF6973"/>
    <w:rsid w:val="00FF70E4"/>
    <w:rsid w:val="00FF76AE"/>
    <w:rsid w:val="00FF7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4337"/>
    <o:shapelayout v:ext="edit">
      <o:idmap v:ext="edit" data="1"/>
    </o:shapelayout>
  </w:shapeDefaults>
  <w:decimalSymbol w:val=","/>
  <w:listSeparator w:val=";"/>
  <w15:chartTrackingRefBased/>
  <w15:docId w15:val="{95629E1F-A0ED-4332-BBF7-58BCE2C0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 w:val="22"/>
    </w:rPr>
  </w:style>
  <w:style w:type="paragraph" w:styleId="Nadpis1">
    <w:name w:val="heading 1"/>
    <w:aliases w:val="Deloitte Heading 1,Heading 1 Char1 Char,Heading 1 Char Char Char,h1 Char Char Char,H1 Char Char Char,1 Char1 Char Char,Naglówek 1 Char Char Char,Naglówek 11 Char Char Char,Heading 1 Char1 Char Char Char,Heading 1 Char Char Char Char Char,1 gh"/>
    <w:basedOn w:val="Normln"/>
    <w:next w:val="Normln"/>
    <w:link w:val="Nadpis1Char"/>
    <w:uiPriority w:val="99"/>
    <w:qFormat/>
    <w:rsid w:val="00180C0D"/>
    <w:pPr>
      <w:keepNext/>
      <w:keepLines/>
      <w:numPr>
        <w:numId w:val="1"/>
      </w:numPr>
      <w:spacing w:before="480"/>
      <w:outlineLvl w:val="0"/>
    </w:pPr>
    <w:rPr>
      <w:rFonts w:ascii="Cambria" w:hAnsi="Cambria"/>
      <w:b/>
      <w:bCs/>
      <w:color w:val="1F497D"/>
      <w:sz w:val="36"/>
      <w:szCs w:val="28"/>
    </w:rPr>
  </w:style>
  <w:style w:type="paragraph" w:styleId="Nadpis2">
    <w:name w:val="heading 2"/>
    <w:aliases w:val="h2,Normal Heading 2,LetHead2,- 1,2,3,H2,Heading_eng 2,Main header,Outline2 Char,HAA-Section Char,Sub Heading Char,ignorer2 Char,Nadpis_2 Char,adpis 2 Char,Nadpis 2 úroveň Char,Outline2,HAA-Section,Sub Heading,ignorer2,Nadpis_2,2m"/>
    <w:basedOn w:val="Normln"/>
    <w:next w:val="Normln"/>
    <w:link w:val="Nadpis2Char"/>
    <w:uiPriority w:val="99"/>
    <w:qFormat/>
    <w:rsid w:val="00CC70F8"/>
    <w:pPr>
      <w:keepNext/>
      <w:keepLines/>
      <w:numPr>
        <w:ilvl w:val="1"/>
        <w:numId w:val="1"/>
      </w:numPr>
      <w:spacing w:before="200" w:after="240"/>
      <w:outlineLvl w:val="1"/>
    </w:pPr>
    <w:rPr>
      <w:rFonts w:ascii="Cambria" w:hAnsi="Cambria"/>
      <w:b/>
      <w:bCs/>
      <w:color w:val="548DD4"/>
      <w:sz w:val="28"/>
      <w:szCs w:val="26"/>
    </w:rPr>
  </w:style>
  <w:style w:type="paragraph" w:styleId="Nadpis3">
    <w:name w:val="heading 3"/>
    <w:aliases w:val="h3,- 1),2),3),- 1.,2.,3.,H3,Heading,List 1,Nadpis_3_úroveň,Záhlaví 3,V_Head3,V_Head31,V_Head32,Podkapitola2,ASAPHeading 3,Sub Paragraph,Podkapitola21,Podkapitola podkapitoly základní kapitoly,PA Minor Section,Nadpis_3_úroveo,TRM 12 3,TRM 12 I"/>
    <w:basedOn w:val="Normln"/>
    <w:next w:val="Normln"/>
    <w:link w:val="Nadpis3Char"/>
    <w:uiPriority w:val="99"/>
    <w:qFormat/>
    <w:rsid w:val="00433BD7"/>
    <w:pPr>
      <w:keepNext/>
      <w:keepLines/>
      <w:numPr>
        <w:ilvl w:val="2"/>
        <w:numId w:val="1"/>
      </w:numPr>
      <w:spacing w:before="200" w:after="240"/>
      <w:outlineLvl w:val="2"/>
    </w:pPr>
    <w:rPr>
      <w:rFonts w:ascii="Cambria" w:hAnsi="Cambria"/>
      <w:b/>
      <w:bCs/>
      <w:color w:val="365F91"/>
      <w:sz w:val="26"/>
    </w:rPr>
  </w:style>
  <w:style w:type="paragraph" w:styleId="Nadpis4">
    <w:name w:val="heading 4"/>
    <w:aliases w:val="h4,H4,Ad.1),Ad 2),1),ASAPHeading 4,Sub Sub Paragraph,Podkapitola3,Podkapitola31,Odstavec 1,Odstavec 11,Odstavec 12,Odstavec 13,Odstavec 14,Odstavec 111,Odstavec 121,Odstavec 131,Odstavec 15,Odstavec 141,Odstavec 16,Odstavec 112,Odstavec 122,4"/>
    <w:basedOn w:val="Normln"/>
    <w:next w:val="Normln"/>
    <w:link w:val="Nadpis4Char"/>
    <w:uiPriority w:val="99"/>
    <w:qFormat/>
    <w:rsid w:val="00B9734A"/>
    <w:pPr>
      <w:keepNext/>
      <w:keepLines/>
      <w:numPr>
        <w:ilvl w:val="3"/>
        <w:numId w:val="1"/>
      </w:numPr>
      <w:spacing w:before="200"/>
      <w:outlineLvl w:val="3"/>
    </w:pPr>
    <w:rPr>
      <w:rFonts w:ascii="Cambria" w:hAnsi="Cambria"/>
      <w:b/>
      <w:bCs/>
      <w:i/>
      <w:iCs/>
      <w:color w:val="4F81BD"/>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H5,5,Level 3 - i,h5,dash,ds"/>
    <w:basedOn w:val="Normln"/>
    <w:next w:val="Normln"/>
    <w:link w:val="Nadpis5Char"/>
    <w:uiPriority w:val="99"/>
    <w:qFormat/>
    <w:rsid w:val="00B9734A"/>
    <w:pPr>
      <w:keepNext/>
      <w:keepLines/>
      <w:numPr>
        <w:ilvl w:val="4"/>
        <w:numId w:val="1"/>
      </w:numPr>
      <w:spacing w:before="200"/>
      <w:outlineLvl w:val="4"/>
    </w:pPr>
    <w:rPr>
      <w:rFonts w:ascii="Cambria" w:hAnsi="Cambria"/>
      <w:color w:val="243F60"/>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ln"/>
    <w:next w:val="Normln"/>
    <w:link w:val="Nadpis6Char"/>
    <w:uiPriority w:val="99"/>
    <w:qFormat/>
    <w:rsid w:val="00B9734A"/>
    <w:pPr>
      <w:keepNext/>
      <w:keepLines/>
      <w:numPr>
        <w:ilvl w:val="5"/>
        <w:numId w:val="1"/>
      </w:numPr>
      <w:spacing w:before="200"/>
      <w:outlineLvl w:val="5"/>
    </w:pPr>
    <w:rPr>
      <w:rFonts w:ascii="Cambria" w:hAnsi="Cambria"/>
      <w:i/>
      <w:iCs/>
      <w:color w:val="243F60"/>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basedOn w:val="Normln"/>
    <w:next w:val="Normln"/>
    <w:link w:val="Nadpis7Char"/>
    <w:uiPriority w:val="99"/>
    <w:qFormat/>
    <w:rsid w:val="00B9734A"/>
    <w:pPr>
      <w:keepNext/>
      <w:keepLines/>
      <w:numPr>
        <w:ilvl w:val="6"/>
        <w:numId w:val="1"/>
      </w:numPr>
      <w:spacing w:before="200"/>
      <w:outlineLvl w:val="6"/>
    </w:pPr>
    <w:rPr>
      <w:rFonts w:ascii="Cambria" w:hAnsi="Cambria"/>
      <w:i/>
      <w:iCs/>
      <w:color w:val="404040"/>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iPriority w:val="99"/>
    <w:qFormat/>
    <w:rsid w:val="00B9734A"/>
    <w:pPr>
      <w:keepNext/>
      <w:keepLines/>
      <w:numPr>
        <w:ilvl w:val="7"/>
        <w:numId w:val="1"/>
      </w:numPr>
      <w:spacing w:before="200"/>
      <w:outlineLvl w:val="7"/>
    </w:pPr>
    <w:rPr>
      <w:rFonts w:ascii="Cambria" w:hAnsi="Cambria"/>
      <w:color w:val="404040"/>
      <w:sz w:val="20"/>
    </w:rPr>
  </w:style>
  <w:style w:type="paragraph" w:styleId="Nadpis9">
    <w:name w:val="heading 9"/>
    <w:aliases w:val="h9,heading9,ASAPHeading 9,App Heading,MUS9,H9,(Bibliografia),progress,progress1,progress2,progress11,progress3,progress4,progress5,progress6,progress7,progress12,progress21,progress111,progress31,progress8,progress13,progress22,progress112"/>
    <w:basedOn w:val="Normln"/>
    <w:next w:val="Normln"/>
    <w:link w:val="Nadpis9Char"/>
    <w:uiPriority w:val="99"/>
    <w:qFormat/>
    <w:rsid w:val="00B9734A"/>
    <w:pPr>
      <w:keepNext/>
      <w:keepLines/>
      <w:numPr>
        <w:ilvl w:val="8"/>
        <w:numId w:val="1"/>
      </w:numPr>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Deloitte Heading 1 Char,Heading 1 Char1 Char Char,Heading 1 Char Char Char Char,h1 Char Char Char Char,H1 Char Char Char Char,1 Char1 Char Char Char,Naglówek 1 Char Char Char Char,Naglówek 11 Char Char Char Char,1 gh Char"/>
    <w:link w:val="Nadpis1"/>
    <w:uiPriority w:val="99"/>
    <w:locked/>
    <w:rsid w:val="00180C0D"/>
    <w:rPr>
      <w:rFonts w:ascii="Cambria" w:hAnsi="Cambria" w:cs="Times New Roman"/>
      <w:b/>
      <w:bCs/>
      <w:color w:val="1F497D"/>
      <w:sz w:val="28"/>
      <w:szCs w:val="28"/>
      <w:lang w:val="cs-CZ" w:eastAsia="cs-CZ" w:bidi="ar-SA"/>
    </w:rPr>
  </w:style>
  <w:style w:type="character" w:customStyle="1" w:styleId="Nadpis2Char">
    <w:name w:val="Nadpis 2 Char"/>
    <w:aliases w:val="h2 Char,Normal Heading 2 Char,LetHead2 Char,- 1 Char,2 Char,3 Char,H2 Char,Heading_eng 2 Char,Main header Char,Outline2 Char Char,HAA-Section Char Char,Sub Heading Char Char,ignorer2 Char Char,Nadpis_2 Char Char,adpis 2 Char Char,2m Char"/>
    <w:link w:val="Nadpis2"/>
    <w:uiPriority w:val="99"/>
    <w:locked/>
    <w:rsid w:val="00CC70F8"/>
    <w:rPr>
      <w:rFonts w:ascii="Cambria" w:hAnsi="Cambria" w:cs="Times New Roman"/>
      <w:b/>
      <w:bCs/>
      <w:color w:val="548DD4"/>
      <w:sz w:val="26"/>
      <w:szCs w:val="26"/>
      <w:lang w:val="cs-CZ" w:eastAsia="cs-CZ" w:bidi="ar-SA"/>
    </w:rPr>
  </w:style>
  <w:style w:type="character" w:customStyle="1" w:styleId="Nadpis3Char">
    <w:name w:val="Nadpis 3 Char"/>
    <w:aliases w:val="h3 Char,- 1) Char,2) Char,3) Char,- 1. Char,2. Char,3. Char,H3 Char,Heading Char,List 1 Char,Nadpis_3_úroveň Char,Záhlaví 3 Char,V_Head3 Char,V_Head31 Char,V_Head32 Char,Podkapitola2 Char,ASAPHeading 3 Char,Sub Paragraph Char,TRM 12 3 Char"/>
    <w:link w:val="Nadpis3"/>
    <w:uiPriority w:val="99"/>
    <w:locked/>
    <w:rsid w:val="00433BD7"/>
    <w:rPr>
      <w:rFonts w:ascii="Cambria" w:hAnsi="Cambria" w:cs="Times New Roman"/>
      <w:b/>
      <w:bCs/>
      <w:color w:val="365F91"/>
      <w:sz w:val="26"/>
      <w:lang w:val="cs-CZ" w:eastAsia="cs-CZ" w:bidi="ar-SA"/>
    </w:rPr>
  </w:style>
  <w:style w:type="character" w:customStyle="1" w:styleId="Nadpis4Char">
    <w:name w:val="Nadpis 4 Char"/>
    <w:aliases w:val="h4 Char,H4 Char,Ad.1) Char,Ad 2) Char,1) Char,ASAPHeading 4 Char,Sub Sub Paragraph Char,Podkapitola3 Char,Podkapitola31 Char,Odstavec 1 Char,Odstavec 11 Char,Odstavec 12 Char,Odstavec 13 Char,Odstavec 14 Char,Odstavec 111 Char,4 Char"/>
    <w:link w:val="Nadpis4"/>
    <w:uiPriority w:val="99"/>
    <w:locked/>
    <w:rsid w:val="00B9734A"/>
    <w:rPr>
      <w:rFonts w:ascii="Cambria" w:hAnsi="Cambria" w:cs="Times New Roman"/>
      <w:b/>
      <w:bCs/>
      <w:i/>
      <w:iCs/>
      <w:color w:val="4F81BD"/>
      <w:sz w:val="22"/>
      <w:lang w:val="cs-CZ" w:eastAsia="cs-CZ" w:bidi="ar-SA"/>
    </w:r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H5 Char"/>
    <w:link w:val="Nadpis5"/>
    <w:uiPriority w:val="99"/>
    <w:locked/>
    <w:rsid w:val="00B9734A"/>
    <w:rPr>
      <w:rFonts w:ascii="Cambria" w:hAnsi="Cambria" w:cs="Times New Roman"/>
      <w:color w:val="243F60"/>
      <w:sz w:val="22"/>
      <w:lang w:val="cs-CZ" w:eastAsia="cs-CZ" w:bidi="ar-SA"/>
    </w:r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l Char"/>
    <w:link w:val="Nadpis6"/>
    <w:uiPriority w:val="99"/>
    <w:locked/>
    <w:rsid w:val="00B9734A"/>
    <w:rPr>
      <w:rFonts w:ascii="Cambria" w:hAnsi="Cambria" w:cs="Times New Roman"/>
      <w:i/>
      <w:iCs/>
      <w:color w:val="243F60"/>
      <w:sz w:val="22"/>
      <w:lang w:val="cs-CZ" w:eastAsia="cs-CZ" w:bidi="ar-SA"/>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link w:val="Nadpis7"/>
    <w:uiPriority w:val="99"/>
    <w:locked/>
    <w:rsid w:val="00B9734A"/>
    <w:rPr>
      <w:rFonts w:ascii="Cambria" w:hAnsi="Cambria" w:cs="Times New Roman"/>
      <w:i/>
      <w:iCs/>
      <w:color w:val="404040"/>
      <w:sz w:val="22"/>
      <w:lang w:val="cs-CZ" w:eastAsia="cs-CZ" w:bidi="ar-SA"/>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link w:val="Nadpis8"/>
    <w:uiPriority w:val="99"/>
    <w:locked/>
    <w:rsid w:val="00B9734A"/>
    <w:rPr>
      <w:rFonts w:ascii="Cambria" w:hAnsi="Cambria" w:cs="Times New Roman"/>
      <w:color w:val="404040"/>
      <w:lang w:val="cs-CZ" w:eastAsia="cs-CZ" w:bidi="ar-SA"/>
    </w:rPr>
  </w:style>
  <w:style w:type="character" w:customStyle="1" w:styleId="Nadpis9Char">
    <w:name w:val="Nadpis 9 Char"/>
    <w:aliases w:val="h9 Char,heading9 Char,ASAPHeading 9 Char,App Heading Char,MUS9 Char,H9 Char,(Bibliografia) Char,progress Char,progress1 Char,progress2 Char,progress11 Char,progress3 Char,progress4 Char,progress5 Char,progress6 Char,progress7 Char"/>
    <w:link w:val="Nadpis9"/>
    <w:uiPriority w:val="99"/>
    <w:locked/>
    <w:rsid w:val="00B9734A"/>
    <w:rPr>
      <w:rFonts w:ascii="Cambria" w:hAnsi="Cambria" w:cs="Times New Roman"/>
      <w:i/>
      <w:iCs/>
      <w:color w:val="404040"/>
      <w:lang w:val="cs-CZ" w:eastAsia="cs-CZ" w:bidi="ar-SA"/>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link w:val="Zpat"/>
    <w:uiPriority w:val="99"/>
    <w:locked/>
    <w:rsid w:val="006561E1"/>
    <w:rPr>
      <w:rFonts w:ascii="Calibri" w:hAnsi="Calibri" w:cs="Times New Roman"/>
      <w:sz w:val="22"/>
    </w:rPr>
  </w:style>
  <w:style w:type="character" w:styleId="Hypertextovodkaz">
    <w:name w:val="Hyperlink"/>
    <w:uiPriority w:val="99"/>
    <w:rsid w:val="000C1B4F"/>
    <w:rPr>
      <w:rFonts w:cs="Times New Roman"/>
      <w:color w:val="0000FF"/>
      <w:u w:val="single"/>
    </w:rPr>
  </w:style>
  <w:style w:type="character" w:styleId="slostrnky">
    <w:name w:val="page number"/>
    <w:uiPriority w:val="99"/>
    <w:rsid w:val="000C1B4F"/>
    <w:rPr>
      <w:rFonts w:cs="Times New Roman"/>
    </w:rPr>
  </w:style>
  <w:style w:type="paragraph" w:customStyle="1" w:styleId="Odstavecseseznamem1">
    <w:name w:val="Odstavec se seznamem1"/>
    <w:aliases w:val="Odstavec cíl se seznamem,Nad,Odstavec se seznamem5"/>
    <w:basedOn w:val="Normln"/>
    <w:link w:val="OdstavecseseznamemChar"/>
    <w:uiPriority w:val="34"/>
    <w:qFormat/>
    <w:rsid w:val="00EB7775"/>
    <w:pPr>
      <w:ind w:left="720"/>
      <w:contextualSpacing/>
    </w:pPr>
  </w:style>
  <w:style w:type="character" w:customStyle="1" w:styleId="OdstavecseseznamemChar">
    <w:name w:val="Odstavec se seznamem Char"/>
    <w:aliases w:val="Odstavec cíl se seznamem Char,Odstavec se seznamem1 Char,Nad Char,Odstavec se seznamem5 Char"/>
    <w:link w:val="Odstavecseseznamem1"/>
    <w:uiPriority w:val="34"/>
    <w:locked/>
    <w:rsid w:val="008346A6"/>
    <w:rPr>
      <w:rFonts w:ascii="Calibri" w:hAnsi="Calibri"/>
      <w:sz w:val="22"/>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Char1"/>
    <w:basedOn w:val="Normln"/>
    <w:link w:val="TextpoznpodarouChar"/>
    <w:qFormat/>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locked/>
    <w:rsid w:val="00CC70F8"/>
    <w:rPr>
      <w:rFonts w:ascii="Arial" w:hAnsi="Arial" w:cs="Arial"/>
      <w:sz w:val="16"/>
      <w:lang w:eastAsia="en-US"/>
    </w:rPr>
  </w:style>
  <w:style w:type="paragraph" w:styleId="Titulek">
    <w:name w:val="caption"/>
    <w:basedOn w:val="Normln"/>
    <w:next w:val="Normln"/>
    <w:link w:val="TitulekChar"/>
    <w:qFormat/>
    <w:rsid w:val="008E2314"/>
    <w:pPr>
      <w:overflowPunct/>
      <w:autoSpaceDE/>
      <w:autoSpaceDN/>
      <w:adjustRightInd/>
      <w:textAlignment w:val="auto"/>
    </w:pPr>
    <w:rPr>
      <w:rFonts w:cs="Arial"/>
      <w:b/>
      <w:bCs/>
      <w:color w:val="4F81BD"/>
      <w:sz w:val="20"/>
      <w:lang w:eastAsia="en-US"/>
    </w:rPr>
  </w:style>
  <w:style w:type="character" w:customStyle="1" w:styleId="TitulekChar">
    <w:name w:val="Titulek Char"/>
    <w:link w:val="Titulek"/>
    <w:locked/>
    <w:rsid w:val="008E2314"/>
    <w:rPr>
      <w:rFonts w:ascii="Calibri" w:hAnsi="Calibri" w:cs="Arial"/>
      <w:b/>
      <w:bCs/>
      <w:color w:val="4F81BD"/>
      <w:lang w:eastAsia="en-US"/>
    </w:rPr>
  </w:style>
  <w:style w:type="table" w:customStyle="1" w:styleId="TableGridLight1">
    <w:name w:val="Table Grid Light1"/>
    <w:uiPriority w:val="40"/>
    <w:rsid w:val="00CC70F8"/>
    <w:rPr>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Mkatabulky">
    <w:name w:val="Table Grid"/>
    <w:aliases w:val="Deloitte table 3"/>
    <w:basedOn w:val="Normlntabulka"/>
    <w:uiPriority w:val="99"/>
    <w:rsid w:val="002B7553"/>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rsid w:val="00E528C8"/>
    <w:rPr>
      <w:rFonts w:ascii="Arial" w:hAnsi="Arial"/>
      <w:sz w:val="19"/>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locked/>
    <w:rsid w:val="00416BF2"/>
    <w:rPr>
      <w:rFonts w:ascii="Arial" w:hAnsi="Arial"/>
      <w:color w:val="000000"/>
      <w:sz w:val="48"/>
      <w:lang w:val="cs-CZ" w:eastAsia="en-US"/>
    </w:rPr>
  </w:style>
  <w:style w:type="paragraph" w:customStyle="1" w:styleId="BodyText1">
    <w:name w:val="Body Text1"/>
    <w:link w:val="BodytextChar"/>
    <w:qFormat/>
    <w:rsid w:val="00416BF2"/>
    <w:rPr>
      <w:rFonts w:ascii="Arial" w:hAnsi="Arial" w:cs="Arial"/>
      <w:color w:val="000000"/>
      <w:sz w:val="19"/>
      <w:szCs w:val="48"/>
      <w:lang w:eastAsia="en-US"/>
    </w:rPr>
  </w:style>
  <w:style w:type="character" w:styleId="Odkaznakoment">
    <w:name w:val="annotation reference"/>
    <w:uiPriority w:val="99"/>
    <w:rsid w:val="001F3C28"/>
    <w:rPr>
      <w:rFonts w:cs="Times New Roman"/>
      <w:sz w:val="16"/>
      <w:szCs w:val="16"/>
    </w:rPr>
  </w:style>
  <w:style w:type="paragraph" w:styleId="Textkomente">
    <w:name w:val="annotation text"/>
    <w:basedOn w:val="Normln"/>
    <w:link w:val="TextkomenteChar"/>
    <w:uiPriority w:val="99"/>
    <w:rsid w:val="001F3C28"/>
    <w:rPr>
      <w:sz w:val="20"/>
    </w:rPr>
  </w:style>
  <w:style w:type="character" w:customStyle="1" w:styleId="TextkomenteChar">
    <w:name w:val="Text komentáře Char"/>
    <w:link w:val="Textkomente"/>
    <w:uiPriority w:val="99"/>
    <w:locked/>
    <w:rsid w:val="001F3C28"/>
    <w:rPr>
      <w:rFonts w:ascii="Calibri" w:hAnsi="Calibri" w:cs="Times New Roman"/>
    </w:rPr>
  </w:style>
  <w:style w:type="paragraph" w:styleId="Pedmtkomente">
    <w:name w:val="annotation subject"/>
    <w:basedOn w:val="Textkomente"/>
    <w:next w:val="Textkomente"/>
    <w:link w:val="PedmtkomenteChar"/>
    <w:uiPriority w:val="99"/>
    <w:rsid w:val="001F3C28"/>
    <w:rPr>
      <w:b/>
      <w:bCs/>
    </w:rPr>
  </w:style>
  <w:style w:type="character" w:customStyle="1" w:styleId="PedmtkomenteChar">
    <w:name w:val="Předmět komentáře Char"/>
    <w:link w:val="Pedmtkomente"/>
    <w:uiPriority w:val="99"/>
    <w:locked/>
    <w:rsid w:val="001F3C28"/>
    <w:rPr>
      <w:rFonts w:ascii="Calibri" w:hAnsi="Calibri" w:cs="Times New Roman"/>
      <w:b/>
      <w:bCs/>
    </w:rPr>
  </w:style>
  <w:style w:type="paragraph" w:styleId="Obsah1">
    <w:name w:val="toc 1"/>
    <w:basedOn w:val="Normln"/>
    <w:next w:val="Normln"/>
    <w:autoRedefine/>
    <w:uiPriority w:val="39"/>
    <w:locked/>
    <w:rsid w:val="006075D5"/>
    <w:pPr>
      <w:tabs>
        <w:tab w:val="left" w:pos="426"/>
        <w:tab w:val="right" w:leader="dot" w:pos="9060"/>
      </w:tabs>
    </w:pPr>
  </w:style>
  <w:style w:type="paragraph" w:styleId="Obsah2">
    <w:name w:val="toc 2"/>
    <w:basedOn w:val="Normln"/>
    <w:next w:val="Normln"/>
    <w:autoRedefine/>
    <w:uiPriority w:val="39"/>
    <w:locked/>
    <w:rsid w:val="0022745A"/>
    <w:pPr>
      <w:ind w:left="220"/>
    </w:pPr>
  </w:style>
  <w:style w:type="paragraph" w:styleId="Obsah3">
    <w:name w:val="toc 3"/>
    <w:basedOn w:val="Normln"/>
    <w:next w:val="Normln"/>
    <w:autoRedefine/>
    <w:uiPriority w:val="39"/>
    <w:locked/>
    <w:rsid w:val="0022745A"/>
    <w:pPr>
      <w:ind w:left="440"/>
    </w:pPr>
  </w:style>
  <w:style w:type="character" w:customStyle="1" w:styleId="hps">
    <w:name w:val="hps"/>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link w:val="Zkladntext"/>
    <w:uiPriority w:val="99"/>
    <w:locked/>
    <w:rsid w:val="00BF6C4F"/>
    <w:rPr>
      <w:rFonts w:ascii="Georgia" w:hAnsi="Georgia" w:cs="Times New Roman"/>
      <w:sz w:val="24"/>
      <w:lang w:val="cs-CZ" w:eastAsia="en-US" w:bidi="ar-SA"/>
    </w:rPr>
  </w:style>
  <w:style w:type="paragraph" w:customStyle="1" w:styleId="Legalentity">
    <w:name w:val="Legal entity"/>
    <w:basedOn w:val="Normln"/>
    <w:uiPriority w:val="99"/>
    <w:rsid w:val="00CE3165"/>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CE3165"/>
    <w:pPr>
      <w:numPr>
        <w:numId w:val="24"/>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uiPriority w:val="99"/>
    <w:rsid w:val="00CE3165"/>
    <w:rPr>
      <w:rFonts w:ascii="Arial" w:hAnsi="Arial"/>
      <w:b/>
      <w:color w:val="00A1DE"/>
      <w:sz w:val="24"/>
      <w:szCs w:val="22"/>
      <w:lang w:eastAsia="en-US"/>
    </w:rPr>
  </w:style>
  <w:style w:type="paragraph" w:customStyle="1" w:styleId="smlouvaheading2">
    <w:name w:val="smlouva heading 2"/>
    <w:basedOn w:val="CaptionIntroductionparagraph"/>
    <w:next w:val="BodyText1"/>
    <w:uiPriority w:val="99"/>
    <w:rsid w:val="00CE3165"/>
    <w:pPr>
      <w:numPr>
        <w:ilvl w:val="1"/>
        <w:numId w:val="24"/>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CE3165"/>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CE3165"/>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CE3165"/>
    <w:pPr>
      <w:numPr>
        <w:ilvl w:val="0"/>
        <w:numId w:val="0"/>
      </w:numPr>
    </w:pPr>
    <w:rPr>
      <w:b/>
    </w:rPr>
  </w:style>
  <w:style w:type="paragraph" w:customStyle="1" w:styleId="Bodytextbold">
    <w:name w:val="Body text bold"/>
    <w:basedOn w:val="smlouvabodytextbold"/>
    <w:next w:val="BodyText1"/>
    <w:uiPriority w:val="99"/>
    <w:rsid w:val="00CE3165"/>
    <w:pPr>
      <w:tabs>
        <w:tab w:val="clear" w:pos="1021"/>
        <w:tab w:val="left" w:pos="1134"/>
      </w:tabs>
    </w:pPr>
    <w:rPr>
      <w:color w:val="000000"/>
    </w:rPr>
  </w:style>
  <w:style w:type="character" w:customStyle="1" w:styleId="CaptionbodyChar">
    <w:name w:val="Caption body Char"/>
    <w:link w:val="Captionbody"/>
    <w:uiPriority w:val="99"/>
    <w:locked/>
    <w:rsid w:val="00CE3165"/>
    <w:rPr>
      <w:rFonts w:ascii="Arial" w:hAnsi="Arial"/>
      <w:color w:val="000000"/>
      <w:sz w:val="22"/>
      <w:lang w:val="en-US" w:eastAsia="en-US"/>
    </w:rPr>
  </w:style>
  <w:style w:type="paragraph" w:customStyle="1" w:styleId="Captionbody">
    <w:name w:val="Caption body"/>
    <w:link w:val="CaptionbodyChar"/>
    <w:uiPriority w:val="99"/>
    <w:rsid w:val="00CE3165"/>
    <w:rPr>
      <w:rFonts w:ascii="Arial" w:hAnsi="Arial"/>
      <w:color w:val="000000"/>
      <w:sz w:val="22"/>
      <w:szCs w:val="22"/>
      <w:lang w:val="en-US" w:eastAsia="en-US"/>
    </w:rPr>
  </w:style>
  <w:style w:type="paragraph" w:customStyle="1" w:styleId="Captionheading">
    <w:name w:val="Caption heading"/>
    <w:basedOn w:val="Captionbody"/>
    <w:uiPriority w:val="99"/>
    <w:rsid w:val="00CE3165"/>
    <w:rPr>
      <w:b/>
    </w:rPr>
  </w:style>
  <w:style w:type="paragraph" w:customStyle="1" w:styleId="smlouvabodytext">
    <w:name w:val="smlouva body text"/>
    <w:basedOn w:val="Normln"/>
    <w:uiPriority w:val="99"/>
    <w:rsid w:val="00CE3165"/>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ln"/>
    <w:link w:val="Bulletslevel1Char"/>
    <w:uiPriority w:val="99"/>
    <w:rsid w:val="00CE3165"/>
    <w:pPr>
      <w:numPr>
        <w:numId w:val="22"/>
      </w:numPr>
      <w:overflowPunct/>
      <w:autoSpaceDE/>
      <w:autoSpaceDN/>
      <w:adjustRightInd/>
      <w:spacing w:before="120"/>
      <w:ind w:left="360"/>
      <w:textAlignment w:val="auto"/>
    </w:pPr>
    <w:rPr>
      <w:rFonts w:ascii="Arial" w:hAnsi="Arial"/>
      <w:color w:val="000000"/>
      <w:sz w:val="20"/>
      <w:lang w:val="en-GB" w:eastAsia="en-US"/>
    </w:rPr>
  </w:style>
  <w:style w:type="character" w:customStyle="1" w:styleId="Bulletslevel1Char">
    <w:name w:val="Bullets level 1 Char"/>
    <w:link w:val="Bulletslevel1"/>
    <w:uiPriority w:val="99"/>
    <w:locked/>
    <w:rsid w:val="00CE3165"/>
    <w:rPr>
      <w:rFonts w:ascii="Arial" w:hAnsi="Arial"/>
      <w:color w:val="000000"/>
      <w:lang w:val="en-GB" w:eastAsia="en-US"/>
    </w:rPr>
  </w:style>
  <w:style w:type="paragraph" w:customStyle="1" w:styleId="Bulletslevel2">
    <w:name w:val="Bullets level 2"/>
    <w:basedOn w:val="Normln"/>
    <w:link w:val="Bulletslevel2Char"/>
    <w:uiPriority w:val="99"/>
    <w:rsid w:val="00CE3165"/>
    <w:pPr>
      <w:numPr>
        <w:numId w:val="23"/>
      </w:numPr>
      <w:tabs>
        <w:tab w:val="left" w:pos="567"/>
      </w:tabs>
      <w:overflowPunct/>
      <w:autoSpaceDE/>
      <w:autoSpaceDN/>
      <w:adjustRightInd/>
      <w:spacing w:before="120"/>
      <w:textAlignment w:val="auto"/>
    </w:pPr>
    <w:rPr>
      <w:rFonts w:ascii="Arial" w:hAnsi="Arial"/>
      <w:color w:val="000000"/>
      <w:sz w:val="20"/>
      <w:lang w:val="en-GB" w:eastAsia="en-US"/>
    </w:rPr>
  </w:style>
  <w:style w:type="character" w:customStyle="1" w:styleId="Bulletslevel2Char">
    <w:name w:val="Bullets level 2 Char"/>
    <w:link w:val="Bulletslevel2"/>
    <w:uiPriority w:val="99"/>
    <w:locked/>
    <w:rsid w:val="00CE3165"/>
    <w:rPr>
      <w:rFonts w:ascii="Arial" w:hAnsi="Arial"/>
      <w:color w:val="000000"/>
      <w:lang w:val="en-GB" w:eastAsia="en-US"/>
    </w:rPr>
  </w:style>
  <w:style w:type="paragraph" w:customStyle="1" w:styleId="PulloutQuote">
    <w:name w:val="Pullout Quote"/>
    <w:uiPriority w:val="99"/>
    <w:rsid w:val="00CE3165"/>
    <w:pPr>
      <w:pBdr>
        <w:top w:val="single" w:sz="4" w:space="4" w:color="00A1DE"/>
      </w:pBdr>
      <w:suppressAutoHyphens/>
      <w:spacing w:line="320" w:lineRule="exact"/>
    </w:pPr>
    <w:rPr>
      <w:color w:val="00A1DE"/>
      <w:sz w:val="32"/>
      <w:lang w:val="en-GB" w:eastAsia="en-US"/>
    </w:rPr>
  </w:style>
  <w:style w:type="paragraph" w:customStyle="1" w:styleId="Highlight1">
    <w:name w:val="Highlight 1"/>
    <w:basedOn w:val="Normln"/>
    <w:uiPriority w:val="99"/>
    <w:rsid w:val="00CE3165"/>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CE3165"/>
    <w:rPr>
      <w:color w:val="92D400"/>
    </w:rPr>
  </w:style>
  <w:style w:type="paragraph" w:styleId="Obsah4">
    <w:name w:val="toc 4"/>
    <w:basedOn w:val="Normln"/>
    <w:next w:val="Normln"/>
    <w:autoRedefine/>
    <w:uiPriority w:val="39"/>
    <w:rsid w:val="00CE3165"/>
    <w:pPr>
      <w:overflowPunct/>
      <w:autoSpaceDE/>
      <w:autoSpaceDN/>
      <w:adjustRightInd/>
      <w:spacing w:after="240"/>
      <w:ind w:left="720"/>
      <w:textAlignment w:val="auto"/>
    </w:pPr>
    <w:rPr>
      <w:rFonts w:ascii="Arial" w:hAnsi="Arial" w:cs="Arial"/>
      <w:sz w:val="19"/>
      <w:szCs w:val="24"/>
      <w:lang w:eastAsia="en-US"/>
    </w:rPr>
  </w:style>
  <w:style w:type="table" w:styleId="Tabulkasprostorovmiefekty1">
    <w:name w:val="Table 3D effects 1"/>
    <w:basedOn w:val="Normlntabulka"/>
    <w:uiPriority w:val="99"/>
    <w:locked/>
    <w:rsid w:val="00CE3165"/>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CE3165"/>
    <w:rPr>
      <w:rFonts w:ascii="Arial" w:hAnsi="Arial"/>
      <w:sz w:val="19"/>
    </w:rPr>
    <w:tblPr>
      <w:tblInd w:w="0" w:type="dxa"/>
      <w:tblBorders>
        <w:bottom w:val="single" w:sz="4" w:space="0" w:color="3C8A2E"/>
        <w:insideH w:val="single" w:sz="4" w:space="0" w:color="3C8A2E"/>
      </w:tblBorders>
      <w:tblCellMar>
        <w:top w:w="28" w:type="dxa"/>
        <w:left w:w="28" w:type="dxa"/>
        <w:bottom w:w="28" w:type="dxa"/>
        <w:right w:w="28" w:type="dxa"/>
      </w:tblCellMar>
    </w:tblPr>
  </w:style>
  <w:style w:type="table" w:customStyle="1" w:styleId="Deloittetable5">
    <w:name w:val="Deloitte table 5"/>
    <w:uiPriority w:val="99"/>
    <w:rsid w:val="00CE3165"/>
    <w:rPr>
      <w:rFonts w:ascii="Arial" w:hAnsi="Arial"/>
      <w:sz w:val="19"/>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Style1">
    <w:name w:val="Style1"/>
    <w:uiPriority w:val="99"/>
    <w:rsid w:val="00CE3165"/>
    <w:rPr>
      <w:rFonts w:ascii="Arial" w:hAnsi="Arial"/>
      <w:sz w:val="19"/>
    </w:rPr>
    <w:tblPr>
      <w:tblInd w:w="0" w:type="dxa"/>
      <w:tblCellMar>
        <w:top w:w="0" w:type="dxa"/>
        <w:left w:w="108" w:type="dxa"/>
        <w:bottom w:w="0" w:type="dxa"/>
        <w:right w:w="108" w:type="dxa"/>
      </w:tblCellMar>
    </w:tblPr>
  </w:style>
  <w:style w:type="table" w:customStyle="1" w:styleId="Deloittetable6">
    <w:name w:val="Deloitte table 6"/>
    <w:uiPriority w:val="99"/>
    <w:rsid w:val="00CE3165"/>
    <w:rPr>
      <w:rFonts w:ascii="Arial" w:hAnsi="Arial"/>
      <w:sz w:val="19"/>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style>
  <w:style w:type="table" w:customStyle="1" w:styleId="Deloittetable7">
    <w:name w:val="Deloitte table 7"/>
    <w:uiPriority w:val="99"/>
    <w:rsid w:val="00CE3165"/>
    <w:rPr>
      <w:rFonts w:ascii="Arial" w:hAnsi="Arial"/>
      <w:sz w:val="19"/>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style>
  <w:style w:type="table" w:styleId="Tabulkasprostorovmiefekty3">
    <w:name w:val="Table 3D effects 3"/>
    <w:basedOn w:val="Normlntabulka"/>
    <w:uiPriority w:val="99"/>
    <w:locked/>
    <w:rsid w:val="00CE3165"/>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CE3165"/>
    <w:pPr>
      <w:contextualSpacing/>
    </w:pPr>
    <w:rPr>
      <w:rFonts w:ascii="Arial" w:hAnsi="Arial"/>
      <w:sz w:val="19"/>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style>
  <w:style w:type="table" w:customStyle="1" w:styleId="Deloittetable81">
    <w:name w:val="Deloitte table 8.1"/>
    <w:uiPriority w:val="99"/>
    <w:rsid w:val="00CE3165"/>
    <w:rPr>
      <w:rFonts w:ascii="Arial" w:hAnsi="Arial"/>
      <w:sz w:val="19"/>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table" w:customStyle="1" w:styleId="Deloittetable82">
    <w:name w:val="Deloitte table 8.2"/>
    <w:uiPriority w:val="99"/>
    <w:rsid w:val="00CE316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customStyle="1" w:styleId="Deloittetable83">
    <w:name w:val="Deloitte table 8.3"/>
    <w:uiPriority w:val="99"/>
    <w:rsid w:val="00CE3165"/>
    <w:rPr>
      <w:rFonts w:ascii="Arial" w:hAnsi="Arial"/>
      <w:sz w:val="19"/>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style>
  <w:style w:type="table" w:customStyle="1" w:styleId="Deloittetable84">
    <w:name w:val="Deloitte table 8.4"/>
    <w:uiPriority w:val="99"/>
    <w:rsid w:val="00CE3165"/>
    <w:rPr>
      <w:rFonts w:ascii="Arial" w:hAnsi="Arial"/>
      <w:sz w:val="19"/>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style>
  <w:style w:type="table" w:customStyle="1" w:styleId="Deloittetable85">
    <w:name w:val="Deloitte table 8.5"/>
    <w:uiPriority w:val="99"/>
    <w:rsid w:val="00CE3165"/>
    <w:rPr>
      <w:rFonts w:ascii="Arial" w:hAnsi="Arial"/>
      <w:sz w:val="19"/>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Deloittetable86">
    <w:name w:val="Deloitte table 8.6"/>
    <w:uiPriority w:val="99"/>
    <w:rsid w:val="00CE316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styleId="Sloupcetabulky3">
    <w:name w:val="Table Columns 3"/>
    <w:basedOn w:val="Normlntabulka"/>
    <w:uiPriority w:val="99"/>
    <w:locked/>
    <w:rsid w:val="00CE31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Barevnseznamzvraznn4">
    <w:name w:val="Colorful List Accent 4"/>
    <w:basedOn w:val="Normlntabulka"/>
    <w:uiPriority w:val="99"/>
    <w:rsid w:val="00CE3165"/>
    <w:rPr>
      <w:color w:val="000000"/>
    </w:rPr>
    <w:tblPr>
      <w:tblStyleRowBandSize w:val="1"/>
      <w:tblStyleColBandSize w:val="1"/>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Stednmka2zvraznn4">
    <w:name w:val="Medium Grid 2 Accent 4"/>
    <w:basedOn w:val="Normlntabulka"/>
    <w:uiPriority w:val="99"/>
    <w:rsid w:val="00CE3165"/>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Obsah5">
    <w:name w:val="toc 5"/>
    <w:basedOn w:val="Normln"/>
    <w:next w:val="Normln"/>
    <w:autoRedefine/>
    <w:uiPriority w:val="39"/>
    <w:rsid w:val="00CE3165"/>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CE3165"/>
    <w:rPr>
      <w:color w:val="00A1DE"/>
    </w:rPr>
  </w:style>
  <w:style w:type="paragraph" w:styleId="Nadpisobsahu">
    <w:name w:val="TOC Heading"/>
    <w:basedOn w:val="Nadpis1"/>
    <w:next w:val="Normln"/>
    <w:uiPriority w:val="99"/>
    <w:qFormat/>
    <w:rsid w:val="00CE3165"/>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CE3165"/>
  </w:style>
  <w:style w:type="paragraph" w:customStyle="1" w:styleId="Default">
    <w:name w:val="Default"/>
    <w:rsid w:val="00CE3165"/>
    <w:pPr>
      <w:autoSpaceDE w:val="0"/>
      <w:autoSpaceDN w:val="0"/>
      <w:adjustRightInd w:val="0"/>
    </w:pPr>
    <w:rPr>
      <w:color w:val="000000"/>
      <w:sz w:val="24"/>
      <w:szCs w:val="24"/>
    </w:rPr>
  </w:style>
  <w:style w:type="paragraph" w:styleId="Normlnweb">
    <w:name w:val="Normal (Web)"/>
    <w:basedOn w:val="Normln"/>
    <w:uiPriority w:val="99"/>
    <w:locked/>
    <w:rsid w:val="00CE3165"/>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uiPriority w:val="99"/>
    <w:rsid w:val="00CE3165"/>
    <w:rPr>
      <w:rFonts w:cs="Times New Roman"/>
    </w:rPr>
  </w:style>
  <w:style w:type="paragraph" w:customStyle="1" w:styleId="Styl1">
    <w:name w:val="Styl1"/>
    <w:basedOn w:val="Normln"/>
    <w:uiPriority w:val="99"/>
    <w:rsid w:val="00CE3165"/>
    <w:pPr>
      <w:numPr>
        <w:numId w:val="25"/>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CE3165"/>
    <w:rPr>
      <w:rFonts w:ascii="Tahoma" w:hAnsi="Tahoma" w:cs="Tahoma"/>
      <w:color w:val="auto"/>
    </w:rPr>
  </w:style>
  <w:style w:type="character" w:styleId="Siln">
    <w:name w:val="Strong"/>
    <w:uiPriority w:val="99"/>
    <w:qFormat/>
    <w:rsid w:val="00CE3165"/>
    <w:rPr>
      <w:rFonts w:cs="Times New Roman"/>
      <w:b/>
    </w:rPr>
  </w:style>
  <w:style w:type="paragraph" w:styleId="Revize">
    <w:name w:val="Revision"/>
    <w:hidden/>
    <w:uiPriority w:val="99"/>
    <w:semiHidden/>
    <w:rsid w:val="00251456"/>
    <w:rPr>
      <w:rFonts w:ascii="Calibri" w:hAnsi="Calibri"/>
      <w:sz w:val="22"/>
    </w:rPr>
  </w:style>
  <w:style w:type="paragraph" w:styleId="Nzev">
    <w:name w:val="Title"/>
    <w:basedOn w:val="Normln"/>
    <w:next w:val="Normln"/>
    <w:link w:val="NzevChar"/>
    <w:uiPriority w:val="99"/>
    <w:qFormat/>
    <w:rsid w:val="008C0CD3"/>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link w:val="Nzev"/>
    <w:uiPriority w:val="99"/>
    <w:locked/>
    <w:rsid w:val="008C0CD3"/>
    <w:rPr>
      <w:rFonts w:ascii="Cambria" w:hAnsi="Cambria" w:cs="Times New Roman"/>
      <w:color w:val="17365D"/>
      <w:spacing w:val="5"/>
      <w:kern w:val="28"/>
      <w:sz w:val="52"/>
      <w:szCs w:val="52"/>
    </w:rPr>
  </w:style>
  <w:style w:type="character" w:styleId="Sledovanodkaz">
    <w:name w:val="FollowedHyperlink"/>
    <w:uiPriority w:val="99"/>
    <w:locked/>
    <w:rsid w:val="00B35620"/>
    <w:rPr>
      <w:rFonts w:cs="Times New Roman"/>
      <w:color w:val="800080"/>
      <w:u w:val="single"/>
    </w:rPr>
  </w:style>
  <w:style w:type="paragraph" w:styleId="Obsah6">
    <w:name w:val="toc 6"/>
    <w:basedOn w:val="Normln"/>
    <w:next w:val="Normln"/>
    <w:autoRedefine/>
    <w:uiPriority w:val="39"/>
    <w:locked/>
    <w:rsid w:val="00F50BC7"/>
    <w:pPr>
      <w:overflowPunct/>
      <w:autoSpaceDE/>
      <w:autoSpaceDN/>
      <w:adjustRightInd/>
      <w:spacing w:after="100" w:line="276" w:lineRule="auto"/>
      <w:ind w:left="1100"/>
      <w:jc w:val="left"/>
      <w:textAlignment w:val="auto"/>
    </w:pPr>
    <w:rPr>
      <w:szCs w:val="22"/>
    </w:rPr>
  </w:style>
  <w:style w:type="paragraph" w:styleId="Obsah7">
    <w:name w:val="toc 7"/>
    <w:basedOn w:val="Normln"/>
    <w:next w:val="Normln"/>
    <w:autoRedefine/>
    <w:uiPriority w:val="39"/>
    <w:locked/>
    <w:rsid w:val="00F50BC7"/>
    <w:pPr>
      <w:overflowPunct/>
      <w:autoSpaceDE/>
      <w:autoSpaceDN/>
      <w:adjustRightInd/>
      <w:spacing w:after="100" w:line="276" w:lineRule="auto"/>
      <w:ind w:left="1320"/>
      <w:jc w:val="left"/>
      <w:textAlignment w:val="auto"/>
    </w:pPr>
    <w:rPr>
      <w:szCs w:val="22"/>
    </w:rPr>
  </w:style>
  <w:style w:type="paragraph" w:styleId="Obsah8">
    <w:name w:val="toc 8"/>
    <w:basedOn w:val="Normln"/>
    <w:next w:val="Normln"/>
    <w:autoRedefine/>
    <w:uiPriority w:val="39"/>
    <w:locked/>
    <w:rsid w:val="00F50BC7"/>
    <w:pPr>
      <w:overflowPunct/>
      <w:autoSpaceDE/>
      <w:autoSpaceDN/>
      <w:adjustRightInd/>
      <w:spacing w:after="100" w:line="276" w:lineRule="auto"/>
      <w:ind w:left="1540"/>
      <w:jc w:val="left"/>
      <w:textAlignment w:val="auto"/>
    </w:pPr>
    <w:rPr>
      <w:szCs w:val="22"/>
    </w:rPr>
  </w:style>
  <w:style w:type="paragraph" w:styleId="Obsah9">
    <w:name w:val="toc 9"/>
    <w:basedOn w:val="Normln"/>
    <w:next w:val="Normln"/>
    <w:autoRedefine/>
    <w:uiPriority w:val="39"/>
    <w:locked/>
    <w:rsid w:val="00F50BC7"/>
    <w:pPr>
      <w:overflowPunct/>
      <w:autoSpaceDE/>
      <w:autoSpaceDN/>
      <w:adjustRightInd/>
      <w:spacing w:after="100" w:line="276" w:lineRule="auto"/>
      <w:ind w:left="1760"/>
      <w:jc w:val="left"/>
      <w:textAlignment w:val="auto"/>
    </w:pPr>
    <w:rPr>
      <w:szCs w:val="22"/>
    </w:rPr>
  </w:style>
  <w:style w:type="paragraph" w:styleId="Rozloendokumentu">
    <w:name w:val="Document Map"/>
    <w:basedOn w:val="Normln"/>
    <w:link w:val="RozloendokumentuChar"/>
    <w:uiPriority w:val="99"/>
    <w:semiHidden/>
    <w:locked/>
    <w:rsid w:val="00A02873"/>
    <w:pPr>
      <w:shd w:val="clear" w:color="auto" w:fill="000080"/>
    </w:pPr>
    <w:rPr>
      <w:rFonts w:ascii="Tahoma" w:hAnsi="Tahoma" w:cs="Tahoma"/>
      <w:sz w:val="20"/>
    </w:rPr>
  </w:style>
  <w:style w:type="character" w:customStyle="1" w:styleId="RozloendokumentuChar">
    <w:name w:val="Rozložení dokumentu Char"/>
    <w:link w:val="Rozloendokumentu"/>
    <w:uiPriority w:val="99"/>
    <w:semiHidden/>
    <w:locked/>
    <w:rsid w:val="00C07760"/>
    <w:rPr>
      <w:rFonts w:cs="Times New Roman"/>
      <w:sz w:val="2"/>
    </w:rPr>
  </w:style>
  <w:style w:type="table" w:styleId="Svtlseznamzvraznn1">
    <w:name w:val="Light List Accent 1"/>
    <w:basedOn w:val="Normlntabulka"/>
    <w:uiPriority w:val="99"/>
    <w:rsid w:val="00D435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ulka">
    <w:name w:val="Tabulka"/>
    <w:basedOn w:val="Normln"/>
    <w:link w:val="TabulkaChar"/>
    <w:uiPriority w:val="99"/>
    <w:rsid w:val="00FC0490"/>
    <w:pPr>
      <w:overflowPunct/>
      <w:spacing w:before="60" w:after="60"/>
      <w:jc w:val="center"/>
      <w:textAlignment w:val="auto"/>
    </w:pPr>
    <w:rPr>
      <w:rFonts w:ascii="Times New Roman" w:hAnsi="Times New Roman"/>
      <w:szCs w:val="22"/>
    </w:rPr>
  </w:style>
  <w:style w:type="character" w:customStyle="1" w:styleId="TabulkaChar">
    <w:name w:val="Tabulka Char"/>
    <w:link w:val="Tabulka"/>
    <w:uiPriority w:val="99"/>
    <w:locked/>
    <w:rsid w:val="00FC0490"/>
  </w:style>
  <w:style w:type="paragraph" w:customStyle="1" w:styleId="Poznmkapodarou">
    <w:name w:val="Poznámka pod čarou"/>
    <w:basedOn w:val="Default"/>
    <w:link w:val="PoznmkapodarouChar"/>
    <w:uiPriority w:val="99"/>
    <w:rsid w:val="00CA1AC6"/>
    <w:pPr>
      <w:tabs>
        <w:tab w:val="left" w:pos="708"/>
      </w:tabs>
      <w:suppressAutoHyphens/>
      <w:overflowPunct w:val="0"/>
      <w:autoSpaceDN/>
      <w:adjustRightInd/>
      <w:spacing w:after="60" w:line="200" w:lineRule="atLeast"/>
      <w:jc w:val="both"/>
      <w:textAlignment w:val="baseline"/>
    </w:pPr>
    <w:rPr>
      <w:color w:val="auto"/>
      <w:sz w:val="20"/>
      <w:szCs w:val="20"/>
    </w:rPr>
  </w:style>
  <w:style w:type="character" w:customStyle="1" w:styleId="PoznmkapodarouChar">
    <w:name w:val="Poznámka pod čarou Char"/>
    <w:link w:val="Poznmkapodarou"/>
    <w:uiPriority w:val="99"/>
    <w:locked/>
    <w:rsid w:val="00CA1AC6"/>
    <w:rPr>
      <w:sz w:val="20"/>
    </w:rPr>
  </w:style>
  <w:style w:type="table" w:styleId="Stednstnovn1zvraznn1">
    <w:name w:val="Medium Shading 1 Accent 1"/>
    <w:basedOn w:val="Normlntabulka"/>
    <w:uiPriority w:val="99"/>
    <w:rsid w:val="00B458B1"/>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Stednmka3zvraznn1">
    <w:name w:val="Medium Grid 3 Accent 1"/>
    <w:basedOn w:val="Normlntabulka"/>
    <w:uiPriority w:val="99"/>
    <w:rsid w:val="00067B6A"/>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Barevnstnovnzvraznn1">
    <w:name w:val="Colorful Shading Accent 1"/>
    <w:basedOn w:val="Normlntabulka"/>
    <w:uiPriority w:val="99"/>
    <w:rsid w:val="00067B6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character" w:customStyle="1" w:styleId="CharChar1">
    <w:name w:val="Char Char1"/>
    <w:uiPriority w:val="99"/>
    <w:rsid w:val="00847809"/>
    <w:rPr>
      <w:rFonts w:ascii="Arial" w:hAnsi="Arial"/>
      <w:b/>
      <w:color w:val="002776"/>
      <w:lang w:eastAsia="en-US"/>
    </w:rPr>
  </w:style>
  <w:style w:type="character" w:customStyle="1" w:styleId="FootnoteTextChar">
    <w:name w:val="Footnote Text Char"/>
    <w:locked/>
    <w:rsid w:val="004E5625"/>
    <w:rPr>
      <w:rFonts w:ascii="Calibri" w:eastAsia="Times New Roman" w:hAnsi="Calibri" w:cs="Calibri"/>
      <w:lang w:val="x-none" w:eastAsia="en-US"/>
    </w:rPr>
  </w:style>
  <w:style w:type="paragraph" w:customStyle="1" w:styleId="Odstavecseseznamem2">
    <w:name w:val="Odstavec se seznamem2"/>
    <w:basedOn w:val="Normln"/>
    <w:rsid w:val="004E5625"/>
    <w:pPr>
      <w:overflowPunct/>
      <w:autoSpaceDE/>
      <w:autoSpaceDN/>
      <w:adjustRightInd/>
      <w:spacing w:after="120" w:line="276" w:lineRule="auto"/>
      <w:ind w:left="720"/>
      <w:contextualSpacing/>
      <w:jc w:val="left"/>
      <w:textAlignment w:val="auto"/>
    </w:pPr>
    <w:rPr>
      <w:rFonts w:cs="Calibri"/>
      <w:szCs w:val="22"/>
      <w:lang w:eastAsia="en-US"/>
    </w:rPr>
  </w:style>
  <w:style w:type="paragraph" w:styleId="Odstavecseseznamem">
    <w:name w:val="List Paragraph"/>
    <w:basedOn w:val="Normln"/>
    <w:uiPriority w:val="34"/>
    <w:qFormat/>
    <w:rsid w:val="005400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9936">
      <w:bodyDiv w:val="1"/>
      <w:marLeft w:val="0"/>
      <w:marRight w:val="0"/>
      <w:marTop w:val="0"/>
      <w:marBottom w:val="0"/>
      <w:divBdr>
        <w:top w:val="none" w:sz="0" w:space="0" w:color="auto"/>
        <w:left w:val="none" w:sz="0" w:space="0" w:color="auto"/>
        <w:bottom w:val="none" w:sz="0" w:space="0" w:color="auto"/>
        <w:right w:val="none" w:sz="0" w:space="0" w:color="auto"/>
      </w:divBdr>
    </w:div>
    <w:div w:id="65150458">
      <w:bodyDiv w:val="1"/>
      <w:marLeft w:val="0"/>
      <w:marRight w:val="0"/>
      <w:marTop w:val="0"/>
      <w:marBottom w:val="0"/>
      <w:divBdr>
        <w:top w:val="none" w:sz="0" w:space="0" w:color="auto"/>
        <w:left w:val="none" w:sz="0" w:space="0" w:color="auto"/>
        <w:bottom w:val="none" w:sz="0" w:space="0" w:color="auto"/>
        <w:right w:val="none" w:sz="0" w:space="0" w:color="auto"/>
      </w:divBdr>
    </w:div>
    <w:div w:id="143014599">
      <w:bodyDiv w:val="1"/>
      <w:marLeft w:val="0"/>
      <w:marRight w:val="0"/>
      <w:marTop w:val="0"/>
      <w:marBottom w:val="0"/>
      <w:divBdr>
        <w:top w:val="none" w:sz="0" w:space="0" w:color="auto"/>
        <w:left w:val="none" w:sz="0" w:space="0" w:color="auto"/>
        <w:bottom w:val="none" w:sz="0" w:space="0" w:color="auto"/>
        <w:right w:val="none" w:sz="0" w:space="0" w:color="auto"/>
      </w:divBdr>
    </w:div>
    <w:div w:id="264388081">
      <w:bodyDiv w:val="1"/>
      <w:marLeft w:val="0"/>
      <w:marRight w:val="0"/>
      <w:marTop w:val="0"/>
      <w:marBottom w:val="0"/>
      <w:divBdr>
        <w:top w:val="none" w:sz="0" w:space="0" w:color="auto"/>
        <w:left w:val="none" w:sz="0" w:space="0" w:color="auto"/>
        <w:bottom w:val="none" w:sz="0" w:space="0" w:color="auto"/>
        <w:right w:val="none" w:sz="0" w:space="0" w:color="auto"/>
      </w:divBdr>
    </w:div>
    <w:div w:id="330646068">
      <w:bodyDiv w:val="1"/>
      <w:marLeft w:val="0"/>
      <w:marRight w:val="0"/>
      <w:marTop w:val="0"/>
      <w:marBottom w:val="0"/>
      <w:divBdr>
        <w:top w:val="none" w:sz="0" w:space="0" w:color="auto"/>
        <w:left w:val="none" w:sz="0" w:space="0" w:color="auto"/>
        <w:bottom w:val="none" w:sz="0" w:space="0" w:color="auto"/>
        <w:right w:val="none" w:sz="0" w:space="0" w:color="auto"/>
      </w:divBdr>
    </w:div>
    <w:div w:id="379940921">
      <w:bodyDiv w:val="1"/>
      <w:marLeft w:val="0"/>
      <w:marRight w:val="0"/>
      <w:marTop w:val="0"/>
      <w:marBottom w:val="0"/>
      <w:divBdr>
        <w:top w:val="none" w:sz="0" w:space="0" w:color="auto"/>
        <w:left w:val="none" w:sz="0" w:space="0" w:color="auto"/>
        <w:bottom w:val="none" w:sz="0" w:space="0" w:color="auto"/>
        <w:right w:val="none" w:sz="0" w:space="0" w:color="auto"/>
      </w:divBdr>
    </w:div>
    <w:div w:id="426273791">
      <w:bodyDiv w:val="1"/>
      <w:marLeft w:val="0"/>
      <w:marRight w:val="0"/>
      <w:marTop w:val="0"/>
      <w:marBottom w:val="0"/>
      <w:divBdr>
        <w:top w:val="none" w:sz="0" w:space="0" w:color="auto"/>
        <w:left w:val="none" w:sz="0" w:space="0" w:color="auto"/>
        <w:bottom w:val="none" w:sz="0" w:space="0" w:color="auto"/>
        <w:right w:val="none" w:sz="0" w:space="0" w:color="auto"/>
      </w:divBdr>
    </w:div>
    <w:div w:id="426780122">
      <w:bodyDiv w:val="1"/>
      <w:marLeft w:val="0"/>
      <w:marRight w:val="0"/>
      <w:marTop w:val="0"/>
      <w:marBottom w:val="0"/>
      <w:divBdr>
        <w:top w:val="none" w:sz="0" w:space="0" w:color="auto"/>
        <w:left w:val="none" w:sz="0" w:space="0" w:color="auto"/>
        <w:bottom w:val="none" w:sz="0" w:space="0" w:color="auto"/>
        <w:right w:val="none" w:sz="0" w:space="0" w:color="auto"/>
      </w:divBdr>
    </w:div>
    <w:div w:id="429475717">
      <w:bodyDiv w:val="1"/>
      <w:marLeft w:val="0"/>
      <w:marRight w:val="0"/>
      <w:marTop w:val="0"/>
      <w:marBottom w:val="0"/>
      <w:divBdr>
        <w:top w:val="none" w:sz="0" w:space="0" w:color="auto"/>
        <w:left w:val="none" w:sz="0" w:space="0" w:color="auto"/>
        <w:bottom w:val="none" w:sz="0" w:space="0" w:color="auto"/>
        <w:right w:val="none" w:sz="0" w:space="0" w:color="auto"/>
      </w:divBdr>
    </w:div>
    <w:div w:id="493183999">
      <w:bodyDiv w:val="1"/>
      <w:marLeft w:val="0"/>
      <w:marRight w:val="0"/>
      <w:marTop w:val="0"/>
      <w:marBottom w:val="0"/>
      <w:divBdr>
        <w:top w:val="none" w:sz="0" w:space="0" w:color="auto"/>
        <w:left w:val="none" w:sz="0" w:space="0" w:color="auto"/>
        <w:bottom w:val="none" w:sz="0" w:space="0" w:color="auto"/>
        <w:right w:val="none" w:sz="0" w:space="0" w:color="auto"/>
      </w:divBdr>
    </w:div>
    <w:div w:id="577440533">
      <w:bodyDiv w:val="1"/>
      <w:marLeft w:val="0"/>
      <w:marRight w:val="0"/>
      <w:marTop w:val="0"/>
      <w:marBottom w:val="0"/>
      <w:divBdr>
        <w:top w:val="none" w:sz="0" w:space="0" w:color="auto"/>
        <w:left w:val="none" w:sz="0" w:space="0" w:color="auto"/>
        <w:bottom w:val="none" w:sz="0" w:space="0" w:color="auto"/>
        <w:right w:val="none" w:sz="0" w:space="0" w:color="auto"/>
      </w:divBdr>
    </w:div>
    <w:div w:id="612588865">
      <w:marLeft w:val="0"/>
      <w:marRight w:val="0"/>
      <w:marTop w:val="0"/>
      <w:marBottom w:val="0"/>
      <w:divBdr>
        <w:top w:val="none" w:sz="0" w:space="0" w:color="auto"/>
        <w:left w:val="none" w:sz="0" w:space="0" w:color="auto"/>
        <w:bottom w:val="none" w:sz="0" w:space="0" w:color="auto"/>
        <w:right w:val="none" w:sz="0" w:space="0" w:color="auto"/>
      </w:divBdr>
    </w:div>
    <w:div w:id="612588866">
      <w:marLeft w:val="0"/>
      <w:marRight w:val="0"/>
      <w:marTop w:val="0"/>
      <w:marBottom w:val="0"/>
      <w:divBdr>
        <w:top w:val="none" w:sz="0" w:space="0" w:color="auto"/>
        <w:left w:val="none" w:sz="0" w:space="0" w:color="auto"/>
        <w:bottom w:val="none" w:sz="0" w:space="0" w:color="auto"/>
        <w:right w:val="none" w:sz="0" w:space="0" w:color="auto"/>
      </w:divBdr>
    </w:div>
    <w:div w:id="612588867">
      <w:marLeft w:val="0"/>
      <w:marRight w:val="0"/>
      <w:marTop w:val="0"/>
      <w:marBottom w:val="0"/>
      <w:divBdr>
        <w:top w:val="none" w:sz="0" w:space="0" w:color="auto"/>
        <w:left w:val="none" w:sz="0" w:space="0" w:color="auto"/>
        <w:bottom w:val="none" w:sz="0" w:space="0" w:color="auto"/>
        <w:right w:val="none" w:sz="0" w:space="0" w:color="auto"/>
      </w:divBdr>
    </w:div>
    <w:div w:id="612588868">
      <w:marLeft w:val="0"/>
      <w:marRight w:val="0"/>
      <w:marTop w:val="0"/>
      <w:marBottom w:val="0"/>
      <w:divBdr>
        <w:top w:val="none" w:sz="0" w:space="0" w:color="auto"/>
        <w:left w:val="none" w:sz="0" w:space="0" w:color="auto"/>
        <w:bottom w:val="none" w:sz="0" w:space="0" w:color="auto"/>
        <w:right w:val="none" w:sz="0" w:space="0" w:color="auto"/>
      </w:divBdr>
    </w:div>
    <w:div w:id="612588869">
      <w:marLeft w:val="0"/>
      <w:marRight w:val="0"/>
      <w:marTop w:val="0"/>
      <w:marBottom w:val="0"/>
      <w:divBdr>
        <w:top w:val="none" w:sz="0" w:space="0" w:color="auto"/>
        <w:left w:val="none" w:sz="0" w:space="0" w:color="auto"/>
        <w:bottom w:val="none" w:sz="0" w:space="0" w:color="auto"/>
        <w:right w:val="none" w:sz="0" w:space="0" w:color="auto"/>
      </w:divBdr>
    </w:div>
    <w:div w:id="612588870">
      <w:marLeft w:val="0"/>
      <w:marRight w:val="0"/>
      <w:marTop w:val="0"/>
      <w:marBottom w:val="0"/>
      <w:divBdr>
        <w:top w:val="none" w:sz="0" w:space="0" w:color="auto"/>
        <w:left w:val="none" w:sz="0" w:space="0" w:color="auto"/>
        <w:bottom w:val="none" w:sz="0" w:space="0" w:color="auto"/>
        <w:right w:val="none" w:sz="0" w:space="0" w:color="auto"/>
      </w:divBdr>
    </w:div>
    <w:div w:id="612588871">
      <w:marLeft w:val="0"/>
      <w:marRight w:val="0"/>
      <w:marTop w:val="0"/>
      <w:marBottom w:val="0"/>
      <w:divBdr>
        <w:top w:val="none" w:sz="0" w:space="0" w:color="auto"/>
        <w:left w:val="none" w:sz="0" w:space="0" w:color="auto"/>
        <w:bottom w:val="none" w:sz="0" w:space="0" w:color="auto"/>
        <w:right w:val="none" w:sz="0" w:space="0" w:color="auto"/>
      </w:divBdr>
    </w:div>
    <w:div w:id="612588872">
      <w:marLeft w:val="0"/>
      <w:marRight w:val="0"/>
      <w:marTop w:val="0"/>
      <w:marBottom w:val="0"/>
      <w:divBdr>
        <w:top w:val="none" w:sz="0" w:space="0" w:color="auto"/>
        <w:left w:val="none" w:sz="0" w:space="0" w:color="auto"/>
        <w:bottom w:val="none" w:sz="0" w:space="0" w:color="auto"/>
        <w:right w:val="none" w:sz="0" w:space="0" w:color="auto"/>
      </w:divBdr>
    </w:div>
    <w:div w:id="612588873">
      <w:marLeft w:val="0"/>
      <w:marRight w:val="0"/>
      <w:marTop w:val="0"/>
      <w:marBottom w:val="0"/>
      <w:divBdr>
        <w:top w:val="none" w:sz="0" w:space="0" w:color="auto"/>
        <w:left w:val="none" w:sz="0" w:space="0" w:color="auto"/>
        <w:bottom w:val="none" w:sz="0" w:space="0" w:color="auto"/>
        <w:right w:val="none" w:sz="0" w:space="0" w:color="auto"/>
      </w:divBdr>
    </w:div>
    <w:div w:id="612588874">
      <w:marLeft w:val="0"/>
      <w:marRight w:val="0"/>
      <w:marTop w:val="0"/>
      <w:marBottom w:val="0"/>
      <w:divBdr>
        <w:top w:val="none" w:sz="0" w:space="0" w:color="auto"/>
        <w:left w:val="none" w:sz="0" w:space="0" w:color="auto"/>
        <w:bottom w:val="none" w:sz="0" w:space="0" w:color="auto"/>
        <w:right w:val="none" w:sz="0" w:space="0" w:color="auto"/>
      </w:divBdr>
    </w:div>
    <w:div w:id="612588875">
      <w:marLeft w:val="0"/>
      <w:marRight w:val="0"/>
      <w:marTop w:val="0"/>
      <w:marBottom w:val="0"/>
      <w:divBdr>
        <w:top w:val="none" w:sz="0" w:space="0" w:color="auto"/>
        <w:left w:val="none" w:sz="0" w:space="0" w:color="auto"/>
        <w:bottom w:val="none" w:sz="0" w:space="0" w:color="auto"/>
        <w:right w:val="none" w:sz="0" w:space="0" w:color="auto"/>
      </w:divBdr>
    </w:div>
    <w:div w:id="612588876">
      <w:marLeft w:val="0"/>
      <w:marRight w:val="0"/>
      <w:marTop w:val="0"/>
      <w:marBottom w:val="0"/>
      <w:divBdr>
        <w:top w:val="none" w:sz="0" w:space="0" w:color="auto"/>
        <w:left w:val="none" w:sz="0" w:space="0" w:color="auto"/>
        <w:bottom w:val="none" w:sz="0" w:space="0" w:color="auto"/>
        <w:right w:val="none" w:sz="0" w:space="0" w:color="auto"/>
      </w:divBdr>
    </w:div>
    <w:div w:id="612588877">
      <w:marLeft w:val="0"/>
      <w:marRight w:val="0"/>
      <w:marTop w:val="0"/>
      <w:marBottom w:val="0"/>
      <w:divBdr>
        <w:top w:val="none" w:sz="0" w:space="0" w:color="auto"/>
        <w:left w:val="none" w:sz="0" w:space="0" w:color="auto"/>
        <w:bottom w:val="none" w:sz="0" w:space="0" w:color="auto"/>
        <w:right w:val="none" w:sz="0" w:space="0" w:color="auto"/>
      </w:divBdr>
    </w:div>
    <w:div w:id="612588878">
      <w:marLeft w:val="0"/>
      <w:marRight w:val="0"/>
      <w:marTop w:val="0"/>
      <w:marBottom w:val="0"/>
      <w:divBdr>
        <w:top w:val="none" w:sz="0" w:space="0" w:color="auto"/>
        <w:left w:val="none" w:sz="0" w:space="0" w:color="auto"/>
        <w:bottom w:val="none" w:sz="0" w:space="0" w:color="auto"/>
        <w:right w:val="none" w:sz="0" w:space="0" w:color="auto"/>
      </w:divBdr>
    </w:div>
    <w:div w:id="612588879">
      <w:marLeft w:val="0"/>
      <w:marRight w:val="0"/>
      <w:marTop w:val="0"/>
      <w:marBottom w:val="0"/>
      <w:divBdr>
        <w:top w:val="none" w:sz="0" w:space="0" w:color="auto"/>
        <w:left w:val="none" w:sz="0" w:space="0" w:color="auto"/>
        <w:bottom w:val="none" w:sz="0" w:space="0" w:color="auto"/>
        <w:right w:val="none" w:sz="0" w:space="0" w:color="auto"/>
      </w:divBdr>
    </w:div>
    <w:div w:id="612588880">
      <w:marLeft w:val="0"/>
      <w:marRight w:val="0"/>
      <w:marTop w:val="0"/>
      <w:marBottom w:val="0"/>
      <w:divBdr>
        <w:top w:val="none" w:sz="0" w:space="0" w:color="auto"/>
        <w:left w:val="none" w:sz="0" w:space="0" w:color="auto"/>
        <w:bottom w:val="none" w:sz="0" w:space="0" w:color="auto"/>
        <w:right w:val="none" w:sz="0" w:space="0" w:color="auto"/>
      </w:divBdr>
    </w:div>
    <w:div w:id="612588881">
      <w:marLeft w:val="0"/>
      <w:marRight w:val="0"/>
      <w:marTop w:val="0"/>
      <w:marBottom w:val="0"/>
      <w:divBdr>
        <w:top w:val="none" w:sz="0" w:space="0" w:color="auto"/>
        <w:left w:val="none" w:sz="0" w:space="0" w:color="auto"/>
        <w:bottom w:val="none" w:sz="0" w:space="0" w:color="auto"/>
        <w:right w:val="none" w:sz="0" w:space="0" w:color="auto"/>
      </w:divBdr>
    </w:div>
    <w:div w:id="612588882">
      <w:marLeft w:val="0"/>
      <w:marRight w:val="0"/>
      <w:marTop w:val="0"/>
      <w:marBottom w:val="0"/>
      <w:divBdr>
        <w:top w:val="none" w:sz="0" w:space="0" w:color="auto"/>
        <w:left w:val="none" w:sz="0" w:space="0" w:color="auto"/>
        <w:bottom w:val="none" w:sz="0" w:space="0" w:color="auto"/>
        <w:right w:val="none" w:sz="0" w:space="0" w:color="auto"/>
      </w:divBdr>
    </w:div>
    <w:div w:id="612588883">
      <w:marLeft w:val="0"/>
      <w:marRight w:val="0"/>
      <w:marTop w:val="0"/>
      <w:marBottom w:val="0"/>
      <w:divBdr>
        <w:top w:val="none" w:sz="0" w:space="0" w:color="auto"/>
        <w:left w:val="none" w:sz="0" w:space="0" w:color="auto"/>
        <w:bottom w:val="none" w:sz="0" w:space="0" w:color="auto"/>
        <w:right w:val="none" w:sz="0" w:space="0" w:color="auto"/>
      </w:divBdr>
    </w:div>
    <w:div w:id="612588884">
      <w:marLeft w:val="0"/>
      <w:marRight w:val="0"/>
      <w:marTop w:val="0"/>
      <w:marBottom w:val="0"/>
      <w:divBdr>
        <w:top w:val="none" w:sz="0" w:space="0" w:color="auto"/>
        <w:left w:val="none" w:sz="0" w:space="0" w:color="auto"/>
        <w:bottom w:val="none" w:sz="0" w:space="0" w:color="auto"/>
        <w:right w:val="none" w:sz="0" w:space="0" w:color="auto"/>
      </w:divBdr>
    </w:div>
    <w:div w:id="612588885">
      <w:marLeft w:val="0"/>
      <w:marRight w:val="0"/>
      <w:marTop w:val="0"/>
      <w:marBottom w:val="0"/>
      <w:divBdr>
        <w:top w:val="none" w:sz="0" w:space="0" w:color="auto"/>
        <w:left w:val="none" w:sz="0" w:space="0" w:color="auto"/>
        <w:bottom w:val="none" w:sz="0" w:space="0" w:color="auto"/>
        <w:right w:val="none" w:sz="0" w:space="0" w:color="auto"/>
      </w:divBdr>
    </w:div>
    <w:div w:id="612588886">
      <w:marLeft w:val="0"/>
      <w:marRight w:val="0"/>
      <w:marTop w:val="0"/>
      <w:marBottom w:val="0"/>
      <w:divBdr>
        <w:top w:val="none" w:sz="0" w:space="0" w:color="auto"/>
        <w:left w:val="none" w:sz="0" w:space="0" w:color="auto"/>
        <w:bottom w:val="none" w:sz="0" w:space="0" w:color="auto"/>
        <w:right w:val="none" w:sz="0" w:space="0" w:color="auto"/>
      </w:divBdr>
    </w:div>
    <w:div w:id="612588887">
      <w:marLeft w:val="0"/>
      <w:marRight w:val="0"/>
      <w:marTop w:val="0"/>
      <w:marBottom w:val="0"/>
      <w:divBdr>
        <w:top w:val="none" w:sz="0" w:space="0" w:color="auto"/>
        <w:left w:val="none" w:sz="0" w:space="0" w:color="auto"/>
        <w:bottom w:val="none" w:sz="0" w:space="0" w:color="auto"/>
        <w:right w:val="none" w:sz="0" w:space="0" w:color="auto"/>
      </w:divBdr>
    </w:div>
    <w:div w:id="612588888">
      <w:marLeft w:val="0"/>
      <w:marRight w:val="0"/>
      <w:marTop w:val="0"/>
      <w:marBottom w:val="0"/>
      <w:divBdr>
        <w:top w:val="none" w:sz="0" w:space="0" w:color="auto"/>
        <w:left w:val="none" w:sz="0" w:space="0" w:color="auto"/>
        <w:bottom w:val="none" w:sz="0" w:space="0" w:color="auto"/>
        <w:right w:val="none" w:sz="0" w:space="0" w:color="auto"/>
      </w:divBdr>
    </w:div>
    <w:div w:id="612588889">
      <w:marLeft w:val="0"/>
      <w:marRight w:val="0"/>
      <w:marTop w:val="0"/>
      <w:marBottom w:val="0"/>
      <w:divBdr>
        <w:top w:val="none" w:sz="0" w:space="0" w:color="auto"/>
        <w:left w:val="none" w:sz="0" w:space="0" w:color="auto"/>
        <w:bottom w:val="none" w:sz="0" w:space="0" w:color="auto"/>
        <w:right w:val="none" w:sz="0" w:space="0" w:color="auto"/>
      </w:divBdr>
    </w:div>
    <w:div w:id="612588890">
      <w:marLeft w:val="0"/>
      <w:marRight w:val="0"/>
      <w:marTop w:val="0"/>
      <w:marBottom w:val="0"/>
      <w:divBdr>
        <w:top w:val="none" w:sz="0" w:space="0" w:color="auto"/>
        <w:left w:val="none" w:sz="0" w:space="0" w:color="auto"/>
        <w:bottom w:val="none" w:sz="0" w:space="0" w:color="auto"/>
        <w:right w:val="none" w:sz="0" w:space="0" w:color="auto"/>
      </w:divBdr>
    </w:div>
    <w:div w:id="612588891">
      <w:marLeft w:val="0"/>
      <w:marRight w:val="0"/>
      <w:marTop w:val="0"/>
      <w:marBottom w:val="0"/>
      <w:divBdr>
        <w:top w:val="none" w:sz="0" w:space="0" w:color="auto"/>
        <w:left w:val="none" w:sz="0" w:space="0" w:color="auto"/>
        <w:bottom w:val="none" w:sz="0" w:space="0" w:color="auto"/>
        <w:right w:val="none" w:sz="0" w:space="0" w:color="auto"/>
      </w:divBdr>
    </w:div>
    <w:div w:id="612588892">
      <w:marLeft w:val="0"/>
      <w:marRight w:val="0"/>
      <w:marTop w:val="0"/>
      <w:marBottom w:val="0"/>
      <w:divBdr>
        <w:top w:val="none" w:sz="0" w:space="0" w:color="auto"/>
        <w:left w:val="none" w:sz="0" w:space="0" w:color="auto"/>
        <w:bottom w:val="none" w:sz="0" w:space="0" w:color="auto"/>
        <w:right w:val="none" w:sz="0" w:space="0" w:color="auto"/>
      </w:divBdr>
    </w:div>
    <w:div w:id="612588893">
      <w:marLeft w:val="0"/>
      <w:marRight w:val="0"/>
      <w:marTop w:val="0"/>
      <w:marBottom w:val="0"/>
      <w:divBdr>
        <w:top w:val="none" w:sz="0" w:space="0" w:color="auto"/>
        <w:left w:val="none" w:sz="0" w:space="0" w:color="auto"/>
        <w:bottom w:val="none" w:sz="0" w:space="0" w:color="auto"/>
        <w:right w:val="none" w:sz="0" w:space="0" w:color="auto"/>
      </w:divBdr>
    </w:div>
    <w:div w:id="612588894">
      <w:marLeft w:val="0"/>
      <w:marRight w:val="0"/>
      <w:marTop w:val="0"/>
      <w:marBottom w:val="0"/>
      <w:divBdr>
        <w:top w:val="none" w:sz="0" w:space="0" w:color="auto"/>
        <w:left w:val="none" w:sz="0" w:space="0" w:color="auto"/>
        <w:bottom w:val="none" w:sz="0" w:space="0" w:color="auto"/>
        <w:right w:val="none" w:sz="0" w:space="0" w:color="auto"/>
      </w:divBdr>
    </w:div>
    <w:div w:id="612588895">
      <w:marLeft w:val="0"/>
      <w:marRight w:val="0"/>
      <w:marTop w:val="0"/>
      <w:marBottom w:val="0"/>
      <w:divBdr>
        <w:top w:val="none" w:sz="0" w:space="0" w:color="auto"/>
        <w:left w:val="none" w:sz="0" w:space="0" w:color="auto"/>
        <w:bottom w:val="none" w:sz="0" w:space="0" w:color="auto"/>
        <w:right w:val="none" w:sz="0" w:space="0" w:color="auto"/>
      </w:divBdr>
    </w:div>
    <w:div w:id="612588896">
      <w:marLeft w:val="0"/>
      <w:marRight w:val="0"/>
      <w:marTop w:val="0"/>
      <w:marBottom w:val="0"/>
      <w:divBdr>
        <w:top w:val="none" w:sz="0" w:space="0" w:color="auto"/>
        <w:left w:val="none" w:sz="0" w:space="0" w:color="auto"/>
        <w:bottom w:val="none" w:sz="0" w:space="0" w:color="auto"/>
        <w:right w:val="none" w:sz="0" w:space="0" w:color="auto"/>
      </w:divBdr>
    </w:div>
    <w:div w:id="612588897">
      <w:marLeft w:val="0"/>
      <w:marRight w:val="0"/>
      <w:marTop w:val="0"/>
      <w:marBottom w:val="0"/>
      <w:divBdr>
        <w:top w:val="none" w:sz="0" w:space="0" w:color="auto"/>
        <w:left w:val="none" w:sz="0" w:space="0" w:color="auto"/>
        <w:bottom w:val="none" w:sz="0" w:space="0" w:color="auto"/>
        <w:right w:val="none" w:sz="0" w:space="0" w:color="auto"/>
      </w:divBdr>
    </w:div>
    <w:div w:id="612588898">
      <w:marLeft w:val="0"/>
      <w:marRight w:val="0"/>
      <w:marTop w:val="0"/>
      <w:marBottom w:val="0"/>
      <w:divBdr>
        <w:top w:val="none" w:sz="0" w:space="0" w:color="auto"/>
        <w:left w:val="none" w:sz="0" w:space="0" w:color="auto"/>
        <w:bottom w:val="none" w:sz="0" w:space="0" w:color="auto"/>
        <w:right w:val="none" w:sz="0" w:space="0" w:color="auto"/>
      </w:divBdr>
    </w:div>
    <w:div w:id="612588899">
      <w:marLeft w:val="0"/>
      <w:marRight w:val="0"/>
      <w:marTop w:val="0"/>
      <w:marBottom w:val="0"/>
      <w:divBdr>
        <w:top w:val="none" w:sz="0" w:space="0" w:color="auto"/>
        <w:left w:val="none" w:sz="0" w:space="0" w:color="auto"/>
        <w:bottom w:val="none" w:sz="0" w:space="0" w:color="auto"/>
        <w:right w:val="none" w:sz="0" w:space="0" w:color="auto"/>
      </w:divBdr>
    </w:div>
    <w:div w:id="612588900">
      <w:marLeft w:val="0"/>
      <w:marRight w:val="0"/>
      <w:marTop w:val="0"/>
      <w:marBottom w:val="0"/>
      <w:divBdr>
        <w:top w:val="none" w:sz="0" w:space="0" w:color="auto"/>
        <w:left w:val="none" w:sz="0" w:space="0" w:color="auto"/>
        <w:bottom w:val="none" w:sz="0" w:space="0" w:color="auto"/>
        <w:right w:val="none" w:sz="0" w:space="0" w:color="auto"/>
      </w:divBdr>
    </w:div>
    <w:div w:id="612588901">
      <w:marLeft w:val="0"/>
      <w:marRight w:val="0"/>
      <w:marTop w:val="0"/>
      <w:marBottom w:val="0"/>
      <w:divBdr>
        <w:top w:val="none" w:sz="0" w:space="0" w:color="auto"/>
        <w:left w:val="none" w:sz="0" w:space="0" w:color="auto"/>
        <w:bottom w:val="none" w:sz="0" w:space="0" w:color="auto"/>
        <w:right w:val="none" w:sz="0" w:space="0" w:color="auto"/>
      </w:divBdr>
    </w:div>
    <w:div w:id="612588902">
      <w:marLeft w:val="0"/>
      <w:marRight w:val="0"/>
      <w:marTop w:val="0"/>
      <w:marBottom w:val="0"/>
      <w:divBdr>
        <w:top w:val="none" w:sz="0" w:space="0" w:color="auto"/>
        <w:left w:val="none" w:sz="0" w:space="0" w:color="auto"/>
        <w:bottom w:val="none" w:sz="0" w:space="0" w:color="auto"/>
        <w:right w:val="none" w:sz="0" w:space="0" w:color="auto"/>
      </w:divBdr>
    </w:div>
    <w:div w:id="612588903">
      <w:marLeft w:val="0"/>
      <w:marRight w:val="0"/>
      <w:marTop w:val="0"/>
      <w:marBottom w:val="0"/>
      <w:divBdr>
        <w:top w:val="none" w:sz="0" w:space="0" w:color="auto"/>
        <w:left w:val="none" w:sz="0" w:space="0" w:color="auto"/>
        <w:bottom w:val="none" w:sz="0" w:space="0" w:color="auto"/>
        <w:right w:val="none" w:sz="0" w:space="0" w:color="auto"/>
      </w:divBdr>
    </w:div>
    <w:div w:id="612588904">
      <w:marLeft w:val="0"/>
      <w:marRight w:val="0"/>
      <w:marTop w:val="0"/>
      <w:marBottom w:val="0"/>
      <w:divBdr>
        <w:top w:val="none" w:sz="0" w:space="0" w:color="auto"/>
        <w:left w:val="none" w:sz="0" w:space="0" w:color="auto"/>
        <w:bottom w:val="none" w:sz="0" w:space="0" w:color="auto"/>
        <w:right w:val="none" w:sz="0" w:space="0" w:color="auto"/>
      </w:divBdr>
    </w:div>
    <w:div w:id="612588905">
      <w:marLeft w:val="0"/>
      <w:marRight w:val="0"/>
      <w:marTop w:val="0"/>
      <w:marBottom w:val="0"/>
      <w:divBdr>
        <w:top w:val="none" w:sz="0" w:space="0" w:color="auto"/>
        <w:left w:val="none" w:sz="0" w:space="0" w:color="auto"/>
        <w:bottom w:val="none" w:sz="0" w:space="0" w:color="auto"/>
        <w:right w:val="none" w:sz="0" w:space="0" w:color="auto"/>
      </w:divBdr>
    </w:div>
    <w:div w:id="612588906">
      <w:marLeft w:val="0"/>
      <w:marRight w:val="0"/>
      <w:marTop w:val="0"/>
      <w:marBottom w:val="0"/>
      <w:divBdr>
        <w:top w:val="none" w:sz="0" w:space="0" w:color="auto"/>
        <w:left w:val="none" w:sz="0" w:space="0" w:color="auto"/>
        <w:bottom w:val="none" w:sz="0" w:space="0" w:color="auto"/>
        <w:right w:val="none" w:sz="0" w:space="0" w:color="auto"/>
      </w:divBdr>
    </w:div>
    <w:div w:id="612588907">
      <w:marLeft w:val="0"/>
      <w:marRight w:val="0"/>
      <w:marTop w:val="0"/>
      <w:marBottom w:val="0"/>
      <w:divBdr>
        <w:top w:val="none" w:sz="0" w:space="0" w:color="auto"/>
        <w:left w:val="none" w:sz="0" w:space="0" w:color="auto"/>
        <w:bottom w:val="none" w:sz="0" w:space="0" w:color="auto"/>
        <w:right w:val="none" w:sz="0" w:space="0" w:color="auto"/>
      </w:divBdr>
    </w:div>
    <w:div w:id="612588908">
      <w:marLeft w:val="0"/>
      <w:marRight w:val="0"/>
      <w:marTop w:val="0"/>
      <w:marBottom w:val="0"/>
      <w:divBdr>
        <w:top w:val="none" w:sz="0" w:space="0" w:color="auto"/>
        <w:left w:val="none" w:sz="0" w:space="0" w:color="auto"/>
        <w:bottom w:val="none" w:sz="0" w:space="0" w:color="auto"/>
        <w:right w:val="none" w:sz="0" w:space="0" w:color="auto"/>
      </w:divBdr>
    </w:div>
    <w:div w:id="612588909">
      <w:marLeft w:val="0"/>
      <w:marRight w:val="0"/>
      <w:marTop w:val="0"/>
      <w:marBottom w:val="0"/>
      <w:divBdr>
        <w:top w:val="none" w:sz="0" w:space="0" w:color="auto"/>
        <w:left w:val="none" w:sz="0" w:space="0" w:color="auto"/>
        <w:bottom w:val="none" w:sz="0" w:space="0" w:color="auto"/>
        <w:right w:val="none" w:sz="0" w:space="0" w:color="auto"/>
      </w:divBdr>
    </w:div>
    <w:div w:id="612588910">
      <w:marLeft w:val="0"/>
      <w:marRight w:val="0"/>
      <w:marTop w:val="0"/>
      <w:marBottom w:val="0"/>
      <w:divBdr>
        <w:top w:val="none" w:sz="0" w:space="0" w:color="auto"/>
        <w:left w:val="none" w:sz="0" w:space="0" w:color="auto"/>
        <w:bottom w:val="none" w:sz="0" w:space="0" w:color="auto"/>
        <w:right w:val="none" w:sz="0" w:space="0" w:color="auto"/>
      </w:divBdr>
    </w:div>
    <w:div w:id="612588911">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12588913">
      <w:marLeft w:val="0"/>
      <w:marRight w:val="0"/>
      <w:marTop w:val="0"/>
      <w:marBottom w:val="0"/>
      <w:divBdr>
        <w:top w:val="none" w:sz="0" w:space="0" w:color="auto"/>
        <w:left w:val="none" w:sz="0" w:space="0" w:color="auto"/>
        <w:bottom w:val="none" w:sz="0" w:space="0" w:color="auto"/>
        <w:right w:val="none" w:sz="0" w:space="0" w:color="auto"/>
      </w:divBdr>
    </w:div>
    <w:div w:id="612588914">
      <w:marLeft w:val="0"/>
      <w:marRight w:val="0"/>
      <w:marTop w:val="0"/>
      <w:marBottom w:val="0"/>
      <w:divBdr>
        <w:top w:val="none" w:sz="0" w:space="0" w:color="auto"/>
        <w:left w:val="none" w:sz="0" w:space="0" w:color="auto"/>
        <w:bottom w:val="none" w:sz="0" w:space="0" w:color="auto"/>
        <w:right w:val="none" w:sz="0" w:space="0" w:color="auto"/>
      </w:divBdr>
    </w:div>
    <w:div w:id="612588915">
      <w:marLeft w:val="0"/>
      <w:marRight w:val="0"/>
      <w:marTop w:val="0"/>
      <w:marBottom w:val="0"/>
      <w:divBdr>
        <w:top w:val="none" w:sz="0" w:space="0" w:color="auto"/>
        <w:left w:val="none" w:sz="0" w:space="0" w:color="auto"/>
        <w:bottom w:val="none" w:sz="0" w:space="0" w:color="auto"/>
        <w:right w:val="none" w:sz="0" w:space="0" w:color="auto"/>
      </w:divBdr>
    </w:div>
    <w:div w:id="612588916">
      <w:marLeft w:val="0"/>
      <w:marRight w:val="0"/>
      <w:marTop w:val="0"/>
      <w:marBottom w:val="0"/>
      <w:divBdr>
        <w:top w:val="none" w:sz="0" w:space="0" w:color="auto"/>
        <w:left w:val="none" w:sz="0" w:space="0" w:color="auto"/>
        <w:bottom w:val="none" w:sz="0" w:space="0" w:color="auto"/>
        <w:right w:val="none" w:sz="0" w:space="0" w:color="auto"/>
      </w:divBdr>
    </w:div>
    <w:div w:id="612588917">
      <w:marLeft w:val="0"/>
      <w:marRight w:val="0"/>
      <w:marTop w:val="0"/>
      <w:marBottom w:val="0"/>
      <w:divBdr>
        <w:top w:val="none" w:sz="0" w:space="0" w:color="auto"/>
        <w:left w:val="none" w:sz="0" w:space="0" w:color="auto"/>
        <w:bottom w:val="none" w:sz="0" w:space="0" w:color="auto"/>
        <w:right w:val="none" w:sz="0" w:space="0" w:color="auto"/>
      </w:divBdr>
    </w:div>
    <w:div w:id="612588918">
      <w:marLeft w:val="0"/>
      <w:marRight w:val="0"/>
      <w:marTop w:val="0"/>
      <w:marBottom w:val="0"/>
      <w:divBdr>
        <w:top w:val="none" w:sz="0" w:space="0" w:color="auto"/>
        <w:left w:val="none" w:sz="0" w:space="0" w:color="auto"/>
        <w:bottom w:val="none" w:sz="0" w:space="0" w:color="auto"/>
        <w:right w:val="none" w:sz="0" w:space="0" w:color="auto"/>
      </w:divBdr>
    </w:div>
    <w:div w:id="612588919">
      <w:marLeft w:val="0"/>
      <w:marRight w:val="0"/>
      <w:marTop w:val="0"/>
      <w:marBottom w:val="0"/>
      <w:divBdr>
        <w:top w:val="none" w:sz="0" w:space="0" w:color="auto"/>
        <w:left w:val="none" w:sz="0" w:space="0" w:color="auto"/>
        <w:bottom w:val="none" w:sz="0" w:space="0" w:color="auto"/>
        <w:right w:val="none" w:sz="0" w:space="0" w:color="auto"/>
      </w:divBdr>
    </w:div>
    <w:div w:id="612588920">
      <w:marLeft w:val="0"/>
      <w:marRight w:val="0"/>
      <w:marTop w:val="0"/>
      <w:marBottom w:val="0"/>
      <w:divBdr>
        <w:top w:val="none" w:sz="0" w:space="0" w:color="auto"/>
        <w:left w:val="none" w:sz="0" w:space="0" w:color="auto"/>
        <w:bottom w:val="none" w:sz="0" w:space="0" w:color="auto"/>
        <w:right w:val="none" w:sz="0" w:space="0" w:color="auto"/>
      </w:divBdr>
    </w:div>
    <w:div w:id="612588921">
      <w:marLeft w:val="0"/>
      <w:marRight w:val="0"/>
      <w:marTop w:val="0"/>
      <w:marBottom w:val="0"/>
      <w:divBdr>
        <w:top w:val="none" w:sz="0" w:space="0" w:color="auto"/>
        <w:left w:val="none" w:sz="0" w:space="0" w:color="auto"/>
        <w:bottom w:val="none" w:sz="0" w:space="0" w:color="auto"/>
        <w:right w:val="none" w:sz="0" w:space="0" w:color="auto"/>
      </w:divBdr>
    </w:div>
    <w:div w:id="612588922">
      <w:marLeft w:val="0"/>
      <w:marRight w:val="0"/>
      <w:marTop w:val="0"/>
      <w:marBottom w:val="0"/>
      <w:divBdr>
        <w:top w:val="none" w:sz="0" w:space="0" w:color="auto"/>
        <w:left w:val="none" w:sz="0" w:space="0" w:color="auto"/>
        <w:bottom w:val="none" w:sz="0" w:space="0" w:color="auto"/>
        <w:right w:val="none" w:sz="0" w:space="0" w:color="auto"/>
      </w:divBdr>
    </w:div>
    <w:div w:id="612588923">
      <w:marLeft w:val="0"/>
      <w:marRight w:val="0"/>
      <w:marTop w:val="0"/>
      <w:marBottom w:val="0"/>
      <w:divBdr>
        <w:top w:val="none" w:sz="0" w:space="0" w:color="auto"/>
        <w:left w:val="none" w:sz="0" w:space="0" w:color="auto"/>
        <w:bottom w:val="none" w:sz="0" w:space="0" w:color="auto"/>
        <w:right w:val="none" w:sz="0" w:space="0" w:color="auto"/>
      </w:divBdr>
    </w:div>
    <w:div w:id="612588924">
      <w:marLeft w:val="0"/>
      <w:marRight w:val="0"/>
      <w:marTop w:val="0"/>
      <w:marBottom w:val="0"/>
      <w:divBdr>
        <w:top w:val="none" w:sz="0" w:space="0" w:color="auto"/>
        <w:left w:val="none" w:sz="0" w:space="0" w:color="auto"/>
        <w:bottom w:val="none" w:sz="0" w:space="0" w:color="auto"/>
        <w:right w:val="none" w:sz="0" w:space="0" w:color="auto"/>
      </w:divBdr>
    </w:div>
    <w:div w:id="612588925">
      <w:marLeft w:val="0"/>
      <w:marRight w:val="0"/>
      <w:marTop w:val="0"/>
      <w:marBottom w:val="0"/>
      <w:divBdr>
        <w:top w:val="none" w:sz="0" w:space="0" w:color="auto"/>
        <w:left w:val="none" w:sz="0" w:space="0" w:color="auto"/>
        <w:bottom w:val="none" w:sz="0" w:space="0" w:color="auto"/>
        <w:right w:val="none" w:sz="0" w:space="0" w:color="auto"/>
      </w:divBdr>
    </w:div>
    <w:div w:id="612588926">
      <w:marLeft w:val="0"/>
      <w:marRight w:val="0"/>
      <w:marTop w:val="0"/>
      <w:marBottom w:val="0"/>
      <w:divBdr>
        <w:top w:val="none" w:sz="0" w:space="0" w:color="auto"/>
        <w:left w:val="none" w:sz="0" w:space="0" w:color="auto"/>
        <w:bottom w:val="none" w:sz="0" w:space="0" w:color="auto"/>
        <w:right w:val="none" w:sz="0" w:space="0" w:color="auto"/>
      </w:divBdr>
    </w:div>
    <w:div w:id="612588927">
      <w:marLeft w:val="0"/>
      <w:marRight w:val="0"/>
      <w:marTop w:val="0"/>
      <w:marBottom w:val="0"/>
      <w:divBdr>
        <w:top w:val="none" w:sz="0" w:space="0" w:color="auto"/>
        <w:left w:val="none" w:sz="0" w:space="0" w:color="auto"/>
        <w:bottom w:val="none" w:sz="0" w:space="0" w:color="auto"/>
        <w:right w:val="none" w:sz="0" w:space="0" w:color="auto"/>
      </w:divBdr>
    </w:div>
    <w:div w:id="612588928">
      <w:marLeft w:val="0"/>
      <w:marRight w:val="0"/>
      <w:marTop w:val="0"/>
      <w:marBottom w:val="0"/>
      <w:divBdr>
        <w:top w:val="none" w:sz="0" w:space="0" w:color="auto"/>
        <w:left w:val="none" w:sz="0" w:space="0" w:color="auto"/>
        <w:bottom w:val="none" w:sz="0" w:space="0" w:color="auto"/>
        <w:right w:val="none" w:sz="0" w:space="0" w:color="auto"/>
      </w:divBdr>
    </w:div>
    <w:div w:id="612588929">
      <w:marLeft w:val="0"/>
      <w:marRight w:val="0"/>
      <w:marTop w:val="0"/>
      <w:marBottom w:val="0"/>
      <w:divBdr>
        <w:top w:val="none" w:sz="0" w:space="0" w:color="auto"/>
        <w:left w:val="none" w:sz="0" w:space="0" w:color="auto"/>
        <w:bottom w:val="none" w:sz="0" w:space="0" w:color="auto"/>
        <w:right w:val="none" w:sz="0" w:space="0" w:color="auto"/>
      </w:divBdr>
    </w:div>
    <w:div w:id="612588930">
      <w:marLeft w:val="0"/>
      <w:marRight w:val="0"/>
      <w:marTop w:val="0"/>
      <w:marBottom w:val="0"/>
      <w:divBdr>
        <w:top w:val="none" w:sz="0" w:space="0" w:color="auto"/>
        <w:left w:val="none" w:sz="0" w:space="0" w:color="auto"/>
        <w:bottom w:val="none" w:sz="0" w:space="0" w:color="auto"/>
        <w:right w:val="none" w:sz="0" w:space="0" w:color="auto"/>
      </w:divBdr>
    </w:div>
    <w:div w:id="612588931">
      <w:marLeft w:val="0"/>
      <w:marRight w:val="0"/>
      <w:marTop w:val="0"/>
      <w:marBottom w:val="0"/>
      <w:divBdr>
        <w:top w:val="none" w:sz="0" w:space="0" w:color="auto"/>
        <w:left w:val="none" w:sz="0" w:space="0" w:color="auto"/>
        <w:bottom w:val="none" w:sz="0" w:space="0" w:color="auto"/>
        <w:right w:val="none" w:sz="0" w:space="0" w:color="auto"/>
      </w:divBdr>
    </w:div>
    <w:div w:id="612588932">
      <w:marLeft w:val="0"/>
      <w:marRight w:val="0"/>
      <w:marTop w:val="0"/>
      <w:marBottom w:val="0"/>
      <w:divBdr>
        <w:top w:val="none" w:sz="0" w:space="0" w:color="auto"/>
        <w:left w:val="none" w:sz="0" w:space="0" w:color="auto"/>
        <w:bottom w:val="none" w:sz="0" w:space="0" w:color="auto"/>
        <w:right w:val="none" w:sz="0" w:space="0" w:color="auto"/>
      </w:divBdr>
    </w:div>
    <w:div w:id="612588933">
      <w:marLeft w:val="0"/>
      <w:marRight w:val="0"/>
      <w:marTop w:val="0"/>
      <w:marBottom w:val="0"/>
      <w:divBdr>
        <w:top w:val="none" w:sz="0" w:space="0" w:color="auto"/>
        <w:left w:val="none" w:sz="0" w:space="0" w:color="auto"/>
        <w:bottom w:val="none" w:sz="0" w:space="0" w:color="auto"/>
        <w:right w:val="none" w:sz="0" w:space="0" w:color="auto"/>
      </w:divBdr>
    </w:div>
    <w:div w:id="612588934">
      <w:marLeft w:val="0"/>
      <w:marRight w:val="0"/>
      <w:marTop w:val="0"/>
      <w:marBottom w:val="0"/>
      <w:divBdr>
        <w:top w:val="none" w:sz="0" w:space="0" w:color="auto"/>
        <w:left w:val="none" w:sz="0" w:space="0" w:color="auto"/>
        <w:bottom w:val="none" w:sz="0" w:space="0" w:color="auto"/>
        <w:right w:val="none" w:sz="0" w:space="0" w:color="auto"/>
      </w:divBdr>
    </w:div>
    <w:div w:id="612588935">
      <w:marLeft w:val="0"/>
      <w:marRight w:val="0"/>
      <w:marTop w:val="0"/>
      <w:marBottom w:val="0"/>
      <w:divBdr>
        <w:top w:val="none" w:sz="0" w:space="0" w:color="auto"/>
        <w:left w:val="none" w:sz="0" w:space="0" w:color="auto"/>
        <w:bottom w:val="none" w:sz="0" w:space="0" w:color="auto"/>
        <w:right w:val="none" w:sz="0" w:space="0" w:color="auto"/>
      </w:divBdr>
    </w:div>
    <w:div w:id="612588936">
      <w:marLeft w:val="0"/>
      <w:marRight w:val="0"/>
      <w:marTop w:val="0"/>
      <w:marBottom w:val="0"/>
      <w:divBdr>
        <w:top w:val="none" w:sz="0" w:space="0" w:color="auto"/>
        <w:left w:val="none" w:sz="0" w:space="0" w:color="auto"/>
        <w:bottom w:val="none" w:sz="0" w:space="0" w:color="auto"/>
        <w:right w:val="none" w:sz="0" w:space="0" w:color="auto"/>
      </w:divBdr>
    </w:div>
    <w:div w:id="612588937">
      <w:marLeft w:val="0"/>
      <w:marRight w:val="0"/>
      <w:marTop w:val="0"/>
      <w:marBottom w:val="0"/>
      <w:divBdr>
        <w:top w:val="none" w:sz="0" w:space="0" w:color="auto"/>
        <w:left w:val="none" w:sz="0" w:space="0" w:color="auto"/>
        <w:bottom w:val="none" w:sz="0" w:space="0" w:color="auto"/>
        <w:right w:val="none" w:sz="0" w:space="0" w:color="auto"/>
      </w:divBdr>
    </w:div>
    <w:div w:id="612588938">
      <w:marLeft w:val="0"/>
      <w:marRight w:val="0"/>
      <w:marTop w:val="0"/>
      <w:marBottom w:val="0"/>
      <w:divBdr>
        <w:top w:val="none" w:sz="0" w:space="0" w:color="auto"/>
        <w:left w:val="none" w:sz="0" w:space="0" w:color="auto"/>
        <w:bottom w:val="none" w:sz="0" w:space="0" w:color="auto"/>
        <w:right w:val="none" w:sz="0" w:space="0" w:color="auto"/>
      </w:divBdr>
    </w:div>
    <w:div w:id="612588939">
      <w:marLeft w:val="0"/>
      <w:marRight w:val="0"/>
      <w:marTop w:val="0"/>
      <w:marBottom w:val="0"/>
      <w:divBdr>
        <w:top w:val="none" w:sz="0" w:space="0" w:color="auto"/>
        <w:left w:val="none" w:sz="0" w:space="0" w:color="auto"/>
        <w:bottom w:val="none" w:sz="0" w:space="0" w:color="auto"/>
        <w:right w:val="none" w:sz="0" w:space="0" w:color="auto"/>
      </w:divBdr>
    </w:div>
    <w:div w:id="612588940">
      <w:marLeft w:val="0"/>
      <w:marRight w:val="0"/>
      <w:marTop w:val="0"/>
      <w:marBottom w:val="0"/>
      <w:divBdr>
        <w:top w:val="none" w:sz="0" w:space="0" w:color="auto"/>
        <w:left w:val="none" w:sz="0" w:space="0" w:color="auto"/>
        <w:bottom w:val="none" w:sz="0" w:space="0" w:color="auto"/>
        <w:right w:val="none" w:sz="0" w:space="0" w:color="auto"/>
      </w:divBdr>
    </w:div>
    <w:div w:id="612588941">
      <w:marLeft w:val="0"/>
      <w:marRight w:val="0"/>
      <w:marTop w:val="0"/>
      <w:marBottom w:val="0"/>
      <w:divBdr>
        <w:top w:val="none" w:sz="0" w:space="0" w:color="auto"/>
        <w:left w:val="none" w:sz="0" w:space="0" w:color="auto"/>
        <w:bottom w:val="none" w:sz="0" w:space="0" w:color="auto"/>
        <w:right w:val="none" w:sz="0" w:space="0" w:color="auto"/>
      </w:divBdr>
    </w:div>
    <w:div w:id="612588942">
      <w:marLeft w:val="0"/>
      <w:marRight w:val="0"/>
      <w:marTop w:val="0"/>
      <w:marBottom w:val="0"/>
      <w:divBdr>
        <w:top w:val="none" w:sz="0" w:space="0" w:color="auto"/>
        <w:left w:val="none" w:sz="0" w:space="0" w:color="auto"/>
        <w:bottom w:val="none" w:sz="0" w:space="0" w:color="auto"/>
        <w:right w:val="none" w:sz="0" w:space="0" w:color="auto"/>
      </w:divBdr>
    </w:div>
    <w:div w:id="612588943">
      <w:marLeft w:val="0"/>
      <w:marRight w:val="0"/>
      <w:marTop w:val="0"/>
      <w:marBottom w:val="0"/>
      <w:divBdr>
        <w:top w:val="none" w:sz="0" w:space="0" w:color="auto"/>
        <w:left w:val="none" w:sz="0" w:space="0" w:color="auto"/>
        <w:bottom w:val="none" w:sz="0" w:space="0" w:color="auto"/>
        <w:right w:val="none" w:sz="0" w:space="0" w:color="auto"/>
      </w:divBdr>
    </w:div>
    <w:div w:id="612588944">
      <w:marLeft w:val="0"/>
      <w:marRight w:val="0"/>
      <w:marTop w:val="0"/>
      <w:marBottom w:val="0"/>
      <w:divBdr>
        <w:top w:val="none" w:sz="0" w:space="0" w:color="auto"/>
        <w:left w:val="none" w:sz="0" w:space="0" w:color="auto"/>
        <w:bottom w:val="none" w:sz="0" w:space="0" w:color="auto"/>
        <w:right w:val="none" w:sz="0" w:space="0" w:color="auto"/>
      </w:divBdr>
    </w:div>
    <w:div w:id="612588945">
      <w:marLeft w:val="0"/>
      <w:marRight w:val="0"/>
      <w:marTop w:val="0"/>
      <w:marBottom w:val="0"/>
      <w:divBdr>
        <w:top w:val="none" w:sz="0" w:space="0" w:color="auto"/>
        <w:left w:val="none" w:sz="0" w:space="0" w:color="auto"/>
        <w:bottom w:val="none" w:sz="0" w:space="0" w:color="auto"/>
        <w:right w:val="none" w:sz="0" w:space="0" w:color="auto"/>
      </w:divBdr>
    </w:div>
    <w:div w:id="612588946">
      <w:marLeft w:val="0"/>
      <w:marRight w:val="0"/>
      <w:marTop w:val="0"/>
      <w:marBottom w:val="0"/>
      <w:divBdr>
        <w:top w:val="none" w:sz="0" w:space="0" w:color="auto"/>
        <w:left w:val="none" w:sz="0" w:space="0" w:color="auto"/>
        <w:bottom w:val="none" w:sz="0" w:space="0" w:color="auto"/>
        <w:right w:val="none" w:sz="0" w:space="0" w:color="auto"/>
      </w:divBdr>
    </w:div>
    <w:div w:id="612588947">
      <w:marLeft w:val="0"/>
      <w:marRight w:val="0"/>
      <w:marTop w:val="0"/>
      <w:marBottom w:val="0"/>
      <w:divBdr>
        <w:top w:val="none" w:sz="0" w:space="0" w:color="auto"/>
        <w:left w:val="none" w:sz="0" w:space="0" w:color="auto"/>
        <w:bottom w:val="none" w:sz="0" w:space="0" w:color="auto"/>
        <w:right w:val="none" w:sz="0" w:space="0" w:color="auto"/>
      </w:divBdr>
    </w:div>
    <w:div w:id="612588948">
      <w:marLeft w:val="0"/>
      <w:marRight w:val="0"/>
      <w:marTop w:val="0"/>
      <w:marBottom w:val="0"/>
      <w:divBdr>
        <w:top w:val="none" w:sz="0" w:space="0" w:color="auto"/>
        <w:left w:val="none" w:sz="0" w:space="0" w:color="auto"/>
        <w:bottom w:val="none" w:sz="0" w:space="0" w:color="auto"/>
        <w:right w:val="none" w:sz="0" w:space="0" w:color="auto"/>
      </w:divBdr>
    </w:div>
    <w:div w:id="612588949">
      <w:marLeft w:val="0"/>
      <w:marRight w:val="0"/>
      <w:marTop w:val="0"/>
      <w:marBottom w:val="0"/>
      <w:divBdr>
        <w:top w:val="none" w:sz="0" w:space="0" w:color="auto"/>
        <w:left w:val="none" w:sz="0" w:space="0" w:color="auto"/>
        <w:bottom w:val="none" w:sz="0" w:space="0" w:color="auto"/>
        <w:right w:val="none" w:sz="0" w:space="0" w:color="auto"/>
      </w:divBdr>
    </w:div>
    <w:div w:id="612588950">
      <w:marLeft w:val="0"/>
      <w:marRight w:val="0"/>
      <w:marTop w:val="0"/>
      <w:marBottom w:val="0"/>
      <w:divBdr>
        <w:top w:val="none" w:sz="0" w:space="0" w:color="auto"/>
        <w:left w:val="none" w:sz="0" w:space="0" w:color="auto"/>
        <w:bottom w:val="none" w:sz="0" w:space="0" w:color="auto"/>
        <w:right w:val="none" w:sz="0" w:space="0" w:color="auto"/>
      </w:divBdr>
    </w:div>
    <w:div w:id="612588951">
      <w:marLeft w:val="0"/>
      <w:marRight w:val="0"/>
      <w:marTop w:val="0"/>
      <w:marBottom w:val="0"/>
      <w:divBdr>
        <w:top w:val="none" w:sz="0" w:space="0" w:color="auto"/>
        <w:left w:val="none" w:sz="0" w:space="0" w:color="auto"/>
        <w:bottom w:val="none" w:sz="0" w:space="0" w:color="auto"/>
        <w:right w:val="none" w:sz="0" w:space="0" w:color="auto"/>
      </w:divBdr>
    </w:div>
    <w:div w:id="612588952">
      <w:marLeft w:val="0"/>
      <w:marRight w:val="0"/>
      <w:marTop w:val="0"/>
      <w:marBottom w:val="0"/>
      <w:divBdr>
        <w:top w:val="none" w:sz="0" w:space="0" w:color="auto"/>
        <w:left w:val="none" w:sz="0" w:space="0" w:color="auto"/>
        <w:bottom w:val="none" w:sz="0" w:space="0" w:color="auto"/>
        <w:right w:val="none" w:sz="0" w:space="0" w:color="auto"/>
      </w:divBdr>
    </w:div>
    <w:div w:id="612588953">
      <w:marLeft w:val="0"/>
      <w:marRight w:val="0"/>
      <w:marTop w:val="0"/>
      <w:marBottom w:val="0"/>
      <w:divBdr>
        <w:top w:val="none" w:sz="0" w:space="0" w:color="auto"/>
        <w:left w:val="none" w:sz="0" w:space="0" w:color="auto"/>
        <w:bottom w:val="none" w:sz="0" w:space="0" w:color="auto"/>
        <w:right w:val="none" w:sz="0" w:space="0" w:color="auto"/>
      </w:divBdr>
    </w:div>
    <w:div w:id="612588954">
      <w:marLeft w:val="0"/>
      <w:marRight w:val="0"/>
      <w:marTop w:val="0"/>
      <w:marBottom w:val="0"/>
      <w:divBdr>
        <w:top w:val="none" w:sz="0" w:space="0" w:color="auto"/>
        <w:left w:val="none" w:sz="0" w:space="0" w:color="auto"/>
        <w:bottom w:val="none" w:sz="0" w:space="0" w:color="auto"/>
        <w:right w:val="none" w:sz="0" w:space="0" w:color="auto"/>
      </w:divBdr>
    </w:div>
    <w:div w:id="612588955">
      <w:marLeft w:val="0"/>
      <w:marRight w:val="0"/>
      <w:marTop w:val="0"/>
      <w:marBottom w:val="0"/>
      <w:divBdr>
        <w:top w:val="none" w:sz="0" w:space="0" w:color="auto"/>
        <w:left w:val="none" w:sz="0" w:space="0" w:color="auto"/>
        <w:bottom w:val="none" w:sz="0" w:space="0" w:color="auto"/>
        <w:right w:val="none" w:sz="0" w:space="0" w:color="auto"/>
      </w:divBdr>
    </w:div>
    <w:div w:id="612588956">
      <w:marLeft w:val="0"/>
      <w:marRight w:val="0"/>
      <w:marTop w:val="0"/>
      <w:marBottom w:val="0"/>
      <w:divBdr>
        <w:top w:val="none" w:sz="0" w:space="0" w:color="auto"/>
        <w:left w:val="none" w:sz="0" w:space="0" w:color="auto"/>
        <w:bottom w:val="none" w:sz="0" w:space="0" w:color="auto"/>
        <w:right w:val="none" w:sz="0" w:space="0" w:color="auto"/>
      </w:divBdr>
    </w:div>
    <w:div w:id="612588957">
      <w:marLeft w:val="0"/>
      <w:marRight w:val="0"/>
      <w:marTop w:val="0"/>
      <w:marBottom w:val="0"/>
      <w:divBdr>
        <w:top w:val="none" w:sz="0" w:space="0" w:color="auto"/>
        <w:left w:val="none" w:sz="0" w:space="0" w:color="auto"/>
        <w:bottom w:val="none" w:sz="0" w:space="0" w:color="auto"/>
        <w:right w:val="none" w:sz="0" w:space="0" w:color="auto"/>
      </w:divBdr>
    </w:div>
    <w:div w:id="612588958">
      <w:marLeft w:val="0"/>
      <w:marRight w:val="0"/>
      <w:marTop w:val="0"/>
      <w:marBottom w:val="0"/>
      <w:divBdr>
        <w:top w:val="none" w:sz="0" w:space="0" w:color="auto"/>
        <w:left w:val="none" w:sz="0" w:space="0" w:color="auto"/>
        <w:bottom w:val="none" w:sz="0" w:space="0" w:color="auto"/>
        <w:right w:val="none" w:sz="0" w:space="0" w:color="auto"/>
      </w:divBdr>
    </w:div>
    <w:div w:id="612588959">
      <w:marLeft w:val="0"/>
      <w:marRight w:val="0"/>
      <w:marTop w:val="0"/>
      <w:marBottom w:val="0"/>
      <w:divBdr>
        <w:top w:val="none" w:sz="0" w:space="0" w:color="auto"/>
        <w:left w:val="none" w:sz="0" w:space="0" w:color="auto"/>
        <w:bottom w:val="none" w:sz="0" w:space="0" w:color="auto"/>
        <w:right w:val="none" w:sz="0" w:space="0" w:color="auto"/>
      </w:divBdr>
    </w:div>
    <w:div w:id="612588960">
      <w:marLeft w:val="0"/>
      <w:marRight w:val="0"/>
      <w:marTop w:val="0"/>
      <w:marBottom w:val="0"/>
      <w:divBdr>
        <w:top w:val="none" w:sz="0" w:space="0" w:color="auto"/>
        <w:left w:val="none" w:sz="0" w:space="0" w:color="auto"/>
        <w:bottom w:val="none" w:sz="0" w:space="0" w:color="auto"/>
        <w:right w:val="none" w:sz="0" w:space="0" w:color="auto"/>
      </w:divBdr>
    </w:div>
    <w:div w:id="612588961">
      <w:marLeft w:val="0"/>
      <w:marRight w:val="0"/>
      <w:marTop w:val="0"/>
      <w:marBottom w:val="0"/>
      <w:divBdr>
        <w:top w:val="none" w:sz="0" w:space="0" w:color="auto"/>
        <w:left w:val="none" w:sz="0" w:space="0" w:color="auto"/>
        <w:bottom w:val="none" w:sz="0" w:space="0" w:color="auto"/>
        <w:right w:val="none" w:sz="0" w:space="0" w:color="auto"/>
      </w:divBdr>
    </w:div>
    <w:div w:id="612588962">
      <w:marLeft w:val="0"/>
      <w:marRight w:val="0"/>
      <w:marTop w:val="0"/>
      <w:marBottom w:val="0"/>
      <w:divBdr>
        <w:top w:val="none" w:sz="0" w:space="0" w:color="auto"/>
        <w:left w:val="none" w:sz="0" w:space="0" w:color="auto"/>
        <w:bottom w:val="none" w:sz="0" w:space="0" w:color="auto"/>
        <w:right w:val="none" w:sz="0" w:space="0" w:color="auto"/>
      </w:divBdr>
    </w:div>
    <w:div w:id="612588963">
      <w:marLeft w:val="0"/>
      <w:marRight w:val="0"/>
      <w:marTop w:val="0"/>
      <w:marBottom w:val="0"/>
      <w:divBdr>
        <w:top w:val="none" w:sz="0" w:space="0" w:color="auto"/>
        <w:left w:val="none" w:sz="0" w:space="0" w:color="auto"/>
        <w:bottom w:val="none" w:sz="0" w:space="0" w:color="auto"/>
        <w:right w:val="none" w:sz="0" w:space="0" w:color="auto"/>
      </w:divBdr>
    </w:div>
    <w:div w:id="612588964">
      <w:marLeft w:val="0"/>
      <w:marRight w:val="0"/>
      <w:marTop w:val="0"/>
      <w:marBottom w:val="0"/>
      <w:divBdr>
        <w:top w:val="none" w:sz="0" w:space="0" w:color="auto"/>
        <w:left w:val="none" w:sz="0" w:space="0" w:color="auto"/>
        <w:bottom w:val="none" w:sz="0" w:space="0" w:color="auto"/>
        <w:right w:val="none" w:sz="0" w:space="0" w:color="auto"/>
      </w:divBdr>
    </w:div>
    <w:div w:id="612588965">
      <w:marLeft w:val="0"/>
      <w:marRight w:val="0"/>
      <w:marTop w:val="0"/>
      <w:marBottom w:val="0"/>
      <w:divBdr>
        <w:top w:val="none" w:sz="0" w:space="0" w:color="auto"/>
        <w:left w:val="none" w:sz="0" w:space="0" w:color="auto"/>
        <w:bottom w:val="none" w:sz="0" w:space="0" w:color="auto"/>
        <w:right w:val="none" w:sz="0" w:space="0" w:color="auto"/>
      </w:divBdr>
    </w:div>
    <w:div w:id="612588966">
      <w:marLeft w:val="0"/>
      <w:marRight w:val="0"/>
      <w:marTop w:val="0"/>
      <w:marBottom w:val="0"/>
      <w:divBdr>
        <w:top w:val="none" w:sz="0" w:space="0" w:color="auto"/>
        <w:left w:val="none" w:sz="0" w:space="0" w:color="auto"/>
        <w:bottom w:val="none" w:sz="0" w:space="0" w:color="auto"/>
        <w:right w:val="none" w:sz="0" w:space="0" w:color="auto"/>
      </w:divBdr>
    </w:div>
    <w:div w:id="612588967">
      <w:marLeft w:val="0"/>
      <w:marRight w:val="0"/>
      <w:marTop w:val="0"/>
      <w:marBottom w:val="0"/>
      <w:divBdr>
        <w:top w:val="none" w:sz="0" w:space="0" w:color="auto"/>
        <w:left w:val="none" w:sz="0" w:space="0" w:color="auto"/>
        <w:bottom w:val="none" w:sz="0" w:space="0" w:color="auto"/>
        <w:right w:val="none" w:sz="0" w:space="0" w:color="auto"/>
      </w:divBdr>
    </w:div>
    <w:div w:id="612588968">
      <w:marLeft w:val="0"/>
      <w:marRight w:val="0"/>
      <w:marTop w:val="0"/>
      <w:marBottom w:val="0"/>
      <w:divBdr>
        <w:top w:val="none" w:sz="0" w:space="0" w:color="auto"/>
        <w:left w:val="none" w:sz="0" w:space="0" w:color="auto"/>
        <w:bottom w:val="none" w:sz="0" w:space="0" w:color="auto"/>
        <w:right w:val="none" w:sz="0" w:space="0" w:color="auto"/>
      </w:divBdr>
    </w:div>
    <w:div w:id="612588969">
      <w:marLeft w:val="0"/>
      <w:marRight w:val="0"/>
      <w:marTop w:val="0"/>
      <w:marBottom w:val="0"/>
      <w:divBdr>
        <w:top w:val="none" w:sz="0" w:space="0" w:color="auto"/>
        <w:left w:val="none" w:sz="0" w:space="0" w:color="auto"/>
        <w:bottom w:val="none" w:sz="0" w:space="0" w:color="auto"/>
        <w:right w:val="none" w:sz="0" w:space="0" w:color="auto"/>
      </w:divBdr>
    </w:div>
    <w:div w:id="612588970">
      <w:marLeft w:val="0"/>
      <w:marRight w:val="0"/>
      <w:marTop w:val="0"/>
      <w:marBottom w:val="0"/>
      <w:divBdr>
        <w:top w:val="none" w:sz="0" w:space="0" w:color="auto"/>
        <w:left w:val="none" w:sz="0" w:space="0" w:color="auto"/>
        <w:bottom w:val="none" w:sz="0" w:space="0" w:color="auto"/>
        <w:right w:val="none" w:sz="0" w:space="0" w:color="auto"/>
      </w:divBdr>
    </w:div>
    <w:div w:id="612588971">
      <w:marLeft w:val="0"/>
      <w:marRight w:val="0"/>
      <w:marTop w:val="0"/>
      <w:marBottom w:val="0"/>
      <w:divBdr>
        <w:top w:val="none" w:sz="0" w:space="0" w:color="auto"/>
        <w:left w:val="none" w:sz="0" w:space="0" w:color="auto"/>
        <w:bottom w:val="none" w:sz="0" w:space="0" w:color="auto"/>
        <w:right w:val="none" w:sz="0" w:space="0" w:color="auto"/>
      </w:divBdr>
    </w:div>
    <w:div w:id="612588972">
      <w:marLeft w:val="0"/>
      <w:marRight w:val="0"/>
      <w:marTop w:val="0"/>
      <w:marBottom w:val="0"/>
      <w:divBdr>
        <w:top w:val="none" w:sz="0" w:space="0" w:color="auto"/>
        <w:left w:val="none" w:sz="0" w:space="0" w:color="auto"/>
        <w:bottom w:val="none" w:sz="0" w:space="0" w:color="auto"/>
        <w:right w:val="none" w:sz="0" w:space="0" w:color="auto"/>
      </w:divBdr>
    </w:div>
    <w:div w:id="612588973">
      <w:marLeft w:val="0"/>
      <w:marRight w:val="0"/>
      <w:marTop w:val="0"/>
      <w:marBottom w:val="0"/>
      <w:divBdr>
        <w:top w:val="none" w:sz="0" w:space="0" w:color="auto"/>
        <w:left w:val="none" w:sz="0" w:space="0" w:color="auto"/>
        <w:bottom w:val="none" w:sz="0" w:space="0" w:color="auto"/>
        <w:right w:val="none" w:sz="0" w:space="0" w:color="auto"/>
      </w:divBdr>
    </w:div>
    <w:div w:id="612588974">
      <w:marLeft w:val="0"/>
      <w:marRight w:val="0"/>
      <w:marTop w:val="0"/>
      <w:marBottom w:val="0"/>
      <w:divBdr>
        <w:top w:val="none" w:sz="0" w:space="0" w:color="auto"/>
        <w:left w:val="none" w:sz="0" w:space="0" w:color="auto"/>
        <w:bottom w:val="none" w:sz="0" w:space="0" w:color="auto"/>
        <w:right w:val="none" w:sz="0" w:space="0" w:color="auto"/>
      </w:divBdr>
    </w:div>
    <w:div w:id="612588975">
      <w:marLeft w:val="0"/>
      <w:marRight w:val="0"/>
      <w:marTop w:val="0"/>
      <w:marBottom w:val="0"/>
      <w:divBdr>
        <w:top w:val="none" w:sz="0" w:space="0" w:color="auto"/>
        <w:left w:val="none" w:sz="0" w:space="0" w:color="auto"/>
        <w:bottom w:val="none" w:sz="0" w:space="0" w:color="auto"/>
        <w:right w:val="none" w:sz="0" w:space="0" w:color="auto"/>
      </w:divBdr>
    </w:div>
    <w:div w:id="612588976">
      <w:marLeft w:val="0"/>
      <w:marRight w:val="0"/>
      <w:marTop w:val="0"/>
      <w:marBottom w:val="0"/>
      <w:divBdr>
        <w:top w:val="none" w:sz="0" w:space="0" w:color="auto"/>
        <w:left w:val="none" w:sz="0" w:space="0" w:color="auto"/>
        <w:bottom w:val="none" w:sz="0" w:space="0" w:color="auto"/>
        <w:right w:val="none" w:sz="0" w:space="0" w:color="auto"/>
      </w:divBdr>
    </w:div>
    <w:div w:id="612588977">
      <w:marLeft w:val="0"/>
      <w:marRight w:val="0"/>
      <w:marTop w:val="0"/>
      <w:marBottom w:val="0"/>
      <w:divBdr>
        <w:top w:val="none" w:sz="0" w:space="0" w:color="auto"/>
        <w:left w:val="none" w:sz="0" w:space="0" w:color="auto"/>
        <w:bottom w:val="none" w:sz="0" w:space="0" w:color="auto"/>
        <w:right w:val="none" w:sz="0" w:space="0" w:color="auto"/>
      </w:divBdr>
    </w:div>
    <w:div w:id="612588978">
      <w:marLeft w:val="0"/>
      <w:marRight w:val="0"/>
      <w:marTop w:val="0"/>
      <w:marBottom w:val="0"/>
      <w:divBdr>
        <w:top w:val="none" w:sz="0" w:space="0" w:color="auto"/>
        <w:left w:val="none" w:sz="0" w:space="0" w:color="auto"/>
        <w:bottom w:val="none" w:sz="0" w:space="0" w:color="auto"/>
        <w:right w:val="none" w:sz="0" w:space="0" w:color="auto"/>
      </w:divBdr>
    </w:div>
    <w:div w:id="612588979">
      <w:marLeft w:val="0"/>
      <w:marRight w:val="0"/>
      <w:marTop w:val="0"/>
      <w:marBottom w:val="0"/>
      <w:divBdr>
        <w:top w:val="none" w:sz="0" w:space="0" w:color="auto"/>
        <w:left w:val="none" w:sz="0" w:space="0" w:color="auto"/>
        <w:bottom w:val="none" w:sz="0" w:space="0" w:color="auto"/>
        <w:right w:val="none" w:sz="0" w:space="0" w:color="auto"/>
      </w:divBdr>
    </w:div>
    <w:div w:id="612588980">
      <w:marLeft w:val="0"/>
      <w:marRight w:val="0"/>
      <w:marTop w:val="0"/>
      <w:marBottom w:val="0"/>
      <w:divBdr>
        <w:top w:val="none" w:sz="0" w:space="0" w:color="auto"/>
        <w:left w:val="none" w:sz="0" w:space="0" w:color="auto"/>
        <w:bottom w:val="none" w:sz="0" w:space="0" w:color="auto"/>
        <w:right w:val="none" w:sz="0" w:space="0" w:color="auto"/>
      </w:divBdr>
    </w:div>
    <w:div w:id="612588981">
      <w:marLeft w:val="0"/>
      <w:marRight w:val="0"/>
      <w:marTop w:val="0"/>
      <w:marBottom w:val="0"/>
      <w:divBdr>
        <w:top w:val="none" w:sz="0" w:space="0" w:color="auto"/>
        <w:left w:val="none" w:sz="0" w:space="0" w:color="auto"/>
        <w:bottom w:val="none" w:sz="0" w:space="0" w:color="auto"/>
        <w:right w:val="none" w:sz="0" w:space="0" w:color="auto"/>
      </w:divBdr>
    </w:div>
    <w:div w:id="612588982">
      <w:marLeft w:val="0"/>
      <w:marRight w:val="0"/>
      <w:marTop w:val="0"/>
      <w:marBottom w:val="0"/>
      <w:divBdr>
        <w:top w:val="none" w:sz="0" w:space="0" w:color="auto"/>
        <w:left w:val="none" w:sz="0" w:space="0" w:color="auto"/>
        <w:bottom w:val="none" w:sz="0" w:space="0" w:color="auto"/>
        <w:right w:val="none" w:sz="0" w:space="0" w:color="auto"/>
      </w:divBdr>
    </w:div>
    <w:div w:id="612588983">
      <w:marLeft w:val="0"/>
      <w:marRight w:val="0"/>
      <w:marTop w:val="0"/>
      <w:marBottom w:val="0"/>
      <w:divBdr>
        <w:top w:val="none" w:sz="0" w:space="0" w:color="auto"/>
        <w:left w:val="none" w:sz="0" w:space="0" w:color="auto"/>
        <w:bottom w:val="none" w:sz="0" w:space="0" w:color="auto"/>
        <w:right w:val="none" w:sz="0" w:space="0" w:color="auto"/>
      </w:divBdr>
    </w:div>
    <w:div w:id="612588984">
      <w:marLeft w:val="0"/>
      <w:marRight w:val="0"/>
      <w:marTop w:val="0"/>
      <w:marBottom w:val="0"/>
      <w:divBdr>
        <w:top w:val="none" w:sz="0" w:space="0" w:color="auto"/>
        <w:left w:val="none" w:sz="0" w:space="0" w:color="auto"/>
        <w:bottom w:val="none" w:sz="0" w:space="0" w:color="auto"/>
        <w:right w:val="none" w:sz="0" w:space="0" w:color="auto"/>
      </w:divBdr>
    </w:div>
    <w:div w:id="612588985">
      <w:marLeft w:val="0"/>
      <w:marRight w:val="0"/>
      <w:marTop w:val="0"/>
      <w:marBottom w:val="0"/>
      <w:divBdr>
        <w:top w:val="none" w:sz="0" w:space="0" w:color="auto"/>
        <w:left w:val="none" w:sz="0" w:space="0" w:color="auto"/>
        <w:bottom w:val="none" w:sz="0" w:space="0" w:color="auto"/>
        <w:right w:val="none" w:sz="0" w:space="0" w:color="auto"/>
      </w:divBdr>
    </w:div>
    <w:div w:id="612588986">
      <w:marLeft w:val="0"/>
      <w:marRight w:val="0"/>
      <w:marTop w:val="0"/>
      <w:marBottom w:val="0"/>
      <w:divBdr>
        <w:top w:val="none" w:sz="0" w:space="0" w:color="auto"/>
        <w:left w:val="none" w:sz="0" w:space="0" w:color="auto"/>
        <w:bottom w:val="none" w:sz="0" w:space="0" w:color="auto"/>
        <w:right w:val="none" w:sz="0" w:space="0" w:color="auto"/>
      </w:divBdr>
    </w:div>
    <w:div w:id="612588987">
      <w:marLeft w:val="0"/>
      <w:marRight w:val="0"/>
      <w:marTop w:val="0"/>
      <w:marBottom w:val="0"/>
      <w:divBdr>
        <w:top w:val="none" w:sz="0" w:space="0" w:color="auto"/>
        <w:left w:val="none" w:sz="0" w:space="0" w:color="auto"/>
        <w:bottom w:val="none" w:sz="0" w:space="0" w:color="auto"/>
        <w:right w:val="none" w:sz="0" w:space="0" w:color="auto"/>
      </w:divBdr>
    </w:div>
    <w:div w:id="612588988">
      <w:marLeft w:val="0"/>
      <w:marRight w:val="0"/>
      <w:marTop w:val="0"/>
      <w:marBottom w:val="0"/>
      <w:divBdr>
        <w:top w:val="none" w:sz="0" w:space="0" w:color="auto"/>
        <w:left w:val="none" w:sz="0" w:space="0" w:color="auto"/>
        <w:bottom w:val="none" w:sz="0" w:space="0" w:color="auto"/>
        <w:right w:val="none" w:sz="0" w:space="0" w:color="auto"/>
      </w:divBdr>
    </w:div>
    <w:div w:id="612588989">
      <w:marLeft w:val="0"/>
      <w:marRight w:val="0"/>
      <w:marTop w:val="0"/>
      <w:marBottom w:val="0"/>
      <w:divBdr>
        <w:top w:val="none" w:sz="0" w:space="0" w:color="auto"/>
        <w:left w:val="none" w:sz="0" w:space="0" w:color="auto"/>
        <w:bottom w:val="none" w:sz="0" w:space="0" w:color="auto"/>
        <w:right w:val="none" w:sz="0" w:space="0" w:color="auto"/>
      </w:divBdr>
    </w:div>
    <w:div w:id="773015238">
      <w:bodyDiv w:val="1"/>
      <w:marLeft w:val="0"/>
      <w:marRight w:val="0"/>
      <w:marTop w:val="0"/>
      <w:marBottom w:val="0"/>
      <w:divBdr>
        <w:top w:val="none" w:sz="0" w:space="0" w:color="auto"/>
        <w:left w:val="none" w:sz="0" w:space="0" w:color="auto"/>
        <w:bottom w:val="none" w:sz="0" w:space="0" w:color="auto"/>
        <w:right w:val="none" w:sz="0" w:space="0" w:color="auto"/>
      </w:divBdr>
    </w:div>
    <w:div w:id="805854062">
      <w:bodyDiv w:val="1"/>
      <w:marLeft w:val="0"/>
      <w:marRight w:val="0"/>
      <w:marTop w:val="0"/>
      <w:marBottom w:val="0"/>
      <w:divBdr>
        <w:top w:val="none" w:sz="0" w:space="0" w:color="auto"/>
        <w:left w:val="none" w:sz="0" w:space="0" w:color="auto"/>
        <w:bottom w:val="none" w:sz="0" w:space="0" w:color="auto"/>
        <w:right w:val="none" w:sz="0" w:space="0" w:color="auto"/>
      </w:divBdr>
    </w:div>
    <w:div w:id="813833557">
      <w:bodyDiv w:val="1"/>
      <w:marLeft w:val="0"/>
      <w:marRight w:val="0"/>
      <w:marTop w:val="0"/>
      <w:marBottom w:val="0"/>
      <w:divBdr>
        <w:top w:val="none" w:sz="0" w:space="0" w:color="auto"/>
        <w:left w:val="none" w:sz="0" w:space="0" w:color="auto"/>
        <w:bottom w:val="none" w:sz="0" w:space="0" w:color="auto"/>
        <w:right w:val="none" w:sz="0" w:space="0" w:color="auto"/>
      </w:divBdr>
    </w:div>
    <w:div w:id="885221747">
      <w:bodyDiv w:val="1"/>
      <w:marLeft w:val="0"/>
      <w:marRight w:val="0"/>
      <w:marTop w:val="0"/>
      <w:marBottom w:val="0"/>
      <w:divBdr>
        <w:top w:val="none" w:sz="0" w:space="0" w:color="auto"/>
        <w:left w:val="none" w:sz="0" w:space="0" w:color="auto"/>
        <w:bottom w:val="none" w:sz="0" w:space="0" w:color="auto"/>
        <w:right w:val="none" w:sz="0" w:space="0" w:color="auto"/>
      </w:divBdr>
    </w:div>
    <w:div w:id="936065105">
      <w:bodyDiv w:val="1"/>
      <w:marLeft w:val="0"/>
      <w:marRight w:val="0"/>
      <w:marTop w:val="0"/>
      <w:marBottom w:val="0"/>
      <w:divBdr>
        <w:top w:val="none" w:sz="0" w:space="0" w:color="auto"/>
        <w:left w:val="none" w:sz="0" w:space="0" w:color="auto"/>
        <w:bottom w:val="none" w:sz="0" w:space="0" w:color="auto"/>
        <w:right w:val="none" w:sz="0" w:space="0" w:color="auto"/>
      </w:divBdr>
    </w:div>
    <w:div w:id="967473038">
      <w:bodyDiv w:val="1"/>
      <w:marLeft w:val="0"/>
      <w:marRight w:val="0"/>
      <w:marTop w:val="0"/>
      <w:marBottom w:val="0"/>
      <w:divBdr>
        <w:top w:val="none" w:sz="0" w:space="0" w:color="auto"/>
        <w:left w:val="none" w:sz="0" w:space="0" w:color="auto"/>
        <w:bottom w:val="none" w:sz="0" w:space="0" w:color="auto"/>
        <w:right w:val="none" w:sz="0" w:space="0" w:color="auto"/>
      </w:divBdr>
    </w:div>
    <w:div w:id="980305705">
      <w:bodyDiv w:val="1"/>
      <w:marLeft w:val="0"/>
      <w:marRight w:val="0"/>
      <w:marTop w:val="0"/>
      <w:marBottom w:val="0"/>
      <w:divBdr>
        <w:top w:val="none" w:sz="0" w:space="0" w:color="auto"/>
        <w:left w:val="none" w:sz="0" w:space="0" w:color="auto"/>
        <w:bottom w:val="none" w:sz="0" w:space="0" w:color="auto"/>
        <w:right w:val="none" w:sz="0" w:space="0" w:color="auto"/>
      </w:divBdr>
    </w:div>
    <w:div w:id="1021393968">
      <w:bodyDiv w:val="1"/>
      <w:marLeft w:val="0"/>
      <w:marRight w:val="0"/>
      <w:marTop w:val="0"/>
      <w:marBottom w:val="0"/>
      <w:divBdr>
        <w:top w:val="none" w:sz="0" w:space="0" w:color="auto"/>
        <w:left w:val="none" w:sz="0" w:space="0" w:color="auto"/>
        <w:bottom w:val="none" w:sz="0" w:space="0" w:color="auto"/>
        <w:right w:val="none" w:sz="0" w:space="0" w:color="auto"/>
      </w:divBdr>
    </w:div>
    <w:div w:id="1103648103">
      <w:bodyDiv w:val="1"/>
      <w:marLeft w:val="0"/>
      <w:marRight w:val="0"/>
      <w:marTop w:val="0"/>
      <w:marBottom w:val="0"/>
      <w:divBdr>
        <w:top w:val="none" w:sz="0" w:space="0" w:color="auto"/>
        <w:left w:val="none" w:sz="0" w:space="0" w:color="auto"/>
        <w:bottom w:val="none" w:sz="0" w:space="0" w:color="auto"/>
        <w:right w:val="none" w:sz="0" w:space="0" w:color="auto"/>
      </w:divBdr>
    </w:div>
    <w:div w:id="1115438729">
      <w:bodyDiv w:val="1"/>
      <w:marLeft w:val="0"/>
      <w:marRight w:val="0"/>
      <w:marTop w:val="0"/>
      <w:marBottom w:val="0"/>
      <w:divBdr>
        <w:top w:val="none" w:sz="0" w:space="0" w:color="auto"/>
        <w:left w:val="none" w:sz="0" w:space="0" w:color="auto"/>
        <w:bottom w:val="none" w:sz="0" w:space="0" w:color="auto"/>
        <w:right w:val="none" w:sz="0" w:space="0" w:color="auto"/>
      </w:divBdr>
    </w:div>
    <w:div w:id="1139030797">
      <w:bodyDiv w:val="1"/>
      <w:marLeft w:val="0"/>
      <w:marRight w:val="0"/>
      <w:marTop w:val="0"/>
      <w:marBottom w:val="0"/>
      <w:divBdr>
        <w:top w:val="none" w:sz="0" w:space="0" w:color="auto"/>
        <w:left w:val="none" w:sz="0" w:space="0" w:color="auto"/>
        <w:bottom w:val="none" w:sz="0" w:space="0" w:color="auto"/>
        <w:right w:val="none" w:sz="0" w:space="0" w:color="auto"/>
      </w:divBdr>
    </w:div>
    <w:div w:id="1141388681">
      <w:bodyDiv w:val="1"/>
      <w:marLeft w:val="0"/>
      <w:marRight w:val="0"/>
      <w:marTop w:val="0"/>
      <w:marBottom w:val="0"/>
      <w:divBdr>
        <w:top w:val="none" w:sz="0" w:space="0" w:color="auto"/>
        <w:left w:val="none" w:sz="0" w:space="0" w:color="auto"/>
        <w:bottom w:val="none" w:sz="0" w:space="0" w:color="auto"/>
        <w:right w:val="none" w:sz="0" w:space="0" w:color="auto"/>
      </w:divBdr>
    </w:div>
    <w:div w:id="1149900193">
      <w:bodyDiv w:val="1"/>
      <w:marLeft w:val="0"/>
      <w:marRight w:val="0"/>
      <w:marTop w:val="0"/>
      <w:marBottom w:val="0"/>
      <w:divBdr>
        <w:top w:val="none" w:sz="0" w:space="0" w:color="auto"/>
        <w:left w:val="none" w:sz="0" w:space="0" w:color="auto"/>
        <w:bottom w:val="none" w:sz="0" w:space="0" w:color="auto"/>
        <w:right w:val="none" w:sz="0" w:space="0" w:color="auto"/>
      </w:divBdr>
    </w:div>
    <w:div w:id="1161239060">
      <w:bodyDiv w:val="1"/>
      <w:marLeft w:val="0"/>
      <w:marRight w:val="0"/>
      <w:marTop w:val="0"/>
      <w:marBottom w:val="0"/>
      <w:divBdr>
        <w:top w:val="none" w:sz="0" w:space="0" w:color="auto"/>
        <w:left w:val="none" w:sz="0" w:space="0" w:color="auto"/>
        <w:bottom w:val="none" w:sz="0" w:space="0" w:color="auto"/>
        <w:right w:val="none" w:sz="0" w:space="0" w:color="auto"/>
      </w:divBdr>
    </w:div>
    <w:div w:id="1181161425">
      <w:bodyDiv w:val="1"/>
      <w:marLeft w:val="0"/>
      <w:marRight w:val="0"/>
      <w:marTop w:val="0"/>
      <w:marBottom w:val="0"/>
      <w:divBdr>
        <w:top w:val="none" w:sz="0" w:space="0" w:color="auto"/>
        <w:left w:val="none" w:sz="0" w:space="0" w:color="auto"/>
        <w:bottom w:val="none" w:sz="0" w:space="0" w:color="auto"/>
        <w:right w:val="none" w:sz="0" w:space="0" w:color="auto"/>
      </w:divBdr>
    </w:div>
    <w:div w:id="1220478249">
      <w:bodyDiv w:val="1"/>
      <w:marLeft w:val="0"/>
      <w:marRight w:val="0"/>
      <w:marTop w:val="0"/>
      <w:marBottom w:val="0"/>
      <w:divBdr>
        <w:top w:val="none" w:sz="0" w:space="0" w:color="auto"/>
        <w:left w:val="none" w:sz="0" w:space="0" w:color="auto"/>
        <w:bottom w:val="none" w:sz="0" w:space="0" w:color="auto"/>
        <w:right w:val="none" w:sz="0" w:space="0" w:color="auto"/>
      </w:divBdr>
    </w:div>
    <w:div w:id="1240477180">
      <w:bodyDiv w:val="1"/>
      <w:marLeft w:val="0"/>
      <w:marRight w:val="0"/>
      <w:marTop w:val="0"/>
      <w:marBottom w:val="0"/>
      <w:divBdr>
        <w:top w:val="none" w:sz="0" w:space="0" w:color="auto"/>
        <w:left w:val="none" w:sz="0" w:space="0" w:color="auto"/>
        <w:bottom w:val="none" w:sz="0" w:space="0" w:color="auto"/>
        <w:right w:val="none" w:sz="0" w:space="0" w:color="auto"/>
      </w:divBdr>
    </w:div>
    <w:div w:id="1246920245">
      <w:bodyDiv w:val="1"/>
      <w:marLeft w:val="0"/>
      <w:marRight w:val="0"/>
      <w:marTop w:val="0"/>
      <w:marBottom w:val="0"/>
      <w:divBdr>
        <w:top w:val="none" w:sz="0" w:space="0" w:color="auto"/>
        <w:left w:val="none" w:sz="0" w:space="0" w:color="auto"/>
        <w:bottom w:val="none" w:sz="0" w:space="0" w:color="auto"/>
        <w:right w:val="none" w:sz="0" w:space="0" w:color="auto"/>
      </w:divBdr>
    </w:div>
    <w:div w:id="1332374004">
      <w:bodyDiv w:val="1"/>
      <w:marLeft w:val="0"/>
      <w:marRight w:val="0"/>
      <w:marTop w:val="0"/>
      <w:marBottom w:val="0"/>
      <w:divBdr>
        <w:top w:val="none" w:sz="0" w:space="0" w:color="auto"/>
        <w:left w:val="none" w:sz="0" w:space="0" w:color="auto"/>
        <w:bottom w:val="none" w:sz="0" w:space="0" w:color="auto"/>
        <w:right w:val="none" w:sz="0" w:space="0" w:color="auto"/>
      </w:divBdr>
    </w:div>
    <w:div w:id="1362511950">
      <w:bodyDiv w:val="1"/>
      <w:marLeft w:val="0"/>
      <w:marRight w:val="0"/>
      <w:marTop w:val="0"/>
      <w:marBottom w:val="0"/>
      <w:divBdr>
        <w:top w:val="none" w:sz="0" w:space="0" w:color="auto"/>
        <w:left w:val="none" w:sz="0" w:space="0" w:color="auto"/>
        <w:bottom w:val="none" w:sz="0" w:space="0" w:color="auto"/>
        <w:right w:val="none" w:sz="0" w:space="0" w:color="auto"/>
      </w:divBdr>
    </w:div>
    <w:div w:id="1367682714">
      <w:bodyDiv w:val="1"/>
      <w:marLeft w:val="0"/>
      <w:marRight w:val="0"/>
      <w:marTop w:val="0"/>
      <w:marBottom w:val="0"/>
      <w:divBdr>
        <w:top w:val="none" w:sz="0" w:space="0" w:color="auto"/>
        <w:left w:val="none" w:sz="0" w:space="0" w:color="auto"/>
        <w:bottom w:val="none" w:sz="0" w:space="0" w:color="auto"/>
        <w:right w:val="none" w:sz="0" w:space="0" w:color="auto"/>
      </w:divBdr>
    </w:div>
    <w:div w:id="1450002703">
      <w:bodyDiv w:val="1"/>
      <w:marLeft w:val="0"/>
      <w:marRight w:val="0"/>
      <w:marTop w:val="0"/>
      <w:marBottom w:val="0"/>
      <w:divBdr>
        <w:top w:val="none" w:sz="0" w:space="0" w:color="auto"/>
        <w:left w:val="none" w:sz="0" w:space="0" w:color="auto"/>
        <w:bottom w:val="none" w:sz="0" w:space="0" w:color="auto"/>
        <w:right w:val="none" w:sz="0" w:space="0" w:color="auto"/>
      </w:divBdr>
    </w:div>
    <w:div w:id="1450735082">
      <w:bodyDiv w:val="1"/>
      <w:marLeft w:val="0"/>
      <w:marRight w:val="0"/>
      <w:marTop w:val="0"/>
      <w:marBottom w:val="0"/>
      <w:divBdr>
        <w:top w:val="none" w:sz="0" w:space="0" w:color="auto"/>
        <w:left w:val="none" w:sz="0" w:space="0" w:color="auto"/>
        <w:bottom w:val="none" w:sz="0" w:space="0" w:color="auto"/>
        <w:right w:val="none" w:sz="0" w:space="0" w:color="auto"/>
      </w:divBdr>
    </w:div>
    <w:div w:id="1452893945">
      <w:bodyDiv w:val="1"/>
      <w:marLeft w:val="0"/>
      <w:marRight w:val="0"/>
      <w:marTop w:val="0"/>
      <w:marBottom w:val="0"/>
      <w:divBdr>
        <w:top w:val="none" w:sz="0" w:space="0" w:color="auto"/>
        <w:left w:val="none" w:sz="0" w:space="0" w:color="auto"/>
        <w:bottom w:val="none" w:sz="0" w:space="0" w:color="auto"/>
        <w:right w:val="none" w:sz="0" w:space="0" w:color="auto"/>
      </w:divBdr>
    </w:div>
    <w:div w:id="1515218368">
      <w:bodyDiv w:val="1"/>
      <w:marLeft w:val="0"/>
      <w:marRight w:val="0"/>
      <w:marTop w:val="0"/>
      <w:marBottom w:val="0"/>
      <w:divBdr>
        <w:top w:val="none" w:sz="0" w:space="0" w:color="auto"/>
        <w:left w:val="none" w:sz="0" w:space="0" w:color="auto"/>
        <w:bottom w:val="none" w:sz="0" w:space="0" w:color="auto"/>
        <w:right w:val="none" w:sz="0" w:space="0" w:color="auto"/>
      </w:divBdr>
    </w:div>
    <w:div w:id="1709911240">
      <w:bodyDiv w:val="1"/>
      <w:marLeft w:val="0"/>
      <w:marRight w:val="0"/>
      <w:marTop w:val="0"/>
      <w:marBottom w:val="0"/>
      <w:divBdr>
        <w:top w:val="none" w:sz="0" w:space="0" w:color="auto"/>
        <w:left w:val="none" w:sz="0" w:space="0" w:color="auto"/>
        <w:bottom w:val="none" w:sz="0" w:space="0" w:color="auto"/>
        <w:right w:val="none" w:sz="0" w:space="0" w:color="auto"/>
      </w:divBdr>
    </w:div>
    <w:div w:id="1730566634">
      <w:bodyDiv w:val="1"/>
      <w:marLeft w:val="0"/>
      <w:marRight w:val="0"/>
      <w:marTop w:val="0"/>
      <w:marBottom w:val="0"/>
      <w:divBdr>
        <w:top w:val="none" w:sz="0" w:space="0" w:color="auto"/>
        <w:left w:val="none" w:sz="0" w:space="0" w:color="auto"/>
        <w:bottom w:val="none" w:sz="0" w:space="0" w:color="auto"/>
        <w:right w:val="none" w:sz="0" w:space="0" w:color="auto"/>
      </w:divBdr>
      <w:divsChild>
        <w:div w:id="862473594">
          <w:marLeft w:val="0"/>
          <w:marRight w:val="0"/>
          <w:marTop w:val="75"/>
          <w:marBottom w:val="0"/>
          <w:divBdr>
            <w:top w:val="none" w:sz="0" w:space="0" w:color="auto"/>
            <w:left w:val="none" w:sz="0" w:space="0" w:color="auto"/>
            <w:bottom w:val="none" w:sz="0" w:space="0" w:color="auto"/>
            <w:right w:val="none" w:sz="0" w:space="0" w:color="auto"/>
          </w:divBdr>
          <w:divsChild>
            <w:div w:id="1517691778">
              <w:marLeft w:val="0"/>
              <w:marRight w:val="0"/>
              <w:marTop w:val="0"/>
              <w:marBottom w:val="0"/>
              <w:divBdr>
                <w:top w:val="none" w:sz="0" w:space="0" w:color="auto"/>
                <w:left w:val="none" w:sz="0" w:space="0" w:color="auto"/>
                <w:bottom w:val="none" w:sz="0" w:space="0" w:color="auto"/>
                <w:right w:val="none" w:sz="0" w:space="0" w:color="auto"/>
              </w:divBdr>
              <w:divsChild>
                <w:div w:id="654527255">
                  <w:marLeft w:val="0"/>
                  <w:marRight w:val="0"/>
                  <w:marTop w:val="0"/>
                  <w:marBottom w:val="0"/>
                  <w:divBdr>
                    <w:top w:val="single" w:sz="6" w:space="0" w:color="999999"/>
                    <w:left w:val="single" w:sz="6" w:space="0" w:color="999999"/>
                    <w:bottom w:val="single" w:sz="6" w:space="0" w:color="666666"/>
                    <w:right w:val="single" w:sz="6" w:space="0" w:color="666666"/>
                  </w:divBdr>
                  <w:divsChild>
                    <w:div w:id="946931116">
                      <w:marLeft w:val="0"/>
                      <w:marRight w:val="0"/>
                      <w:marTop w:val="0"/>
                      <w:marBottom w:val="0"/>
                      <w:divBdr>
                        <w:top w:val="none" w:sz="0" w:space="0" w:color="auto"/>
                        <w:left w:val="none" w:sz="0" w:space="0" w:color="auto"/>
                        <w:bottom w:val="none" w:sz="0" w:space="0" w:color="auto"/>
                        <w:right w:val="none" w:sz="0" w:space="0" w:color="auto"/>
                      </w:divBdr>
                      <w:divsChild>
                        <w:div w:id="1134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379978">
      <w:bodyDiv w:val="1"/>
      <w:marLeft w:val="0"/>
      <w:marRight w:val="0"/>
      <w:marTop w:val="0"/>
      <w:marBottom w:val="0"/>
      <w:divBdr>
        <w:top w:val="none" w:sz="0" w:space="0" w:color="auto"/>
        <w:left w:val="none" w:sz="0" w:space="0" w:color="auto"/>
        <w:bottom w:val="none" w:sz="0" w:space="0" w:color="auto"/>
        <w:right w:val="none" w:sz="0" w:space="0" w:color="auto"/>
      </w:divBdr>
    </w:div>
    <w:div w:id="1835026208">
      <w:bodyDiv w:val="1"/>
      <w:marLeft w:val="0"/>
      <w:marRight w:val="0"/>
      <w:marTop w:val="0"/>
      <w:marBottom w:val="0"/>
      <w:divBdr>
        <w:top w:val="none" w:sz="0" w:space="0" w:color="auto"/>
        <w:left w:val="none" w:sz="0" w:space="0" w:color="auto"/>
        <w:bottom w:val="none" w:sz="0" w:space="0" w:color="auto"/>
        <w:right w:val="none" w:sz="0" w:space="0" w:color="auto"/>
      </w:divBdr>
    </w:div>
    <w:div w:id="1849640997">
      <w:bodyDiv w:val="1"/>
      <w:marLeft w:val="0"/>
      <w:marRight w:val="0"/>
      <w:marTop w:val="0"/>
      <w:marBottom w:val="0"/>
      <w:divBdr>
        <w:top w:val="none" w:sz="0" w:space="0" w:color="auto"/>
        <w:left w:val="none" w:sz="0" w:space="0" w:color="auto"/>
        <w:bottom w:val="none" w:sz="0" w:space="0" w:color="auto"/>
        <w:right w:val="none" w:sz="0" w:space="0" w:color="auto"/>
      </w:divBdr>
    </w:div>
    <w:div w:id="1928420904">
      <w:bodyDiv w:val="1"/>
      <w:marLeft w:val="0"/>
      <w:marRight w:val="0"/>
      <w:marTop w:val="0"/>
      <w:marBottom w:val="0"/>
      <w:divBdr>
        <w:top w:val="none" w:sz="0" w:space="0" w:color="auto"/>
        <w:left w:val="none" w:sz="0" w:space="0" w:color="auto"/>
        <w:bottom w:val="none" w:sz="0" w:space="0" w:color="auto"/>
        <w:right w:val="none" w:sz="0" w:space="0" w:color="auto"/>
      </w:divBdr>
    </w:div>
    <w:div w:id="1957901760">
      <w:bodyDiv w:val="1"/>
      <w:marLeft w:val="0"/>
      <w:marRight w:val="0"/>
      <w:marTop w:val="0"/>
      <w:marBottom w:val="0"/>
      <w:divBdr>
        <w:top w:val="none" w:sz="0" w:space="0" w:color="auto"/>
        <w:left w:val="none" w:sz="0" w:space="0" w:color="auto"/>
        <w:bottom w:val="none" w:sz="0" w:space="0" w:color="auto"/>
        <w:right w:val="none" w:sz="0" w:space="0" w:color="auto"/>
      </w:divBdr>
    </w:div>
    <w:div w:id="1961758046">
      <w:bodyDiv w:val="1"/>
      <w:marLeft w:val="0"/>
      <w:marRight w:val="0"/>
      <w:marTop w:val="0"/>
      <w:marBottom w:val="0"/>
      <w:divBdr>
        <w:top w:val="none" w:sz="0" w:space="0" w:color="auto"/>
        <w:left w:val="none" w:sz="0" w:space="0" w:color="auto"/>
        <w:bottom w:val="none" w:sz="0" w:space="0" w:color="auto"/>
        <w:right w:val="none" w:sz="0" w:space="0" w:color="auto"/>
      </w:divBdr>
    </w:div>
    <w:div w:id="2078479861">
      <w:bodyDiv w:val="1"/>
      <w:marLeft w:val="0"/>
      <w:marRight w:val="0"/>
      <w:marTop w:val="0"/>
      <w:marBottom w:val="0"/>
      <w:divBdr>
        <w:top w:val="none" w:sz="0" w:space="0" w:color="auto"/>
        <w:left w:val="none" w:sz="0" w:space="0" w:color="auto"/>
        <w:bottom w:val="none" w:sz="0" w:space="0" w:color="auto"/>
        <w:right w:val="none" w:sz="0" w:space="0" w:color="auto"/>
      </w:divBdr>
    </w:div>
    <w:div w:id="2093040861">
      <w:bodyDiv w:val="1"/>
      <w:marLeft w:val="0"/>
      <w:marRight w:val="0"/>
      <w:marTop w:val="0"/>
      <w:marBottom w:val="0"/>
      <w:divBdr>
        <w:top w:val="none" w:sz="0" w:space="0" w:color="auto"/>
        <w:left w:val="none" w:sz="0" w:space="0" w:color="auto"/>
        <w:bottom w:val="none" w:sz="0" w:space="0" w:color="auto"/>
        <w:right w:val="none" w:sz="0" w:space="0" w:color="auto"/>
      </w:divBdr>
    </w:div>
    <w:div w:id="212965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hart" Target="charts/chart5.xml"/><Relationship Id="rId39" Type="http://schemas.openxmlformats.org/officeDocument/2006/relationships/chart" Target="charts/chart12.xml"/><Relationship Id="rId21" Type="http://schemas.openxmlformats.org/officeDocument/2006/relationships/image" Target="media/image12.png"/><Relationship Id="rId34" Type="http://schemas.openxmlformats.org/officeDocument/2006/relationships/chart" Target="charts/chart9.xml"/><Relationship Id="rId42" Type="http://schemas.openxmlformats.org/officeDocument/2006/relationships/chart" Target="charts/chart14.xml"/><Relationship Id="rId47" Type="http://schemas.openxmlformats.org/officeDocument/2006/relationships/hyperlink" Target="https://www.ctu.cz/ctu-online/pruzkum-nga.html" TargetMode="External"/><Relationship Id="rId50" Type="http://schemas.openxmlformats.org/officeDocument/2006/relationships/image" Target="media/image26.png"/><Relationship Id="rId55" Type="http://schemas.openxmlformats.org/officeDocument/2006/relationships/chart" Target="charts/chart19.xml"/><Relationship Id="rId63" Type="http://schemas.openxmlformats.org/officeDocument/2006/relationships/chart" Target="charts/chart27.xml"/><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4.emf"/><Relationship Id="rId11" Type="http://schemas.openxmlformats.org/officeDocument/2006/relationships/image" Target="cid:image001.jpg@01D0A8F2.7B986000" TargetMode="External"/><Relationship Id="rId24" Type="http://schemas.openxmlformats.org/officeDocument/2006/relationships/chart" Target="charts/chart3.xml"/><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image" Target="media/image22.png"/><Relationship Id="rId53" Type="http://schemas.openxmlformats.org/officeDocument/2006/relationships/chart" Target="charts/chart17.xml"/><Relationship Id="rId58" Type="http://schemas.openxmlformats.org/officeDocument/2006/relationships/chart" Target="charts/chart22.xml"/><Relationship Id="rId66" Type="http://schemas.openxmlformats.org/officeDocument/2006/relationships/chart" Target="charts/chart30.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chart" Target="charts/chart21.xml"/><Relationship Id="rId61" Type="http://schemas.openxmlformats.org/officeDocument/2006/relationships/chart" Target="charts/chart25.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chart" Target="charts/chart16.xml"/><Relationship Id="rId60" Type="http://schemas.openxmlformats.org/officeDocument/2006/relationships/chart" Target="charts/chart24.xml"/><Relationship Id="rId65" Type="http://schemas.openxmlformats.org/officeDocument/2006/relationships/chart" Target="charts/chart29.xm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6.xml"/><Relationship Id="rId30" Type="http://schemas.openxmlformats.org/officeDocument/2006/relationships/image" Target="media/image15.emf"/><Relationship Id="rId35" Type="http://schemas.openxmlformats.org/officeDocument/2006/relationships/chart" Target="charts/chart10.xml"/><Relationship Id="rId43" Type="http://schemas.openxmlformats.org/officeDocument/2006/relationships/chart" Target="charts/chart15.xml"/><Relationship Id="rId48" Type="http://schemas.openxmlformats.org/officeDocument/2006/relationships/image" Target="media/image24.png"/><Relationship Id="rId56" Type="http://schemas.openxmlformats.org/officeDocument/2006/relationships/chart" Target="charts/chart20.xml"/><Relationship Id="rId64" Type="http://schemas.openxmlformats.org/officeDocument/2006/relationships/chart" Target="charts/chart28.xml"/><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chart" Target="charts/chart11.xml"/><Relationship Id="rId46" Type="http://schemas.openxmlformats.org/officeDocument/2006/relationships/image" Target="media/image23.png"/><Relationship Id="rId59" Type="http://schemas.openxmlformats.org/officeDocument/2006/relationships/chart" Target="charts/chart23.xml"/><Relationship Id="rId67"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chart" Target="charts/chart13.xml"/><Relationship Id="rId54" Type="http://schemas.openxmlformats.org/officeDocument/2006/relationships/chart" Target="charts/chart18.xml"/><Relationship Id="rId62" Type="http://schemas.openxmlformats.org/officeDocument/2006/relationships/chart" Target="charts/chart26.xml"/><Relationship Id="rId70" Type="http://schemas.openxmlformats.org/officeDocument/2006/relationships/image" Target="media/image31.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eznam.cz/mapa-rychlosti-internetu" TargetMode="External"/><Relationship Id="rId2" Type="http://schemas.openxmlformats.org/officeDocument/2006/relationships/hyperlink" Target="https://www.ctu.cz/ctu-online/pruzkum-nga.html" TargetMode="External"/><Relationship Id="rId1" Type="http://schemas.openxmlformats.org/officeDocument/2006/relationships/hyperlink" Target="http://ec.europa.eu/regional_policy/thefunds/fin_inst/index_en.cfm" TargetMode="External"/><Relationship Id="rId5" Type="http://schemas.openxmlformats.org/officeDocument/2006/relationships/hyperlink" Target="https://is.muni.cz/th/172093/esf_m/diplomova_prace.pdf" TargetMode="External"/><Relationship Id="rId4" Type="http://schemas.openxmlformats.org/officeDocument/2006/relationships/hyperlink" Target="http://is.muni.cz/th/323053/esf_m/Diplomova_prace-Monika_Vyskovsk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FINAL\survey-2161998.xl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FINAL\survey-2161998.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FINAL\survey-2161998.xls"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65833333333344"/>
          <c:y val="6.0633680555555701E-2"/>
          <c:w val="0.7748347222222226"/>
          <c:h val="0.60949869791666667"/>
        </c:manualLayout>
      </c:layout>
      <c:barChart>
        <c:barDir val="col"/>
        <c:grouping val="clustered"/>
        <c:varyColors val="0"/>
        <c:ser>
          <c:idx val="0"/>
          <c:order val="0"/>
          <c:tx>
            <c:strRef>
              <c:f>investice!$A$4</c:f>
              <c:strCache>
                <c:ptCount val="1"/>
                <c:pt idx="0">
                  <c:v>Investice MSP (v mil. Kč)</c:v>
                </c:pt>
              </c:strCache>
            </c:strRef>
          </c:tx>
          <c:spPr>
            <a:solidFill>
              <a:schemeClr val="accent6">
                <a:lumMod val="75000"/>
              </a:schemeClr>
            </a:solidFill>
            <a:ln>
              <a:solidFill>
                <a:schemeClr val="accent6">
                  <a:lumMod val="50000"/>
                </a:schemeClr>
              </a:solidFill>
            </a:ln>
          </c:spPr>
          <c:invertIfNegative val="0"/>
          <c:dLbls>
            <c:spPr>
              <a:noFill/>
              <a:ln w="25905">
                <a:noFill/>
              </a:ln>
            </c:spPr>
            <c:txPr>
              <a:bodyPr rot="-5400000" vert="horz" wrap="square" lIns="38100" tIns="19050" rIns="38100" bIns="19050" anchor="ctr">
                <a:spAutoFit/>
              </a:bodyPr>
              <a:lstStyle/>
              <a:p>
                <a:pPr algn="ctr">
                  <a:defRPr sz="786" b="0" i="0" u="none" strike="noStrike" baseline="0">
                    <a:solidFill>
                      <a:srgbClr val="000000"/>
                    </a:solidFill>
                    <a:latin typeface="Calibri"/>
                    <a:ea typeface="Calibri"/>
                    <a:cs typeface="Calibri"/>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investice!$B$3:$F$3</c:f>
              <c:numCache>
                <c:formatCode>General</c:formatCode>
                <c:ptCount val="5"/>
                <c:pt idx="0">
                  <c:v>2009</c:v>
                </c:pt>
                <c:pt idx="1">
                  <c:v>2010</c:v>
                </c:pt>
                <c:pt idx="2">
                  <c:v>2011</c:v>
                </c:pt>
                <c:pt idx="3">
                  <c:v>2012</c:v>
                </c:pt>
                <c:pt idx="4">
                  <c:v>2013</c:v>
                </c:pt>
              </c:numCache>
            </c:numRef>
          </c:cat>
          <c:val>
            <c:numRef>
              <c:f>investice!$B$4:$F$4</c:f>
              <c:numCache>
                <c:formatCode>#,##0</c:formatCode>
                <c:ptCount val="5"/>
                <c:pt idx="0">
                  <c:v>393595</c:v>
                </c:pt>
                <c:pt idx="1">
                  <c:v>386851</c:v>
                </c:pt>
                <c:pt idx="2">
                  <c:v>380212</c:v>
                </c:pt>
                <c:pt idx="3">
                  <c:v>353123</c:v>
                </c:pt>
                <c:pt idx="4">
                  <c:v>321385</c:v>
                </c:pt>
              </c:numCache>
            </c:numRef>
          </c:val>
        </c:ser>
        <c:dLbls>
          <c:showLegendKey val="0"/>
          <c:showVal val="0"/>
          <c:showCatName val="0"/>
          <c:showSerName val="0"/>
          <c:showPercent val="0"/>
          <c:showBubbleSize val="0"/>
        </c:dLbls>
        <c:gapWidth val="70"/>
        <c:axId val="291926208"/>
        <c:axId val="291926600"/>
      </c:barChart>
      <c:lineChart>
        <c:grouping val="standard"/>
        <c:varyColors val="0"/>
        <c:ser>
          <c:idx val="1"/>
          <c:order val="1"/>
          <c:tx>
            <c:strRef>
              <c:f>investice!$A$5</c:f>
              <c:strCache>
                <c:ptCount val="1"/>
                <c:pt idx="0">
                  <c:v>Investice celkem bez ohledu na velikost subjektu (v mil. Kč)</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spPr>
              <a:noFill/>
              <a:ln w="25905">
                <a:noFill/>
              </a:ln>
            </c:spPr>
            <c:txPr>
              <a:bodyPr wrap="square" lIns="38100" tIns="19050" rIns="38100" bIns="19050" anchor="ctr">
                <a:spAutoFit/>
              </a:bodyPr>
              <a:lstStyle/>
              <a:p>
                <a:pPr>
                  <a:defRPr sz="786" b="0" i="0" u="none" strike="noStrike" baseline="0">
                    <a:solidFill>
                      <a:srgbClr val="000000"/>
                    </a:solidFill>
                    <a:latin typeface="Calibri"/>
                    <a:ea typeface="Calibri"/>
                    <a:cs typeface="Calibri"/>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investice!$B$3:$F$3</c:f>
              <c:numCache>
                <c:formatCode>General</c:formatCode>
                <c:ptCount val="5"/>
                <c:pt idx="0">
                  <c:v>2009</c:v>
                </c:pt>
                <c:pt idx="1">
                  <c:v>2010</c:v>
                </c:pt>
                <c:pt idx="2">
                  <c:v>2011</c:v>
                </c:pt>
                <c:pt idx="3">
                  <c:v>2012</c:v>
                </c:pt>
                <c:pt idx="4">
                  <c:v>2013</c:v>
                </c:pt>
              </c:numCache>
            </c:numRef>
          </c:cat>
          <c:val>
            <c:numRef>
              <c:f>investice!$B$5:$F$5</c:f>
              <c:numCache>
                <c:formatCode>#,##0</c:formatCode>
                <c:ptCount val="5"/>
                <c:pt idx="0">
                  <c:v>644467</c:v>
                </c:pt>
                <c:pt idx="1">
                  <c:v>607265</c:v>
                </c:pt>
                <c:pt idx="2">
                  <c:v>635223</c:v>
                </c:pt>
                <c:pt idx="3">
                  <c:v>624845</c:v>
                </c:pt>
                <c:pt idx="4">
                  <c:v>581755</c:v>
                </c:pt>
              </c:numCache>
            </c:numRef>
          </c:val>
          <c:smooth val="0"/>
        </c:ser>
        <c:dLbls>
          <c:showLegendKey val="0"/>
          <c:showVal val="0"/>
          <c:showCatName val="0"/>
          <c:showSerName val="0"/>
          <c:showPercent val="0"/>
          <c:showBubbleSize val="0"/>
        </c:dLbls>
        <c:marker val="1"/>
        <c:smooth val="0"/>
        <c:axId val="291926208"/>
        <c:axId val="291926600"/>
      </c:lineChart>
      <c:catAx>
        <c:axId val="291926208"/>
        <c:scaling>
          <c:orientation val="minMax"/>
        </c:scaling>
        <c:delete val="0"/>
        <c:axPos val="b"/>
        <c:numFmt formatCode="General" sourceLinked="1"/>
        <c:majorTickMark val="out"/>
        <c:minorTickMark val="none"/>
        <c:tickLblPos val="nextTo"/>
        <c:txPr>
          <a:bodyPr rot="0" vert="horz"/>
          <a:lstStyle/>
          <a:p>
            <a:pPr>
              <a:defRPr sz="786" b="0" i="0" u="none" strike="noStrike" baseline="0">
                <a:solidFill>
                  <a:srgbClr val="000000"/>
                </a:solidFill>
                <a:latin typeface="Calibri"/>
                <a:ea typeface="Calibri"/>
                <a:cs typeface="Calibri"/>
              </a:defRPr>
            </a:pPr>
            <a:endParaRPr lang="cs-CZ"/>
          </a:p>
        </c:txPr>
        <c:crossAx val="291926600"/>
        <c:crosses val="autoZero"/>
        <c:auto val="1"/>
        <c:lblAlgn val="ctr"/>
        <c:lblOffset val="100"/>
        <c:noMultiLvlLbl val="0"/>
      </c:catAx>
      <c:valAx>
        <c:axId val="291926600"/>
        <c:scaling>
          <c:orientation val="minMax"/>
        </c:scaling>
        <c:delete val="0"/>
        <c:axPos val="l"/>
        <c:majorGridlines/>
        <c:numFmt formatCode="#,##0" sourceLinked="1"/>
        <c:majorTickMark val="out"/>
        <c:minorTickMark val="none"/>
        <c:tickLblPos val="nextTo"/>
        <c:txPr>
          <a:bodyPr rot="0" vert="horz"/>
          <a:lstStyle/>
          <a:p>
            <a:pPr>
              <a:defRPr sz="786" b="0" i="0" u="none" strike="noStrike" baseline="0">
                <a:solidFill>
                  <a:srgbClr val="000000"/>
                </a:solidFill>
                <a:latin typeface="Calibri"/>
                <a:ea typeface="Calibri"/>
                <a:cs typeface="Calibri"/>
              </a:defRPr>
            </a:pPr>
            <a:endParaRPr lang="cs-CZ"/>
          </a:p>
        </c:txPr>
        <c:crossAx val="291926208"/>
        <c:crosses val="autoZero"/>
        <c:crossBetween val="between"/>
      </c:valAx>
    </c:plotArea>
    <c:legend>
      <c:legendPos val="r"/>
      <c:layout>
        <c:manualLayout>
          <c:xMode val="edge"/>
          <c:yMode val="edge"/>
          <c:x val="0"/>
          <c:y val="0.66037756717904128"/>
          <c:w val="0.96000006365520518"/>
          <c:h val="0.33962243282095872"/>
        </c:manualLayout>
      </c:layout>
      <c:overlay val="0"/>
      <c:txPr>
        <a:bodyPr/>
        <a:lstStyle/>
        <a:p>
          <a:pPr>
            <a:defRPr sz="718" b="0" i="0" u="none" strike="noStrike" baseline="0">
              <a:solidFill>
                <a:srgbClr val="000000"/>
              </a:solidFill>
              <a:latin typeface="Calibri"/>
              <a:ea typeface="Calibri"/>
              <a:cs typeface="Calibri"/>
            </a:defRPr>
          </a:pPr>
          <a:endParaRPr lang="cs-CZ"/>
        </a:p>
      </c:txPr>
    </c:legend>
    <c:plotVisOnly val="1"/>
    <c:dispBlanksAs val="gap"/>
    <c:showDLblsOverMax val="0"/>
  </c:chart>
  <c:spPr>
    <a:ln w="6350" cap="flat" cmpd="sng" algn="ctr">
      <a:solidFill>
        <a:srgbClr val="000000"/>
      </a:solidFill>
      <a:prstDash val="solid"/>
      <a:miter lim="800000"/>
      <a:headEnd type="none" w="med" len="med"/>
      <a:tailEnd type="none" w="med" len="med"/>
    </a:ln>
  </c:spPr>
  <c:txPr>
    <a:bodyPr/>
    <a:lstStyle/>
    <a:p>
      <a:pPr>
        <a:defRPr sz="786" b="0" i="0" u="none" strike="noStrike" baseline="0">
          <a:solidFill>
            <a:srgbClr val="000000"/>
          </a:solidFill>
          <a:latin typeface="Calibri"/>
          <a:ea typeface="Calibri"/>
          <a:cs typeface="Calibri"/>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BF!$J$46:$J$49</c:f>
              <c:strCache>
                <c:ptCount val="4"/>
                <c:pt idx="0">
                  <c:v>Dlouhá doba návratnosti projektu</c:v>
                </c:pt>
                <c:pt idx="1">
                  <c:v>Krátká podnikatelská historie</c:v>
                </c:pt>
                <c:pt idx="2">
                  <c:v>Možnosti zajištění</c:v>
                </c:pt>
                <c:pt idx="3">
                  <c:v>Finanční náklady</c:v>
                </c:pt>
              </c:strCache>
            </c:strRef>
          </c:cat>
          <c:val>
            <c:numRef>
              <c:f>BF!$K$46:$K$49</c:f>
              <c:numCache>
                <c:formatCode>0.0%</c:formatCode>
                <c:ptCount val="4"/>
                <c:pt idx="0">
                  <c:v>0.64444444444444449</c:v>
                </c:pt>
                <c:pt idx="1">
                  <c:v>0.64444444444444449</c:v>
                </c:pt>
                <c:pt idx="2">
                  <c:v>0.8666666666666667</c:v>
                </c:pt>
                <c:pt idx="3">
                  <c:v>0.75555555555555554</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OZE!$A$44:$A$47</c:f>
              <c:strCache>
                <c:ptCount val="4"/>
                <c:pt idx="0">
                  <c:v>Návratnost v horizontu 1-3 roky</c:v>
                </c:pt>
                <c:pt idx="1">
                  <c:v>Návratnost v horizontu 3-5 let</c:v>
                </c:pt>
                <c:pt idx="2">
                  <c:v>Návratnost v horizontu 5-10 let</c:v>
                </c:pt>
                <c:pt idx="3">
                  <c:v>Návratnost v horizontu 10 let a více</c:v>
                </c:pt>
              </c:strCache>
            </c:strRef>
          </c:cat>
          <c:val>
            <c:numRef>
              <c:f>OZE!$C$44:$C$47</c:f>
              <c:numCache>
                <c:formatCode>0.0%</c:formatCode>
                <c:ptCount val="4"/>
                <c:pt idx="0">
                  <c:v>4.3956043956043959E-2</c:v>
                </c:pt>
                <c:pt idx="1">
                  <c:v>0.26373626373626374</c:v>
                </c:pt>
                <c:pt idx="2">
                  <c:v>0.47252747252747251</c:v>
                </c:pt>
                <c:pt idx="3">
                  <c:v>0.21978021978021978</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5"/>
              <c:layout>
                <c:manualLayout>
                  <c:x val="7.4999999999999997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OZE!$I$34:$I$39</c:f>
              <c:strCache>
                <c:ptCount val="6"/>
                <c:pt idx="0">
                  <c:v>Dlouhá doba návratnosti projektu</c:v>
                </c:pt>
                <c:pt idx="1">
                  <c:v>Krátká podnikatelská historie</c:v>
                </c:pt>
                <c:pt idx="2">
                  <c:v>Možnosti zajištění</c:v>
                </c:pt>
                <c:pt idx="3">
                  <c:v>Finanční náklady</c:v>
                </c:pt>
                <c:pt idx="4">
                  <c:v>Ekonomický potenciál projektu</c:v>
                </c:pt>
                <c:pt idx="5">
                  <c:v>Vysoká aktuální zadluženost</c:v>
                </c:pt>
              </c:strCache>
            </c:strRef>
          </c:cat>
          <c:val>
            <c:numRef>
              <c:f>OZE!$K$34:$K$39</c:f>
              <c:numCache>
                <c:formatCode>0.0%</c:formatCode>
                <c:ptCount val="6"/>
                <c:pt idx="0">
                  <c:v>0.72499999999999998</c:v>
                </c:pt>
                <c:pt idx="1">
                  <c:v>0.72499999999999998</c:v>
                </c:pt>
                <c:pt idx="2">
                  <c:v>0.97499999999999998</c:v>
                </c:pt>
                <c:pt idx="3">
                  <c:v>0.85</c:v>
                </c:pt>
                <c:pt idx="4">
                  <c:v>0.42499999999999999</c:v>
                </c:pt>
                <c:pt idx="5">
                  <c:v>0.2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EE!$A$44:$A$47</c:f>
              <c:strCache>
                <c:ptCount val="4"/>
                <c:pt idx="0">
                  <c:v>Návratnost v horizontu 1-3 roky</c:v>
                </c:pt>
                <c:pt idx="1">
                  <c:v>Návratnost v horizontu 3-5 let</c:v>
                </c:pt>
                <c:pt idx="2">
                  <c:v>Návratnost v horizontu 5-10 let</c:v>
                </c:pt>
                <c:pt idx="3">
                  <c:v>Návratnost v horizontu 10 let a více</c:v>
                </c:pt>
              </c:strCache>
            </c:strRef>
          </c:cat>
          <c:val>
            <c:numRef>
              <c:f>EE!$C$44:$C$47</c:f>
              <c:numCache>
                <c:formatCode>0.0%</c:formatCode>
                <c:ptCount val="4"/>
                <c:pt idx="0">
                  <c:v>0.14566929133858267</c:v>
                </c:pt>
                <c:pt idx="1">
                  <c:v>0.32283464566929132</c:v>
                </c:pt>
                <c:pt idx="2">
                  <c:v>0.43700787401574803</c:v>
                </c:pt>
                <c:pt idx="3">
                  <c:v>9.4488188976377951E-2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EE!$I$25:$I$28</c:f>
              <c:strCache>
                <c:ptCount val="4"/>
                <c:pt idx="0">
                  <c:v>Bezproblémová</c:v>
                </c:pt>
                <c:pt idx="1">
                  <c:v>S menšími problémy</c:v>
                </c:pt>
                <c:pt idx="2">
                  <c:v>Dostupnost je obtížná</c:v>
                </c:pt>
                <c:pt idx="3">
                  <c:v>Dostupnost je špatná</c:v>
                </c:pt>
              </c:strCache>
            </c:strRef>
          </c:cat>
          <c:val>
            <c:numRef>
              <c:f>EE!$K$25:$K$28</c:f>
              <c:numCache>
                <c:formatCode>0.0%</c:formatCode>
                <c:ptCount val="4"/>
                <c:pt idx="0">
                  <c:v>0.48192771084337349</c:v>
                </c:pt>
                <c:pt idx="1">
                  <c:v>0.23293172690763053</c:v>
                </c:pt>
                <c:pt idx="2">
                  <c:v>0.16867469879518071</c:v>
                </c:pt>
                <c:pt idx="3">
                  <c:v>0.11646586345381527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EE!$J$47:$J$50</c:f>
              <c:strCache>
                <c:ptCount val="4"/>
                <c:pt idx="0">
                  <c:v>Dlouhá doba návratnosti projektu</c:v>
                </c:pt>
                <c:pt idx="1">
                  <c:v>Krátká podnikatelská historie</c:v>
                </c:pt>
                <c:pt idx="2">
                  <c:v>Možnosti zajištění</c:v>
                </c:pt>
                <c:pt idx="3">
                  <c:v>Finanční náklady</c:v>
                </c:pt>
              </c:strCache>
            </c:strRef>
          </c:cat>
          <c:val>
            <c:numRef>
              <c:f>EE!$K$47:$K$50</c:f>
              <c:numCache>
                <c:formatCode>0.0%</c:formatCode>
                <c:ptCount val="4"/>
                <c:pt idx="0">
                  <c:v>0.54716981132075471</c:v>
                </c:pt>
                <c:pt idx="1">
                  <c:v>0.54716981132075471</c:v>
                </c:pt>
                <c:pt idx="2">
                  <c:v>0.73584905660377353</c:v>
                </c:pt>
                <c:pt idx="3">
                  <c:v>0.64150943396226412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MSP</a:t>
            </a:r>
            <a:endParaRPr lang="cs-CZ" b="1" baseline="0">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1206.25</c:v>
                </c:pt>
                <c:pt idx="1">
                  <c:v>1206.25</c:v>
                </c:pt>
                <c:pt idx="2">
                  <c:v>1206.25</c:v>
                </c:pt>
                <c:pt idx="3">
                  <c:v>1206.25</c:v>
                </c:pt>
                <c:pt idx="4">
                  <c:v>1206.25</c:v>
                </c:pt>
                <c:pt idx="5">
                  <c:v>742.39864781019605</c:v>
                </c:pt>
                <c:pt idx="6">
                  <c:v>749.24977197934822</c:v>
                </c:pt>
                <c:pt idx="7">
                  <c:v>842.80021380983339</c:v>
                </c:pt>
              </c:numCache>
            </c:numRef>
          </c:val>
        </c:ser>
        <c:dLbls>
          <c:showLegendKey val="0"/>
          <c:showVal val="0"/>
          <c:showCatName val="0"/>
          <c:showSerName val="0"/>
          <c:showPercent val="0"/>
          <c:showBubbleSize val="0"/>
        </c:dLbls>
        <c:gapWidth val="150"/>
        <c:axId val="262646664"/>
        <c:axId val="262647448"/>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1206.25</c:v>
                </c:pt>
                <c:pt idx="1">
                  <c:v>2412.5</c:v>
                </c:pt>
                <c:pt idx="2">
                  <c:v>3618.75</c:v>
                </c:pt>
                <c:pt idx="3">
                  <c:v>4825</c:v>
                </c:pt>
                <c:pt idx="4">
                  <c:v>6031.25</c:v>
                </c:pt>
                <c:pt idx="5">
                  <c:v>6773.6486478101961</c:v>
                </c:pt>
                <c:pt idx="6">
                  <c:v>7522.8984197895443</c:v>
                </c:pt>
                <c:pt idx="7">
                  <c:v>8365.698633599377</c:v>
                </c:pt>
              </c:numCache>
            </c:numRef>
          </c:val>
          <c:smooth val="0"/>
        </c:ser>
        <c:dLbls>
          <c:showLegendKey val="0"/>
          <c:showVal val="0"/>
          <c:showCatName val="0"/>
          <c:showSerName val="0"/>
          <c:showPercent val="0"/>
          <c:showBubbleSize val="0"/>
        </c:dLbls>
        <c:marker val="1"/>
        <c:smooth val="0"/>
        <c:axId val="262646664"/>
        <c:axId val="262647448"/>
      </c:lineChart>
      <c:catAx>
        <c:axId val="26264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2647448"/>
        <c:crosses val="autoZero"/>
        <c:auto val="1"/>
        <c:lblAlgn val="ctr"/>
        <c:lblOffset val="100"/>
        <c:noMultiLvlLbl val="0"/>
      </c:catAx>
      <c:valAx>
        <c:axId val="262647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26466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MSP</a:t>
            </a:r>
            <a:endParaRPr lang="cs-CZ" b="1" baseline="0">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1206.25</c:v>
                </c:pt>
                <c:pt idx="1">
                  <c:v>1206.25</c:v>
                </c:pt>
                <c:pt idx="2">
                  <c:v>1206.25</c:v>
                </c:pt>
                <c:pt idx="3">
                  <c:v>1206.25</c:v>
                </c:pt>
                <c:pt idx="4">
                  <c:v>1147.0317162416036</c:v>
                </c:pt>
                <c:pt idx="5">
                  <c:v>579.58080686864753</c:v>
                </c:pt>
                <c:pt idx="6">
                  <c:v>645.1938977180605</c:v>
                </c:pt>
                <c:pt idx="7">
                  <c:v>718.23490481279032</c:v>
                </c:pt>
              </c:numCache>
            </c:numRef>
          </c:val>
        </c:ser>
        <c:dLbls>
          <c:showLegendKey val="0"/>
          <c:showVal val="0"/>
          <c:showCatName val="0"/>
          <c:showSerName val="0"/>
          <c:showPercent val="0"/>
          <c:showBubbleSize val="0"/>
        </c:dLbls>
        <c:gapWidth val="150"/>
        <c:axId val="291641888"/>
        <c:axId val="29164228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1206.25</c:v>
                </c:pt>
                <c:pt idx="1">
                  <c:v>2412.5</c:v>
                </c:pt>
                <c:pt idx="2">
                  <c:v>3618.75</c:v>
                </c:pt>
                <c:pt idx="3">
                  <c:v>4825</c:v>
                </c:pt>
                <c:pt idx="4">
                  <c:v>5972.0317162416031</c:v>
                </c:pt>
                <c:pt idx="5">
                  <c:v>6551.6125231102505</c:v>
                </c:pt>
                <c:pt idx="6">
                  <c:v>7196.8064208283113</c:v>
                </c:pt>
                <c:pt idx="7">
                  <c:v>7915.0413256411011</c:v>
                </c:pt>
              </c:numCache>
            </c:numRef>
          </c:val>
          <c:smooth val="0"/>
        </c:ser>
        <c:dLbls>
          <c:showLegendKey val="0"/>
          <c:showVal val="0"/>
          <c:showCatName val="0"/>
          <c:showSerName val="0"/>
          <c:showPercent val="0"/>
          <c:showBubbleSize val="0"/>
        </c:dLbls>
        <c:marker val="1"/>
        <c:smooth val="0"/>
        <c:axId val="291641888"/>
        <c:axId val="291642280"/>
      </c:lineChart>
      <c:catAx>
        <c:axId val="2916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1642280"/>
        <c:crosses val="autoZero"/>
        <c:auto val="1"/>
        <c:lblAlgn val="ctr"/>
        <c:lblOffset val="100"/>
        <c:noMultiLvlLbl val="0"/>
      </c:catAx>
      <c:valAx>
        <c:axId val="291642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16418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MSP</a:t>
            </a:r>
            <a:endParaRPr lang="cs-CZ" b="1" baseline="0">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1145.9375</c:v>
                </c:pt>
                <c:pt idx="1">
                  <c:v>1145.9375</c:v>
                </c:pt>
                <c:pt idx="2">
                  <c:v>1145.9375</c:v>
                </c:pt>
                <c:pt idx="3">
                  <c:v>1145.9375</c:v>
                </c:pt>
                <c:pt idx="4">
                  <c:v>1145.9375</c:v>
                </c:pt>
                <c:pt idx="5">
                  <c:v>613.09220753466218</c:v>
                </c:pt>
                <c:pt idx="6">
                  <c:v>632.17523274827067</c:v>
                </c:pt>
                <c:pt idx="7">
                  <c:v>734.50847711129143</c:v>
                </c:pt>
              </c:numCache>
            </c:numRef>
          </c:val>
        </c:ser>
        <c:dLbls>
          <c:showLegendKey val="0"/>
          <c:showVal val="0"/>
          <c:showCatName val="0"/>
          <c:showSerName val="0"/>
          <c:showPercent val="0"/>
          <c:showBubbleSize val="0"/>
        </c:dLbls>
        <c:gapWidth val="150"/>
        <c:axId val="291643064"/>
        <c:axId val="688505728"/>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1145.9375</c:v>
                </c:pt>
                <c:pt idx="1">
                  <c:v>2291.875</c:v>
                </c:pt>
                <c:pt idx="2">
                  <c:v>3437.8125</c:v>
                </c:pt>
                <c:pt idx="3">
                  <c:v>4583.75</c:v>
                </c:pt>
                <c:pt idx="4">
                  <c:v>5729.6875</c:v>
                </c:pt>
                <c:pt idx="5">
                  <c:v>6342.7797075346625</c:v>
                </c:pt>
                <c:pt idx="6">
                  <c:v>6974.9549402829334</c:v>
                </c:pt>
                <c:pt idx="7">
                  <c:v>7709.463417394225</c:v>
                </c:pt>
              </c:numCache>
            </c:numRef>
          </c:val>
          <c:smooth val="0"/>
        </c:ser>
        <c:dLbls>
          <c:showLegendKey val="0"/>
          <c:showVal val="0"/>
          <c:showCatName val="0"/>
          <c:showSerName val="0"/>
          <c:showPercent val="0"/>
          <c:showBubbleSize val="0"/>
        </c:dLbls>
        <c:marker val="1"/>
        <c:smooth val="0"/>
        <c:axId val="291643064"/>
        <c:axId val="688505728"/>
      </c:lineChart>
      <c:catAx>
        <c:axId val="29164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8505728"/>
        <c:crosses val="autoZero"/>
        <c:auto val="1"/>
        <c:lblAlgn val="ctr"/>
        <c:lblOffset val="100"/>
        <c:noMultiLvlLbl val="0"/>
      </c:catAx>
      <c:valAx>
        <c:axId val="68850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16430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Brownfields</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137.5</c:v>
                </c:pt>
                <c:pt idx="5">
                  <c:v>84.625752600125963</c:v>
                </c:pt>
                <c:pt idx="6">
                  <c:v>85.406709759303936</c:v>
                </c:pt>
                <c:pt idx="7">
                  <c:v>96.070490693348887</c:v>
                </c:pt>
              </c:numCache>
            </c:numRef>
          </c:val>
        </c:ser>
        <c:dLbls>
          <c:showLegendKey val="0"/>
          <c:showVal val="0"/>
          <c:showCatName val="0"/>
          <c:showSerName val="0"/>
          <c:showPercent val="0"/>
          <c:showBubbleSize val="0"/>
        </c:dLbls>
        <c:gapWidth val="150"/>
        <c:axId val="688506512"/>
        <c:axId val="688506904"/>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687.5</c:v>
                </c:pt>
                <c:pt idx="5">
                  <c:v>772.12575260012591</c:v>
                </c:pt>
                <c:pt idx="6">
                  <c:v>857.53246235942981</c:v>
                </c:pt>
                <c:pt idx="7">
                  <c:v>953.60295305277873</c:v>
                </c:pt>
              </c:numCache>
            </c:numRef>
          </c:val>
          <c:smooth val="0"/>
        </c:ser>
        <c:dLbls>
          <c:showLegendKey val="0"/>
          <c:showVal val="0"/>
          <c:showCatName val="0"/>
          <c:showSerName val="0"/>
          <c:showPercent val="0"/>
          <c:showBubbleSize val="0"/>
        </c:dLbls>
        <c:marker val="1"/>
        <c:smooth val="0"/>
        <c:axId val="688506512"/>
        <c:axId val="688506904"/>
      </c:lineChart>
      <c:catAx>
        <c:axId val="68850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8506904"/>
        <c:crosses val="autoZero"/>
        <c:auto val="1"/>
        <c:lblAlgn val="ctr"/>
        <c:lblOffset val="100"/>
        <c:noMultiLvlLbl val="0"/>
      </c:catAx>
      <c:valAx>
        <c:axId val="688506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8506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'Investice do výroby'!$A$43:$A$46</c:f>
              <c:strCache>
                <c:ptCount val="4"/>
                <c:pt idx="0">
                  <c:v>Návratnost v horizontu 1-3 roky</c:v>
                </c:pt>
                <c:pt idx="1">
                  <c:v>Návratnost v horizontu 3-5 let</c:v>
                </c:pt>
                <c:pt idx="2">
                  <c:v>Návratnost v horizontu 5-10 let</c:v>
                </c:pt>
                <c:pt idx="3">
                  <c:v>Návratnost v horizontu 10 let a více</c:v>
                </c:pt>
              </c:strCache>
            </c:strRef>
          </c:cat>
          <c:val>
            <c:numRef>
              <c:f>'Investice do výroby'!$C$43:$C$46</c:f>
              <c:numCache>
                <c:formatCode>0.0%</c:formatCode>
                <c:ptCount val="4"/>
                <c:pt idx="0">
                  <c:v>0.15582191780821919</c:v>
                </c:pt>
                <c:pt idx="1">
                  <c:v>0.5702054794520548</c:v>
                </c:pt>
                <c:pt idx="2">
                  <c:v>0.26027397260273971</c:v>
                </c:pt>
                <c:pt idx="3">
                  <c:v>1.3698630136986301E-2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Brownfields</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130.7497293125144</c:v>
                </c:pt>
                <c:pt idx="5">
                  <c:v>66.066205964301787</c:v>
                </c:pt>
                <c:pt idx="6">
                  <c:v>73.545418392732316</c:v>
                </c:pt>
                <c:pt idx="7">
                  <c:v>81.871336299903575</c:v>
                </c:pt>
              </c:numCache>
            </c:numRef>
          </c:val>
        </c:ser>
        <c:dLbls>
          <c:showLegendKey val="0"/>
          <c:showVal val="0"/>
          <c:showCatName val="0"/>
          <c:showSerName val="0"/>
          <c:showPercent val="0"/>
          <c:showBubbleSize val="0"/>
        </c:dLbls>
        <c:gapWidth val="150"/>
        <c:axId val="380586912"/>
        <c:axId val="380587304"/>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680.74972931251443</c:v>
                </c:pt>
                <c:pt idx="5">
                  <c:v>746.81593527681616</c:v>
                </c:pt>
                <c:pt idx="6">
                  <c:v>820.36135366954852</c:v>
                </c:pt>
                <c:pt idx="7">
                  <c:v>902.23268996945205</c:v>
                </c:pt>
              </c:numCache>
            </c:numRef>
          </c:val>
          <c:smooth val="0"/>
        </c:ser>
        <c:dLbls>
          <c:showLegendKey val="0"/>
          <c:showVal val="0"/>
          <c:showCatName val="0"/>
          <c:showSerName val="0"/>
          <c:showPercent val="0"/>
          <c:showBubbleSize val="0"/>
        </c:dLbls>
        <c:marker val="1"/>
        <c:smooth val="0"/>
        <c:axId val="380586912"/>
        <c:axId val="380587304"/>
      </c:lineChart>
      <c:catAx>
        <c:axId val="3805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0587304"/>
        <c:crosses val="autoZero"/>
        <c:auto val="1"/>
        <c:lblAlgn val="ctr"/>
        <c:lblOffset val="100"/>
        <c:noMultiLvlLbl val="0"/>
      </c:catAx>
      <c:valAx>
        <c:axId val="380587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0586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Brownfields</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130.625</c:v>
                </c:pt>
                <c:pt idx="1">
                  <c:v>130.625</c:v>
                </c:pt>
                <c:pt idx="2">
                  <c:v>130.625</c:v>
                </c:pt>
                <c:pt idx="3">
                  <c:v>130.625</c:v>
                </c:pt>
                <c:pt idx="4">
                  <c:v>130.625</c:v>
                </c:pt>
                <c:pt idx="5">
                  <c:v>69.88615837182671</c:v>
                </c:pt>
                <c:pt idx="6">
                  <c:v>72.061425494621588</c:v>
                </c:pt>
                <c:pt idx="7">
                  <c:v>83.726354903877734</c:v>
                </c:pt>
              </c:numCache>
            </c:numRef>
          </c:val>
        </c:ser>
        <c:dLbls>
          <c:showLegendKey val="0"/>
          <c:showVal val="0"/>
          <c:showCatName val="0"/>
          <c:showSerName val="0"/>
          <c:showPercent val="0"/>
          <c:showBubbleSize val="0"/>
        </c:dLbls>
        <c:gapWidth val="150"/>
        <c:axId val="380588088"/>
        <c:axId val="38058848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130.625</c:v>
                </c:pt>
                <c:pt idx="1">
                  <c:v>261.25</c:v>
                </c:pt>
                <c:pt idx="2">
                  <c:v>391.875</c:v>
                </c:pt>
                <c:pt idx="3">
                  <c:v>522.5</c:v>
                </c:pt>
                <c:pt idx="4">
                  <c:v>653.125</c:v>
                </c:pt>
                <c:pt idx="5">
                  <c:v>723.0111583718267</c:v>
                </c:pt>
                <c:pt idx="6">
                  <c:v>795.07258386644833</c:v>
                </c:pt>
                <c:pt idx="7">
                  <c:v>878.798938770326</c:v>
                </c:pt>
              </c:numCache>
            </c:numRef>
          </c:val>
          <c:smooth val="0"/>
        </c:ser>
        <c:dLbls>
          <c:showLegendKey val="0"/>
          <c:showVal val="0"/>
          <c:showCatName val="0"/>
          <c:showSerName val="0"/>
          <c:showPercent val="0"/>
          <c:showBubbleSize val="0"/>
        </c:dLbls>
        <c:marker val="1"/>
        <c:smooth val="0"/>
        <c:axId val="380588088"/>
        <c:axId val="380588480"/>
      </c:lineChart>
      <c:catAx>
        <c:axId val="38058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0588480"/>
        <c:crosses val="autoZero"/>
        <c:auto val="1"/>
        <c:lblAlgn val="ctr"/>
        <c:lblOffset val="100"/>
        <c:noMultiLvlLbl val="0"/>
      </c:catAx>
      <c:valAx>
        <c:axId val="38058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0588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OZE</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100</c:v>
                </c:pt>
                <c:pt idx="1">
                  <c:v>100</c:v>
                </c:pt>
                <c:pt idx="2">
                  <c:v>100</c:v>
                </c:pt>
                <c:pt idx="3">
                  <c:v>100</c:v>
                </c:pt>
                <c:pt idx="4">
                  <c:v>100</c:v>
                </c:pt>
                <c:pt idx="5">
                  <c:v>61.546001891000643</c:v>
                </c:pt>
                <c:pt idx="6">
                  <c:v>62.113970734039206</c:v>
                </c:pt>
                <c:pt idx="7">
                  <c:v>69.869447776980991</c:v>
                </c:pt>
              </c:numCache>
            </c:numRef>
          </c:val>
        </c:ser>
        <c:dLbls>
          <c:showLegendKey val="0"/>
          <c:showVal val="0"/>
          <c:showCatName val="0"/>
          <c:showSerName val="0"/>
          <c:showPercent val="0"/>
          <c:showBubbleSize val="0"/>
        </c:dLbls>
        <c:gapWidth val="150"/>
        <c:axId val="373298776"/>
        <c:axId val="373299168"/>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100</c:v>
                </c:pt>
                <c:pt idx="1">
                  <c:v>200</c:v>
                </c:pt>
                <c:pt idx="2">
                  <c:v>300</c:v>
                </c:pt>
                <c:pt idx="3">
                  <c:v>400</c:v>
                </c:pt>
                <c:pt idx="4">
                  <c:v>500</c:v>
                </c:pt>
                <c:pt idx="5">
                  <c:v>561.54600189100063</c:v>
                </c:pt>
                <c:pt idx="6">
                  <c:v>623.65997262503981</c:v>
                </c:pt>
                <c:pt idx="7">
                  <c:v>693.52942040202083</c:v>
                </c:pt>
              </c:numCache>
            </c:numRef>
          </c:val>
          <c:smooth val="0"/>
        </c:ser>
        <c:dLbls>
          <c:showLegendKey val="0"/>
          <c:showVal val="0"/>
          <c:showCatName val="0"/>
          <c:showSerName val="0"/>
          <c:showPercent val="0"/>
          <c:showBubbleSize val="0"/>
        </c:dLbls>
        <c:marker val="1"/>
        <c:smooth val="0"/>
        <c:axId val="373298776"/>
        <c:axId val="373299168"/>
      </c:lineChart>
      <c:catAx>
        <c:axId val="37329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299168"/>
        <c:crosses val="autoZero"/>
        <c:auto val="1"/>
        <c:lblAlgn val="ctr"/>
        <c:lblOffset val="100"/>
        <c:noMultiLvlLbl val="0"/>
      </c:catAx>
      <c:valAx>
        <c:axId val="37329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298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OZE</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100</c:v>
                </c:pt>
                <c:pt idx="1">
                  <c:v>100</c:v>
                </c:pt>
                <c:pt idx="2">
                  <c:v>100</c:v>
                </c:pt>
                <c:pt idx="3">
                  <c:v>100</c:v>
                </c:pt>
                <c:pt idx="4">
                  <c:v>95.090712227283149</c:v>
                </c:pt>
                <c:pt idx="5">
                  <c:v>48.048149792219476</c:v>
                </c:pt>
                <c:pt idx="6">
                  <c:v>53.48757701289621</c:v>
                </c:pt>
                <c:pt idx="7">
                  <c:v>59.542790036293496</c:v>
                </c:pt>
              </c:numCache>
            </c:numRef>
          </c:val>
        </c:ser>
        <c:dLbls>
          <c:showLegendKey val="0"/>
          <c:showVal val="0"/>
          <c:showCatName val="0"/>
          <c:showSerName val="0"/>
          <c:showPercent val="0"/>
          <c:showBubbleSize val="0"/>
        </c:dLbls>
        <c:gapWidth val="150"/>
        <c:axId val="373299560"/>
        <c:axId val="373299952"/>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100</c:v>
                </c:pt>
                <c:pt idx="1">
                  <c:v>200</c:v>
                </c:pt>
                <c:pt idx="2">
                  <c:v>300</c:v>
                </c:pt>
                <c:pt idx="3">
                  <c:v>400</c:v>
                </c:pt>
                <c:pt idx="4">
                  <c:v>495.09071222728312</c:v>
                </c:pt>
                <c:pt idx="5">
                  <c:v>543.13886201950254</c:v>
                </c:pt>
                <c:pt idx="6">
                  <c:v>596.62643903239871</c:v>
                </c:pt>
                <c:pt idx="7">
                  <c:v>656.16922906869218</c:v>
                </c:pt>
              </c:numCache>
            </c:numRef>
          </c:val>
          <c:smooth val="0"/>
        </c:ser>
        <c:dLbls>
          <c:showLegendKey val="0"/>
          <c:showVal val="0"/>
          <c:showCatName val="0"/>
          <c:showSerName val="0"/>
          <c:showPercent val="0"/>
          <c:showBubbleSize val="0"/>
        </c:dLbls>
        <c:marker val="1"/>
        <c:smooth val="0"/>
        <c:axId val="373299560"/>
        <c:axId val="373299952"/>
      </c:lineChart>
      <c:catAx>
        <c:axId val="37329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299952"/>
        <c:crosses val="autoZero"/>
        <c:auto val="1"/>
        <c:lblAlgn val="ctr"/>
        <c:lblOffset val="100"/>
        <c:noMultiLvlLbl val="0"/>
      </c:catAx>
      <c:valAx>
        <c:axId val="37329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299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OZE</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95</c:v>
                </c:pt>
                <c:pt idx="1">
                  <c:v>95</c:v>
                </c:pt>
                <c:pt idx="2">
                  <c:v>95</c:v>
                </c:pt>
                <c:pt idx="3">
                  <c:v>95</c:v>
                </c:pt>
                <c:pt idx="4">
                  <c:v>95</c:v>
                </c:pt>
                <c:pt idx="5">
                  <c:v>50.826296997692154</c:v>
                </c:pt>
                <c:pt idx="6">
                  <c:v>52.40830945063383</c:v>
                </c:pt>
                <c:pt idx="7">
                  <c:v>60.891894475547524</c:v>
                </c:pt>
              </c:numCache>
            </c:numRef>
          </c:val>
        </c:ser>
        <c:dLbls>
          <c:showLegendKey val="0"/>
          <c:showVal val="0"/>
          <c:showCatName val="0"/>
          <c:showSerName val="0"/>
          <c:showPercent val="0"/>
          <c:showBubbleSize val="0"/>
        </c:dLbls>
        <c:gapWidth val="150"/>
        <c:axId val="387521496"/>
        <c:axId val="387521888"/>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95</c:v>
                </c:pt>
                <c:pt idx="1">
                  <c:v>190</c:v>
                </c:pt>
                <c:pt idx="2">
                  <c:v>285</c:v>
                </c:pt>
                <c:pt idx="3">
                  <c:v>380</c:v>
                </c:pt>
                <c:pt idx="4">
                  <c:v>475</c:v>
                </c:pt>
                <c:pt idx="5">
                  <c:v>525.82629699769211</c:v>
                </c:pt>
                <c:pt idx="6">
                  <c:v>578.23460644832596</c:v>
                </c:pt>
                <c:pt idx="7">
                  <c:v>639.12650092387344</c:v>
                </c:pt>
              </c:numCache>
            </c:numRef>
          </c:val>
          <c:smooth val="0"/>
        </c:ser>
        <c:dLbls>
          <c:showLegendKey val="0"/>
          <c:showVal val="0"/>
          <c:showCatName val="0"/>
          <c:showSerName val="0"/>
          <c:showPercent val="0"/>
          <c:showBubbleSize val="0"/>
        </c:dLbls>
        <c:marker val="1"/>
        <c:smooth val="0"/>
        <c:axId val="387521496"/>
        <c:axId val="387521888"/>
      </c:lineChart>
      <c:catAx>
        <c:axId val="38752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521888"/>
        <c:crosses val="autoZero"/>
        <c:auto val="1"/>
        <c:lblAlgn val="ctr"/>
        <c:lblOffset val="100"/>
        <c:noMultiLvlLbl val="0"/>
      </c:catAx>
      <c:valAx>
        <c:axId val="3875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52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Úspory energie</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137.5</c:v>
                </c:pt>
                <c:pt idx="5">
                  <c:v>84.625752600125963</c:v>
                </c:pt>
                <c:pt idx="6">
                  <c:v>85.406709759303936</c:v>
                </c:pt>
                <c:pt idx="7">
                  <c:v>96.070490693348887</c:v>
                </c:pt>
              </c:numCache>
            </c:numRef>
          </c:val>
        </c:ser>
        <c:dLbls>
          <c:showLegendKey val="0"/>
          <c:showVal val="0"/>
          <c:showCatName val="0"/>
          <c:showSerName val="0"/>
          <c:showPercent val="0"/>
          <c:showBubbleSize val="0"/>
        </c:dLbls>
        <c:gapWidth val="150"/>
        <c:axId val="387522672"/>
        <c:axId val="40024416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687.5</c:v>
                </c:pt>
                <c:pt idx="5">
                  <c:v>772.12575260012591</c:v>
                </c:pt>
                <c:pt idx="6">
                  <c:v>857.53246235942981</c:v>
                </c:pt>
                <c:pt idx="7">
                  <c:v>953.60295305277873</c:v>
                </c:pt>
              </c:numCache>
            </c:numRef>
          </c:val>
          <c:smooth val="0"/>
        </c:ser>
        <c:dLbls>
          <c:showLegendKey val="0"/>
          <c:showVal val="0"/>
          <c:showCatName val="0"/>
          <c:showSerName val="0"/>
          <c:showPercent val="0"/>
          <c:showBubbleSize val="0"/>
        </c:dLbls>
        <c:marker val="1"/>
        <c:smooth val="0"/>
        <c:axId val="387522672"/>
        <c:axId val="400244160"/>
      </c:lineChart>
      <c:catAx>
        <c:axId val="38752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0244160"/>
        <c:crosses val="autoZero"/>
        <c:auto val="1"/>
        <c:lblAlgn val="ctr"/>
        <c:lblOffset val="100"/>
        <c:noMultiLvlLbl val="0"/>
      </c:catAx>
      <c:valAx>
        <c:axId val="40024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522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Úspory energie</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130.7497293125144</c:v>
                </c:pt>
                <c:pt idx="5">
                  <c:v>66.066205964301787</c:v>
                </c:pt>
                <c:pt idx="6">
                  <c:v>73.545418392732316</c:v>
                </c:pt>
                <c:pt idx="7">
                  <c:v>81.871336299903575</c:v>
                </c:pt>
              </c:numCache>
            </c:numRef>
          </c:val>
        </c:ser>
        <c:dLbls>
          <c:showLegendKey val="0"/>
          <c:showVal val="0"/>
          <c:showCatName val="0"/>
          <c:showSerName val="0"/>
          <c:showPercent val="0"/>
          <c:showBubbleSize val="0"/>
        </c:dLbls>
        <c:gapWidth val="150"/>
        <c:axId val="296164264"/>
        <c:axId val="296164656"/>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680.74972931251443</c:v>
                </c:pt>
                <c:pt idx="5">
                  <c:v>746.81593527681616</c:v>
                </c:pt>
                <c:pt idx="6">
                  <c:v>820.36135366954852</c:v>
                </c:pt>
                <c:pt idx="7">
                  <c:v>902.23268996945205</c:v>
                </c:pt>
              </c:numCache>
            </c:numRef>
          </c:val>
          <c:smooth val="0"/>
        </c:ser>
        <c:dLbls>
          <c:showLegendKey val="0"/>
          <c:showVal val="0"/>
          <c:showCatName val="0"/>
          <c:showSerName val="0"/>
          <c:showPercent val="0"/>
          <c:showBubbleSize val="0"/>
        </c:dLbls>
        <c:marker val="1"/>
        <c:smooth val="0"/>
        <c:axId val="296164264"/>
        <c:axId val="296164656"/>
      </c:lineChart>
      <c:catAx>
        <c:axId val="29616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164656"/>
        <c:crosses val="autoZero"/>
        <c:auto val="1"/>
        <c:lblAlgn val="ctr"/>
        <c:lblOffset val="100"/>
        <c:noMultiLvlLbl val="0"/>
      </c:catAx>
      <c:valAx>
        <c:axId val="29616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16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Úspory energie</a:t>
            </a:r>
          </a:p>
        </c:rich>
      </c:tx>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130.625</c:v>
                </c:pt>
                <c:pt idx="1">
                  <c:v>130.625</c:v>
                </c:pt>
                <c:pt idx="2">
                  <c:v>130.625</c:v>
                </c:pt>
                <c:pt idx="3">
                  <c:v>130.625</c:v>
                </c:pt>
                <c:pt idx="4">
                  <c:v>130.625</c:v>
                </c:pt>
                <c:pt idx="5">
                  <c:v>69.88615837182671</c:v>
                </c:pt>
                <c:pt idx="6">
                  <c:v>72.061425494621588</c:v>
                </c:pt>
                <c:pt idx="7">
                  <c:v>83.726354903877734</c:v>
                </c:pt>
              </c:numCache>
            </c:numRef>
          </c:val>
        </c:ser>
        <c:dLbls>
          <c:showLegendKey val="0"/>
          <c:showVal val="0"/>
          <c:showCatName val="0"/>
          <c:showSerName val="0"/>
          <c:showPercent val="0"/>
          <c:showBubbleSize val="0"/>
        </c:dLbls>
        <c:gapWidth val="150"/>
        <c:axId val="395349912"/>
        <c:axId val="305923312"/>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130.625</c:v>
                </c:pt>
                <c:pt idx="1">
                  <c:v>261.25</c:v>
                </c:pt>
                <c:pt idx="2">
                  <c:v>391.875</c:v>
                </c:pt>
                <c:pt idx="3">
                  <c:v>522.5</c:v>
                </c:pt>
                <c:pt idx="4">
                  <c:v>653.125</c:v>
                </c:pt>
                <c:pt idx="5">
                  <c:v>723.0111583718267</c:v>
                </c:pt>
                <c:pt idx="6">
                  <c:v>795.07258386644833</c:v>
                </c:pt>
                <c:pt idx="7">
                  <c:v>878.798938770326</c:v>
                </c:pt>
              </c:numCache>
            </c:numRef>
          </c:val>
          <c:smooth val="0"/>
        </c:ser>
        <c:dLbls>
          <c:showLegendKey val="0"/>
          <c:showVal val="0"/>
          <c:showCatName val="0"/>
          <c:showSerName val="0"/>
          <c:showPercent val="0"/>
          <c:showBubbleSize val="0"/>
        </c:dLbls>
        <c:marker val="1"/>
        <c:smooth val="0"/>
        <c:axId val="395349912"/>
        <c:axId val="305923312"/>
      </c:lineChart>
      <c:catAx>
        <c:axId val="39534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5923312"/>
        <c:crosses val="autoZero"/>
        <c:auto val="1"/>
        <c:lblAlgn val="ctr"/>
        <c:lblOffset val="100"/>
        <c:noMultiLvlLbl val="0"/>
      </c:catAx>
      <c:valAx>
        <c:axId val="30592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5349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KVET</a:t>
            </a:r>
          </a:p>
        </c:rich>
      </c:tx>
      <c:layout/>
      <c:overlay val="0"/>
      <c:spPr>
        <a:noFill/>
        <a:ln>
          <a:noFill/>
        </a:ln>
        <a:effectLst/>
      </c:spPr>
    </c:title>
    <c:autoTitleDeleted val="0"/>
    <c:plotArea>
      <c:layout/>
      <c:barChart>
        <c:barDir val="col"/>
        <c:grouping val="clustered"/>
        <c:varyColors val="0"/>
        <c:ser>
          <c:idx val="0"/>
          <c:order val="0"/>
          <c:tx>
            <c:strRef>
              <c:f>'[Kopie - MPO ultimate_final aaaaa.xlsx]Úvěry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'[Kopie - MPO ultimate_final aaaaa.xlsx]Úvěry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'[Kopie - MPO ultimate_final aaaaa.xlsx]Úvěry Energie RIZIKO'!$F$92:$M$92</c:f>
              <c:numCache>
                <c:formatCode>#,##0</c:formatCode>
                <c:ptCount val="8"/>
                <c:pt idx="0">
                  <c:v>75</c:v>
                </c:pt>
                <c:pt idx="1">
                  <c:v>75</c:v>
                </c:pt>
                <c:pt idx="2">
                  <c:v>75</c:v>
                </c:pt>
                <c:pt idx="3">
                  <c:v>75</c:v>
                </c:pt>
                <c:pt idx="4">
                  <c:v>75</c:v>
                </c:pt>
                <c:pt idx="5">
                  <c:v>46.159501418250514</c:v>
                </c:pt>
                <c:pt idx="6">
                  <c:v>46.585478050529417</c:v>
                </c:pt>
                <c:pt idx="7">
                  <c:v>52.40208583273575</c:v>
                </c:pt>
              </c:numCache>
            </c:numRef>
          </c:val>
        </c:ser>
        <c:dLbls>
          <c:showLegendKey val="0"/>
          <c:showVal val="0"/>
          <c:showCatName val="0"/>
          <c:showSerName val="0"/>
          <c:showPercent val="0"/>
          <c:showBubbleSize val="0"/>
        </c:dLbls>
        <c:gapWidth val="150"/>
        <c:axId val="305924096"/>
        <c:axId val="305924488"/>
      </c:barChart>
      <c:lineChart>
        <c:grouping val="standard"/>
        <c:varyColors val="0"/>
        <c:ser>
          <c:idx val="1"/>
          <c:order val="1"/>
          <c:tx>
            <c:strRef>
              <c:f>'[Kopie - MPO ultimate_final aaaaa.xlsx]Úvěry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'[Kopie - MPO ultimate_final aaaaa.xlsx]Úvěry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'[Kopie - MPO ultimate_final aaaaa.xlsx]Úvěry Energie RIZIKO'!$F$93:$M$93</c:f>
              <c:numCache>
                <c:formatCode>#,##0</c:formatCode>
                <c:ptCount val="8"/>
                <c:pt idx="0">
                  <c:v>75</c:v>
                </c:pt>
                <c:pt idx="1">
                  <c:v>150</c:v>
                </c:pt>
                <c:pt idx="2">
                  <c:v>225</c:v>
                </c:pt>
                <c:pt idx="3">
                  <c:v>300</c:v>
                </c:pt>
                <c:pt idx="4">
                  <c:v>375</c:v>
                </c:pt>
                <c:pt idx="5">
                  <c:v>421.1595014182505</c:v>
                </c:pt>
                <c:pt idx="6">
                  <c:v>467.74497946877989</c:v>
                </c:pt>
                <c:pt idx="7">
                  <c:v>520.14706530151568</c:v>
                </c:pt>
              </c:numCache>
            </c:numRef>
          </c:val>
          <c:smooth val="0"/>
        </c:ser>
        <c:dLbls>
          <c:showLegendKey val="0"/>
          <c:showVal val="0"/>
          <c:showCatName val="0"/>
          <c:showSerName val="0"/>
          <c:showPercent val="0"/>
          <c:showBubbleSize val="0"/>
        </c:dLbls>
        <c:marker val="1"/>
        <c:smooth val="0"/>
        <c:axId val="305924096"/>
        <c:axId val="305924488"/>
      </c:lineChart>
      <c:catAx>
        <c:axId val="30592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5924488"/>
        <c:crosses val="autoZero"/>
        <c:auto val="1"/>
        <c:lblAlgn val="ctr"/>
        <c:lblOffset val="100"/>
        <c:noMultiLvlLbl val="0"/>
      </c:catAx>
      <c:valAx>
        <c:axId val="305924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59240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KVET</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75</c:v>
                </c:pt>
                <c:pt idx="1">
                  <c:v>75</c:v>
                </c:pt>
                <c:pt idx="2">
                  <c:v>75</c:v>
                </c:pt>
                <c:pt idx="3">
                  <c:v>75</c:v>
                </c:pt>
                <c:pt idx="4">
                  <c:v>71.318034170462397</c:v>
                </c:pt>
                <c:pt idx="5">
                  <c:v>36.036112344164614</c:v>
                </c:pt>
                <c:pt idx="6">
                  <c:v>40.115682759672168</c:v>
                </c:pt>
                <c:pt idx="7">
                  <c:v>44.657092527220129</c:v>
                </c:pt>
              </c:numCache>
            </c:numRef>
          </c:val>
        </c:ser>
        <c:dLbls>
          <c:showLegendKey val="0"/>
          <c:showVal val="0"/>
          <c:showCatName val="0"/>
          <c:showSerName val="0"/>
          <c:showPercent val="0"/>
          <c:showBubbleSize val="0"/>
        </c:dLbls>
        <c:gapWidth val="150"/>
        <c:axId val="292714688"/>
        <c:axId val="29271508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75</c:v>
                </c:pt>
                <c:pt idx="1">
                  <c:v>150</c:v>
                </c:pt>
                <c:pt idx="2">
                  <c:v>225</c:v>
                </c:pt>
                <c:pt idx="3">
                  <c:v>300</c:v>
                </c:pt>
                <c:pt idx="4">
                  <c:v>371.3180341704624</c:v>
                </c:pt>
                <c:pt idx="5">
                  <c:v>407.35414651462702</c:v>
                </c:pt>
                <c:pt idx="6">
                  <c:v>447.46982927429917</c:v>
                </c:pt>
                <c:pt idx="7">
                  <c:v>492.1269218015193</c:v>
                </c:pt>
              </c:numCache>
            </c:numRef>
          </c:val>
          <c:smooth val="0"/>
        </c:ser>
        <c:dLbls>
          <c:showLegendKey val="0"/>
          <c:showVal val="0"/>
          <c:showCatName val="0"/>
          <c:showSerName val="0"/>
          <c:showPercent val="0"/>
          <c:showBubbleSize val="0"/>
        </c:dLbls>
        <c:marker val="1"/>
        <c:smooth val="0"/>
        <c:axId val="292714688"/>
        <c:axId val="292715080"/>
      </c:lineChart>
      <c:catAx>
        <c:axId val="2927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715080"/>
        <c:crosses val="autoZero"/>
        <c:auto val="1"/>
        <c:lblAlgn val="ctr"/>
        <c:lblOffset val="100"/>
        <c:noMultiLvlLbl val="0"/>
      </c:catAx>
      <c:valAx>
        <c:axId val="292715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7146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'Investice do výroby'!$I$24:$I$27</c:f>
              <c:strCache>
                <c:ptCount val="4"/>
                <c:pt idx="0">
                  <c:v>Bezproblémová</c:v>
                </c:pt>
                <c:pt idx="1">
                  <c:v>S menšími problémy</c:v>
                </c:pt>
                <c:pt idx="2">
                  <c:v>Dostupnost je obtížná</c:v>
                </c:pt>
                <c:pt idx="3">
                  <c:v>Dostupnost je špatná</c:v>
                </c:pt>
              </c:strCache>
            </c:strRef>
          </c:cat>
          <c:val>
            <c:numRef>
              <c:f>'Investice do výroby'!$K$24:$K$27</c:f>
              <c:numCache>
                <c:formatCode>0.0%</c:formatCode>
                <c:ptCount val="4"/>
                <c:pt idx="0">
                  <c:v>0.45601436265709155</c:v>
                </c:pt>
                <c:pt idx="1">
                  <c:v>0.23877917414721722</c:v>
                </c:pt>
                <c:pt idx="2">
                  <c:v>0.16517055655296231</c:v>
                </c:pt>
                <c:pt idx="3">
                  <c:v>0.14003590664272891</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KVET</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71.25</c:v>
                </c:pt>
                <c:pt idx="1">
                  <c:v>71.25</c:v>
                </c:pt>
                <c:pt idx="2">
                  <c:v>71.25</c:v>
                </c:pt>
                <c:pt idx="3">
                  <c:v>71.25</c:v>
                </c:pt>
                <c:pt idx="4">
                  <c:v>71.25</c:v>
                </c:pt>
                <c:pt idx="5">
                  <c:v>38.119722748269083</c:v>
                </c:pt>
                <c:pt idx="6">
                  <c:v>39.30623208797541</c:v>
                </c:pt>
                <c:pt idx="7">
                  <c:v>45.66892085666062</c:v>
                </c:pt>
              </c:numCache>
            </c:numRef>
          </c:val>
        </c:ser>
        <c:dLbls>
          <c:showLegendKey val="0"/>
          <c:showVal val="0"/>
          <c:showCatName val="0"/>
          <c:showSerName val="0"/>
          <c:showPercent val="0"/>
          <c:showBubbleSize val="0"/>
        </c:dLbls>
        <c:gapWidth val="150"/>
        <c:axId val="292715864"/>
        <c:axId val="292716256"/>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71.25</c:v>
                </c:pt>
                <c:pt idx="1">
                  <c:v>142.5</c:v>
                </c:pt>
                <c:pt idx="2">
                  <c:v>213.75</c:v>
                </c:pt>
                <c:pt idx="3">
                  <c:v>285</c:v>
                </c:pt>
                <c:pt idx="4">
                  <c:v>356.25</c:v>
                </c:pt>
                <c:pt idx="5">
                  <c:v>394.36972274826906</c:v>
                </c:pt>
                <c:pt idx="6">
                  <c:v>433.67595483624444</c:v>
                </c:pt>
                <c:pt idx="7">
                  <c:v>479.34487569290508</c:v>
                </c:pt>
              </c:numCache>
            </c:numRef>
          </c:val>
          <c:smooth val="0"/>
        </c:ser>
        <c:dLbls>
          <c:showLegendKey val="0"/>
          <c:showVal val="0"/>
          <c:showCatName val="0"/>
          <c:showSerName val="0"/>
          <c:showPercent val="0"/>
          <c:showBubbleSize val="0"/>
        </c:dLbls>
        <c:marker val="1"/>
        <c:smooth val="0"/>
        <c:axId val="292715864"/>
        <c:axId val="292716256"/>
      </c:lineChart>
      <c:catAx>
        <c:axId val="29271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716256"/>
        <c:crosses val="autoZero"/>
        <c:auto val="1"/>
        <c:lblAlgn val="ctr"/>
        <c:lblOffset val="100"/>
        <c:noMultiLvlLbl val="0"/>
      </c:catAx>
      <c:valAx>
        <c:axId val="29271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7158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'Investice do výroby'!$I$33:$I$36</c:f>
              <c:strCache>
                <c:ptCount val="4"/>
                <c:pt idx="0">
                  <c:v>Dlouhá doba návratnosti projektu</c:v>
                </c:pt>
                <c:pt idx="1">
                  <c:v>Krátká podnikatelská historie</c:v>
                </c:pt>
                <c:pt idx="2">
                  <c:v>Možnosti zajištění</c:v>
                </c:pt>
                <c:pt idx="3">
                  <c:v>Finanční náklady</c:v>
                </c:pt>
              </c:strCache>
            </c:strRef>
          </c:cat>
          <c:val>
            <c:numRef>
              <c:f>'Investice do výroby'!$K$33:$K$36</c:f>
              <c:numCache>
                <c:formatCode>0.0%</c:formatCode>
                <c:ptCount val="4"/>
                <c:pt idx="0">
                  <c:v>0.29411764705882354</c:v>
                </c:pt>
                <c:pt idx="1">
                  <c:v>0.29411764705882354</c:v>
                </c:pt>
                <c:pt idx="2">
                  <c:v>0.5117647058823529</c:v>
                </c:pt>
                <c:pt idx="3">
                  <c:v>0.34705882352941175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98705916277052E-2"/>
          <c:y val="0.2542446982859537"/>
          <c:w val="0.66680180180180171"/>
          <c:h val="0.6500728254038667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0.19582757549812738"/>
                  <c:y val="-5.5734476228446128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4.2906949185840641E-3"/>
                  <c:y val="-0.1126760563380281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6.4360423778760962E-3"/>
                  <c:y val="0.21596244131455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3944758485398207"/>
                  <c:y val="5.4638543485231769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3.2180211889380479E-2"/>
                  <c:y val="-2.71493212669683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1008313305867255"/>
                  <c:y val="-9.0497737556561094E-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'Fáze podnikání'!$G$10:$G$16</c:f>
              <c:strCache>
                <c:ptCount val="7"/>
                <c:pt idx="0">
                  <c:v>Fáze Maturity</c:v>
                </c:pt>
                <c:pt idx="1">
                  <c:v>Fáze Růstová „Expansion“</c:v>
                </c:pt>
                <c:pt idx="2">
                  <c:v>Fáze Startovní brzká „Start-up“</c:v>
                </c:pt>
                <c:pt idx="3">
                  <c:v>Fáze Startovní pozdní „Post-creation“</c:v>
                </c:pt>
                <c:pt idx="4">
                  <c:v>Fáze Zárodečná „Seed"</c:v>
                </c:pt>
                <c:pt idx="5">
                  <c:v>Fáze Změny „Buyout/transmission“</c:v>
                </c:pt>
                <c:pt idx="6">
                  <c:v>Fáze Znovu-nastartování „Redeployment“</c:v>
                </c:pt>
              </c:strCache>
            </c:strRef>
          </c:cat>
          <c:val>
            <c:numRef>
              <c:f>'Fáze podnikání'!$H$10:$H$16</c:f>
              <c:numCache>
                <c:formatCode>0.00%</c:formatCode>
                <c:ptCount val="7"/>
                <c:pt idx="0">
                  <c:v>3.3898305084745763E-2</c:v>
                </c:pt>
                <c:pt idx="1">
                  <c:v>0.3559322033898305</c:v>
                </c:pt>
                <c:pt idx="2">
                  <c:v>0.11864406779661017</c:v>
                </c:pt>
                <c:pt idx="3">
                  <c:v>0.38983050847457629</c:v>
                </c:pt>
                <c:pt idx="4">
                  <c:v>6.7796610169491525E-2</c:v>
                </c:pt>
                <c:pt idx="5">
                  <c:v>1.6949152542372881E-2</c:v>
                </c:pt>
                <c:pt idx="6">
                  <c:v>1.6949152542372881E-2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29661553316042"/>
          <c:y val="0.15046296296296297"/>
          <c:w val="0.71111111111111114"/>
          <c:h val="0.675925925925925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1"/>
              <c:layout>
                <c:manualLayout>
                  <c:x val="3.0322045170724756E-2"/>
                  <c:y val="6.89639836687080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c:ext xmlns:c15="http://schemas.microsoft.com/office/drawing/2012/chart" uri="{CE6537A1-D6FC-4f65-9D91-7224C49458BB}">
                  <c15:layout>
                    <c:manualLayout>
                      <c:w val="0.14593046334274881"/>
                      <c:h val="0.2313425925925926"/>
                    </c:manualLayout>
                  </c15:layout>
                </c:ext>
              </c:extLst>
            </c:dLbl>
            <c:dLbl>
              <c:idx val="2"/>
              <c:layout>
                <c:manualLayout>
                  <c:x val="-0.12482884951881015"/>
                  <c:y val="-5.6399095946340037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1.7758957213777047E-3"/>
                  <c:y val="3.1150481189851226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'Problémy fin'!$D$8:$D$13</c:f>
              <c:strCache>
                <c:ptCount val="6"/>
                <c:pt idx="0">
                  <c:v>Dlouhá doba návratnosti projektu</c:v>
                </c:pt>
                <c:pt idx="1">
                  <c:v>Krátká podnikatelská historie</c:v>
                </c:pt>
                <c:pt idx="2">
                  <c:v>Možnosti zajištění</c:v>
                </c:pt>
                <c:pt idx="3">
                  <c:v>Finanční náklady</c:v>
                </c:pt>
                <c:pt idx="4">
                  <c:v>Ekonomický potenciál projektu</c:v>
                </c:pt>
                <c:pt idx="5">
                  <c:v>Vysoká aktuální zadluženost</c:v>
                </c:pt>
              </c:strCache>
            </c:strRef>
          </c:cat>
          <c:val>
            <c:numRef>
              <c:f>'Problémy fin'!$F$8:$F$13</c:f>
              <c:numCache>
                <c:formatCode>0.0%</c:formatCode>
                <c:ptCount val="6"/>
                <c:pt idx="0">
                  <c:v>0.11627906976744186</c:v>
                </c:pt>
                <c:pt idx="1">
                  <c:v>0.32558139534883723</c:v>
                </c:pt>
                <c:pt idx="2">
                  <c:v>0.37209302325581395</c:v>
                </c:pt>
                <c:pt idx="3">
                  <c:v>0.11627906976744186</c:v>
                </c:pt>
                <c:pt idx="4">
                  <c:v>0.16279069767441862</c:v>
                </c:pt>
                <c:pt idx="5">
                  <c:v>4.6511627906976744E-2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0.2013888888888889"/>
          <c:w val="0.41111111111111104"/>
          <c:h val="0.68518518518518512"/>
        </c:manualLayout>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6.9444444444444448E-2"/>
                  <c:y val="-0.15277777777777779"/>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8333333333333343"/>
                  <c:y val="2.3148148148148147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5277777777777779"/>
                  <c:y val="0.1481481481481481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3333333333333336"/>
                  <c:y val="-0.13425925925925927"/>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'Doba návratnosti'!$D$7:$D$10</c:f>
              <c:strCache>
                <c:ptCount val="4"/>
                <c:pt idx="0">
                  <c:v>V horizontu 10 let a více</c:v>
                </c:pt>
                <c:pt idx="1">
                  <c:v>V horizontu 1-3 roky</c:v>
                </c:pt>
                <c:pt idx="2">
                  <c:v>V horizontu 3-5 let</c:v>
                </c:pt>
                <c:pt idx="3">
                  <c:v>V horizontu 5-10 let</c:v>
                </c:pt>
              </c:strCache>
            </c:strRef>
          </c:cat>
          <c:val>
            <c:numRef>
              <c:f>'Doba návratnosti'!$E$7:$E$10</c:f>
              <c:numCache>
                <c:formatCode>0.0%</c:formatCode>
                <c:ptCount val="4"/>
                <c:pt idx="0">
                  <c:v>1.9230769230769232E-2</c:v>
                </c:pt>
                <c:pt idx="1">
                  <c:v>0.28846153846153844</c:v>
                </c:pt>
                <c:pt idx="2">
                  <c:v>0.55769230769230771</c:v>
                </c:pt>
                <c:pt idx="3">
                  <c:v>0.13461538461538461</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BF!$A$43:$A$46</c:f>
              <c:strCache>
                <c:ptCount val="4"/>
                <c:pt idx="0">
                  <c:v>Návratnost v horizontu 1-3 roky</c:v>
                </c:pt>
                <c:pt idx="1">
                  <c:v>Návratnost v horizontu 3-5 let</c:v>
                </c:pt>
                <c:pt idx="2">
                  <c:v>Návratnost v horizontu 5-10 let</c:v>
                </c:pt>
                <c:pt idx="3">
                  <c:v>Návratnost v horizontu 10 let a více</c:v>
                </c:pt>
              </c:strCache>
            </c:strRef>
          </c:cat>
          <c:val>
            <c:numRef>
              <c:f>BF!$C$43:$C$46</c:f>
              <c:numCache>
                <c:formatCode>0.0%</c:formatCode>
                <c:ptCount val="4"/>
                <c:pt idx="0">
                  <c:v>3.5714285714285712E-2</c:v>
                </c:pt>
                <c:pt idx="1">
                  <c:v>0.16964285714285715</c:v>
                </c:pt>
                <c:pt idx="2">
                  <c:v>0.5089285714285714</c:v>
                </c:pt>
                <c:pt idx="3">
                  <c:v>0.2857142857142857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BF!$I$24:$I$27</c:f>
              <c:strCache>
                <c:ptCount val="4"/>
                <c:pt idx="0">
                  <c:v>Bezproblémová</c:v>
                </c:pt>
                <c:pt idx="1">
                  <c:v>S menšími problémy</c:v>
                </c:pt>
                <c:pt idx="2">
                  <c:v>Dostupnost je obtížná</c:v>
                </c:pt>
                <c:pt idx="3">
                  <c:v>Dostupnost je špatná</c:v>
                </c:pt>
              </c:strCache>
            </c:strRef>
          </c:cat>
          <c:val>
            <c:numRef>
              <c:f>BF!$K$24:$K$27</c:f>
              <c:numCache>
                <c:formatCode>0.0%</c:formatCode>
                <c:ptCount val="4"/>
                <c:pt idx="0">
                  <c:v>0.40952380952380951</c:v>
                </c:pt>
                <c:pt idx="1">
                  <c:v>0.25714285714285712</c:v>
                </c:pt>
                <c:pt idx="2">
                  <c:v>0.15238095238095239</c:v>
                </c:pt>
                <c:pt idx="3">
                  <c:v>0.18095238095238095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78A04-5B9D-40DD-87A9-EBAE6D53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77DD5131.dotm</Template>
  <TotalTime>1</TotalTime>
  <Pages>233</Pages>
  <Words>77457</Words>
  <Characters>477711</Characters>
  <Application>Microsoft Office Word</Application>
  <DocSecurity>0</DocSecurity>
  <Lines>3980</Lines>
  <Paragraphs>1108</Paragraphs>
  <ScaleCrop>false</ScaleCrop>
  <HeadingPairs>
    <vt:vector size="2" baseType="variant">
      <vt:variant>
        <vt:lpstr>Název</vt:lpstr>
      </vt:variant>
      <vt:variant>
        <vt:i4>1</vt:i4>
      </vt:variant>
    </vt:vector>
  </HeadingPairs>
  <TitlesOfParts>
    <vt:vector size="1" baseType="lpstr">
      <vt:lpstr>Předběžné posouzení finančních nástrojů</vt:lpstr>
    </vt:vector>
  </TitlesOfParts>
  <Company/>
  <LinksUpToDate>false</LinksUpToDate>
  <CharactersWithSpaces>554060</CharactersWithSpaces>
  <SharedDoc>false</SharedDoc>
  <HLinks>
    <vt:vector size="600" baseType="variant">
      <vt:variant>
        <vt:i4>3997736</vt:i4>
      </vt:variant>
      <vt:variant>
        <vt:i4>657</vt:i4>
      </vt:variant>
      <vt:variant>
        <vt:i4>0</vt:i4>
      </vt:variant>
      <vt:variant>
        <vt:i4>5</vt:i4>
      </vt:variant>
      <vt:variant>
        <vt:lpwstr>https://www.ctu.cz/ctu-online/pruzkum-nga.html</vt:lpwstr>
      </vt:variant>
      <vt:variant>
        <vt:lpwstr/>
      </vt:variant>
      <vt:variant>
        <vt:i4>1900601</vt:i4>
      </vt:variant>
      <vt:variant>
        <vt:i4>560</vt:i4>
      </vt:variant>
      <vt:variant>
        <vt:i4>0</vt:i4>
      </vt:variant>
      <vt:variant>
        <vt:i4>5</vt:i4>
      </vt:variant>
      <vt:variant>
        <vt:lpwstr/>
      </vt:variant>
      <vt:variant>
        <vt:lpwstr>_Toc419960225</vt:lpwstr>
      </vt:variant>
      <vt:variant>
        <vt:i4>1900601</vt:i4>
      </vt:variant>
      <vt:variant>
        <vt:i4>554</vt:i4>
      </vt:variant>
      <vt:variant>
        <vt:i4>0</vt:i4>
      </vt:variant>
      <vt:variant>
        <vt:i4>5</vt:i4>
      </vt:variant>
      <vt:variant>
        <vt:lpwstr/>
      </vt:variant>
      <vt:variant>
        <vt:lpwstr>_Toc419960224</vt:lpwstr>
      </vt:variant>
      <vt:variant>
        <vt:i4>1900601</vt:i4>
      </vt:variant>
      <vt:variant>
        <vt:i4>548</vt:i4>
      </vt:variant>
      <vt:variant>
        <vt:i4>0</vt:i4>
      </vt:variant>
      <vt:variant>
        <vt:i4>5</vt:i4>
      </vt:variant>
      <vt:variant>
        <vt:lpwstr/>
      </vt:variant>
      <vt:variant>
        <vt:lpwstr>_Toc419960223</vt:lpwstr>
      </vt:variant>
      <vt:variant>
        <vt:i4>1900601</vt:i4>
      </vt:variant>
      <vt:variant>
        <vt:i4>542</vt:i4>
      </vt:variant>
      <vt:variant>
        <vt:i4>0</vt:i4>
      </vt:variant>
      <vt:variant>
        <vt:i4>5</vt:i4>
      </vt:variant>
      <vt:variant>
        <vt:lpwstr/>
      </vt:variant>
      <vt:variant>
        <vt:lpwstr>_Toc419960222</vt:lpwstr>
      </vt:variant>
      <vt:variant>
        <vt:i4>1900601</vt:i4>
      </vt:variant>
      <vt:variant>
        <vt:i4>536</vt:i4>
      </vt:variant>
      <vt:variant>
        <vt:i4>0</vt:i4>
      </vt:variant>
      <vt:variant>
        <vt:i4>5</vt:i4>
      </vt:variant>
      <vt:variant>
        <vt:lpwstr/>
      </vt:variant>
      <vt:variant>
        <vt:lpwstr>_Toc419960221</vt:lpwstr>
      </vt:variant>
      <vt:variant>
        <vt:i4>1900601</vt:i4>
      </vt:variant>
      <vt:variant>
        <vt:i4>530</vt:i4>
      </vt:variant>
      <vt:variant>
        <vt:i4>0</vt:i4>
      </vt:variant>
      <vt:variant>
        <vt:i4>5</vt:i4>
      </vt:variant>
      <vt:variant>
        <vt:lpwstr/>
      </vt:variant>
      <vt:variant>
        <vt:lpwstr>_Toc419960220</vt:lpwstr>
      </vt:variant>
      <vt:variant>
        <vt:i4>1966137</vt:i4>
      </vt:variant>
      <vt:variant>
        <vt:i4>524</vt:i4>
      </vt:variant>
      <vt:variant>
        <vt:i4>0</vt:i4>
      </vt:variant>
      <vt:variant>
        <vt:i4>5</vt:i4>
      </vt:variant>
      <vt:variant>
        <vt:lpwstr/>
      </vt:variant>
      <vt:variant>
        <vt:lpwstr>_Toc419960219</vt:lpwstr>
      </vt:variant>
      <vt:variant>
        <vt:i4>1966137</vt:i4>
      </vt:variant>
      <vt:variant>
        <vt:i4>518</vt:i4>
      </vt:variant>
      <vt:variant>
        <vt:i4>0</vt:i4>
      </vt:variant>
      <vt:variant>
        <vt:i4>5</vt:i4>
      </vt:variant>
      <vt:variant>
        <vt:lpwstr/>
      </vt:variant>
      <vt:variant>
        <vt:lpwstr>_Toc419960218</vt:lpwstr>
      </vt:variant>
      <vt:variant>
        <vt:i4>1966137</vt:i4>
      </vt:variant>
      <vt:variant>
        <vt:i4>512</vt:i4>
      </vt:variant>
      <vt:variant>
        <vt:i4>0</vt:i4>
      </vt:variant>
      <vt:variant>
        <vt:i4>5</vt:i4>
      </vt:variant>
      <vt:variant>
        <vt:lpwstr/>
      </vt:variant>
      <vt:variant>
        <vt:lpwstr>_Toc419960217</vt:lpwstr>
      </vt:variant>
      <vt:variant>
        <vt:i4>1966137</vt:i4>
      </vt:variant>
      <vt:variant>
        <vt:i4>506</vt:i4>
      </vt:variant>
      <vt:variant>
        <vt:i4>0</vt:i4>
      </vt:variant>
      <vt:variant>
        <vt:i4>5</vt:i4>
      </vt:variant>
      <vt:variant>
        <vt:lpwstr/>
      </vt:variant>
      <vt:variant>
        <vt:lpwstr>_Toc419960216</vt:lpwstr>
      </vt:variant>
      <vt:variant>
        <vt:i4>1966137</vt:i4>
      </vt:variant>
      <vt:variant>
        <vt:i4>500</vt:i4>
      </vt:variant>
      <vt:variant>
        <vt:i4>0</vt:i4>
      </vt:variant>
      <vt:variant>
        <vt:i4>5</vt:i4>
      </vt:variant>
      <vt:variant>
        <vt:lpwstr/>
      </vt:variant>
      <vt:variant>
        <vt:lpwstr>_Toc419960215</vt:lpwstr>
      </vt:variant>
      <vt:variant>
        <vt:i4>1966137</vt:i4>
      </vt:variant>
      <vt:variant>
        <vt:i4>494</vt:i4>
      </vt:variant>
      <vt:variant>
        <vt:i4>0</vt:i4>
      </vt:variant>
      <vt:variant>
        <vt:i4>5</vt:i4>
      </vt:variant>
      <vt:variant>
        <vt:lpwstr/>
      </vt:variant>
      <vt:variant>
        <vt:lpwstr>_Toc419960214</vt:lpwstr>
      </vt:variant>
      <vt:variant>
        <vt:i4>1966137</vt:i4>
      </vt:variant>
      <vt:variant>
        <vt:i4>488</vt:i4>
      </vt:variant>
      <vt:variant>
        <vt:i4>0</vt:i4>
      </vt:variant>
      <vt:variant>
        <vt:i4>5</vt:i4>
      </vt:variant>
      <vt:variant>
        <vt:lpwstr/>
      </vt:variant>
      <vt:variant>
        <vt:lpwstr>_Toc419960213</vt:lpwstr>
      </vt:variant>
      <vt:variant>
        <vt:i4>1966137</vt:i4>
      </vt:variant>
      <vt:variant>
        <vt:i4>482</vt:i4>
      </vt:variant>
      <vt:variant>
        <vt:i4>0</vt:i4>
      </vt:variant>
      <vt:variant>
        <vt:i4>5</vt:i4>
      </vt:variant>
      <vt:variant>
        <vt:lpwstr/>
      </vt:variant>
      <vt:variant>
        <vt:lpwstr>_Toc419960212</vt:lpwstr>
      </vt:variant>
      <vt:variant>
        <vt:i4>1966137</vt:i4>
      </vt:variant>
      <vt:variant>
        <vt:i4>476</vt:i4>
      </vt:variant>
      <vt:variant>
        <vt:i4>0</vt:i4>
      </vt:variant>
      <vt:variant>
        <vt:i4>5</vt:i4>
      </vt:variant>
      <vt:variant>
        <vt:lpwstr/>
      </vt:variant>
      <vt:variant>
        <vt:lpwstr>_Toc419960211</vt:lpwstr>
      </vt:variant>
      <vt:variant>
        <vt:i4>1966137</vt:i4>
      </vt:variant>
      <vt:variant>
        <vt:i4>470</vt:i4>
      </vt:variant>
      <vt:variant>
        <vt:i4>0</vt:i4>
      </vt:variant>
      <vt:variant>
        <vt:i4>5</vt:i4>
      </vt:variant>
      <vt:variant>
        <vt:lpwstr/>
      </vt:variant>
      <vt:variant>
        <vt:lpwstr>_Toc419960210</vt:lpwstr>
      </vt:variant>
      <vt:variant>
        <vt:i4>2031673</vt:i4>
      </vt:variant>
      <vt:variant>
        <vt:i4>464</vt:i4>
      </vt:variant>
      <vt:variant>
        <vt:i4>0</vt:i4>
      </vt:variant>
      <vt:variant>
        <vt:i4>5</vt:i4>
      </vt:variant>
      <vt:variant>
        <vt:lpwstr/>
      </vt:variant>
      <vt:variant>
        <vt:lpwstr>_Toc419960209</vt:lpwstr>
      </vt:variant>
      <vt:variant>
        <vt:i4>2031673</vt:i4>
      </vt:variant>
      <vt:variant>
        <vt:i4>458</vt:i4>
      </vt:variant>
      <vt:variant>
        <vt:i4>0</vt:i4>
      </vt:variant>
      <vt:variant>
        <vt:i4>5</vt:i4>
      </vt:variant>
      <vt:variant>
        <vt:lpwstr/>
      </vt:variant>
      <vt:variant>
        <vt:lpwstr>_Toc419960208</vt:lpwstr>
      </vt:variant>
      <vt:variant>
        <vt:i4>2031673</vt:i4>
      </vt:variant>
      <vt:variant>
        <vt:i4>452</vt:i4>
      </vt:variant>
      <vt:variant>
        <vt:i4>0</vt:i4>
      </vt:variant>
      <vt:variant>
        <vt:i4>5</vt:i4>
      </vt:variant>
      <vt:variant>
        <vt:lpwstr/>
      </vt:variant>
      <vt:variant>
        <vt:lpwstr>_Toc419960207</vt:lpwstr>
      </vt:variant>
      <vt:variant>
        <vt:i4>2031673</vt:i4>
      </vt:variant>
      <vt:variant>
        <vt:i4>446</vt:i4>
      </vt:variant>
      <vt:variant>
        <vt:i4>0</vt:i4>
      </vt:variant>
      <vt:variant>
        <vt:i4>5</vt:i4>
      </vt:variant>
      <vt:variant>
        <vt:lpwstr/>
      </vt:variant>
      <vt:variant>
        <vt:lpwstr>_Toc419960206</vt:lpwstr>
      </vt:variant>
      <vt:variant>
        <vt:i4>2031673</vt:i4>
      </vt:variant>
      <vt:variant>
        <vt:i4>440</vt:i4>
      </vt:variant>
      <vt:variant>
        <vt:i4>0</vt:i4>
      </vt:variant>
      <vt:variant>
        <vt:i4>5</vt:i4>
      </vt:variant>
      <vt:variant>
        <vt:lpwstr/>
      </vt:variant>
      <vt:variant>
        <vt:lpwstr>_Toc419960205</vt:lpwstr>
      </vt:variant>
      <vt:variant>
        <vt:i4>2031673</vt:i4>
      </vt:variant>
      <vt:variant>
        <vt:i4>434</vt:i4>
      </vt:variant>
      <vt:variant>
        <vt:i4>0</vt:i4>
      </vt:variant>
      <vt:variant>
        <vt:i4>5</vt:i4>
      </vt:variant>
      <vt:variant>
        <vt:lpwstr/>
      </vt:variant>
      <vt:variant>
        <vt:lpwstr>_Toc419960204</vt:lpwstr>
      </vt:variant>
      <vt:variant>
        <vt:i4>2031673</vt:i4>
      </vt:variant>
      <vt:variant>
        <vt:i4>428</vt:i4>
      </vt:variant>
      <vt:variant>
        <vt:i4>0</vt:i4>
      </vt:variant>
      <vt:variant>
        <vt:i4>5</vt:i4>
      </vt:variant>
      <vt:variant>
        <vt:lpwstr/>
      </vt:variant>
      <vt:variant>
        <vt:lpwstr>_Toc419960203</vt:lpwstr>
      </vt:variant>
      <vt:variant>
        <vt:i4>2031673</vt:i4>
      </vt:variant>
      <vt:variant>
        <vt:i4>422</vt:i4>
      </vt:variant>
      <vt:variant>
        <vt:i4>0</vt:i4>
      </vt:variant>
      <vt:variant>
        <vt:i4>5</vt:i4>
      </vt:variant>
      <vt:variant>
        <vt:lpwstr/>
      </vt:variant>
      <vt:variant>
        <vt:lpwstr>_Toc419960202</vt:lpwstr>
      </vt:variant>
      <vt:variant>
        <vt:i4>2031673</vt:i4>
      </vt:variant>
      <vt:variant>
        <vt:i4>416</vt:i4>
      </vt:variant>
      <vt:variant>
        <vt:i4>0</vt:i4>
      </vt:variant>
      <vt:variant>
        <vt:i4>5</vt:i4>
      </vt:variant>
      <vt:variant>
        <vt:lpwstr/>
      </vt:variant>
      <vt:variant>
        <vt:lpwstr>_Toc419960201</vt:lpwstr>
      </vt:variant>
      <vt:variant>
        <vt:i4>2031673</vt:i4>
      </vt:variant>
      <vt:variant>
        <vt:i4>410</vt:i4>
      </vt:variant>
      <vt:variant>
        <vt:i4>0</vt:i4>
      </vt:variant>
      <vt:variant>
        <vt:i4>5</vt:i4>
      </vt:variant>
      <vt:variant>
        <vt:lpwstr/>
      </vt:variant>
      <vt:variant>
        <vt:lpwstr>_Toc419960200</vt:lpwstr>
      </vt:variant>
      <vt:variant>
        <vt:i4>1441850</vt:i4>
      </vt:variant>
      <vt:variant>
        <vt:i4>404</vt:i4>
      </vt:variant>
      <vt:variant>
        <vt:i4>0</vt:i4>
      </vt:variant>
      <vt:variant>
        <vt:i4>5</vt:i4>
      </vt:variant>
      <vt:variant>
        <vt:lpwstr/>
      </vt:variant>
      <vt:variant>
        <vt:lpwstr>_Toc419960199</vt:lpwstr>
      </vt:variant>
      <vt:variant>
        <vt:i4>1441850</vt:i4>
      </vt:variant>
      <vt:variant>
        <vt:i4>398</vt:i4>
      </vt:variant>
      <vt:variant>
        <vt:i4>0</vt:i4>
      </vt:variant>
      <vt:variant>
        <vt:i4>5</vt:i4>
      </vt:variant>
      <vt:variant>
        <vt:lpwstr/>
      </vt:variant>
      <vt:variant>
        <vt:lpwstr>_Toc419960198</vt:lpwstr>
      </vt:variant>
      <vt:variant>
        <vt:i4>1441850</vt:i4>
      </vt:variant>
      <vt:variant>
        <vt:i4>392</vt:i4>
      </vt:variant>
      <vt:variant>
        <vt:i4>0</vt:i4>
      </vt:variant>
      <vt:variant>
        <vt:i4>5</vt:i4>
      </vt:variant>
      <vt:variant>
        <vt:lpwstr/>
      </vt:variant>
      <vt:variant>
        <vt:lpwstr>_Toc419960197</vt:lpwstr>
      </vt:variant>
      <vt:variant>
        <vt:i4>1441850</vt:i4>
      </vt:variant>
      <vt:variant>
        <vt:i4>386</vt:i4>
      </vt:variant>
      <vt:variant>
        <vt:i4>0</vt:i4>
      </vt:variant>
      <vt:variant>
        <vt:i4>5</vt:i4>
      </vt:variant>
      <vt:variant>
        <vt:lpwstr/>
      </vt:variant>
      <vt:variant>
        <vt:lpwstr>_Toc419960196</vt:lpwstr>
      </vt:variant>
      <vt:variant>
        <vt:i4>1441850</vt:i4>
      </vt:variant>
      <vt:variant>
        <vt:i4>380</vt:i4>
      </vt:variant>
      <vt:variant>
        <vt:i4>0</vt:i4>
      </vt:variant>
      <vt:variant>
        <vt:i4>5</vt:i4>
      </vt:variant>
      <vt:variant>
        <vt:lpwstr/>
      </vt:variant>
      <vt:variant>
        <vt:lpwstr>_Toc419960195</vt:lpwstr>
      </vt:variant>
      <vt:variant>
        <vt:i4>1441850</vt:i4>
      </vt:variant>
      <vt:variant>
        <vt:i4>374</vt:i4>
      </vt:variant>
      <vt:variant>
        <vt:i4>0</vt:i4>
      </vt:variant>
      <vt:variant>
        <vt:i4>5</vt:i4>
      </vt:variant>
      <vt:variant>
        <vt:lpwstr/>
      </vt:variant>
      <vt:variant>
        <vt:lpwstr>_Toc419960194</vt:lpwstr>
      </vt:variant>
      <vt:variant>
        <vt:i4>1441850</vt:i4>
      </vt:variant>
      <vt:variant>
        <vt:i4>368</vt:i4>
      </vt:variant>
      <vt:variant>
        <vt:i4>0</vt:i4>
      </vt:variant>
      <vt:variant>
        <vt:i4>5</vt:i4>
      </vt:variant>
      <vt:variant>
        <vt:lpwstr/>
      </vt:variant>
      <vt:variant>
        <vt:lpwstr>_Toc419960193</vt:lpwstr>
      </vt:variant>
      <vt:variant>
        <vt:i4>1441850</vt:i4>
      </vt:variant>
      <vt:variant>
        <vt:i4>362</vt:i4>
      </vt:variant>
      <vt:variant>
        <vt:i4>0</vt:i4>
      </vt:variant>
      <vt:variant>
        <vt:i4>5</vt:i4>
      </vt:variant>
      <vt:variant>
        <vt:lpwstr/>
      </vt:variant>
      <vt:variant>
        <vt:lpwstr>_Toc419960192</vt:lpwstr>
      </vt:variant>
      <vt:variant>
        <vt:i4>1441850</vt:i4>
      </vt:variant>
      <vt:variant>
        <vt:i4>356</vt:i4>
      </vt:variant>
      <vt:variant>
        <vt:i4>0</vt:i4>
      </vt:variant>
      <vt:variant>
        <vt:i4>5</vt:i4>
      </vt:variant>
      <vt:variant>
        <vt:lpwstr/>
      </vt:variant>
      <vt:variant>
        <vt:lpwstr>_Toc419960191</vt:lpwstr>
      </vt:variant>
      <vt:variant>
        <vt:i4>1441850</vt:i4>
      </vt:variant>
      <vt:variant>
        <vt:i4>350</vt:i4>
      </vt:variant>
      <vt:variant>
        <vt:i4>0</vt:i4>
      </vt:variant>
      <vt:variant>
        <vt:i4>5</vt:i4>
      </vt:variant>
      <vt:variant>
        <vt:lpwstr/>
      </vt:variant>
      <vt:variant>
        <vt:lpwstr>_Toc419960190</vt:lpwstr>
      </vt:variant>
      <vt:variant>
        <vt:i4>1507386</vt:i4>
      </vt:variant>
      <vt:variant>
        <vt:i4>344</vt:i4>
      </vt:variant>
      <vt:variant>
        <vt:i4>0</vt:i4>
      </vt:variant>
      <vt:variant>
        <vt:i4>5</vt:i4>
      </vt:variant>
      <vt:variant>
        <vt:lpwstr/>
      </vt:variant>
      <vt:variant>
        <vt:lpwstr>_Toc419960189</vt:lpwstr>
      </vt:variant>
      <vt:variant>
        <vt:i4>1507386</vt:i4>
      </vt:variant>
      <vt:variant>
        <vt:i4>338</vt:i4>
      </vt:variant>
      <vt:variant>
        <vt:i4>0</vt:i4>
      </vt:variant>
      <vt:variant>
        <vt:i4>5</vt:i4>
      </vt:variant>
      <vt:variant>
        <vt:lpwstr/>
      </vt:variant>
      <vt:variant>
        <vt:lpwstr>_Toc419960188</vt:lpwstr>
      </vt:variant>
      <vt:variant>
        <vt:i4>1507386</vt:i4>
      </vt:variant>
      <vt:variant>
        <vt:i4>332</vt:i4>
      </vt:variant>
      <vt:variant>
        <vt:i4>0</vt:i4>
      </vt:variant>
      <vt:variant>
        <vt:i4>5</vt:i4>
      </vt:variant>
      <vt:variant>
        <vt:lpwstr/>
      </vt:variant>
      <vt:variant>
        <vt:lpwstr>_Toc419960187</vt:lpwstr>
      </vt:variant>
      <vt:variant>
        <vt:i4>1507386</vt:i4>
      </vt:variant>
      <vt:variant>
        <vt:i4>326</vt:i4>
      </vt:variant>
      <vt:variant>
        <vt:i4>0</vt:i4>
      </vt:variant>
      <vt:variant>
        <vt:i4>5</vt:i4>
      </vt:variant>
      <vt:variant>
        <vt:lpwstr/>
      </vt:variant>
      <vt:variant>
        <vt:lpwstr>_Toc419960186</vt:lpwstr>
      </vt:variant>
      <vt:variant>
        <vt:i4>1507386</vt:i4>
      </vt:variant>
      <vt:variant>
        <vt:i4>320</vt:i4>
      </vt:variant>
      <vt:variant>
        <vt:i4>0</vt:i4>
      </vt:variant>
      <vt:variant>
        <vt:i4>5</vt:i4>
      </vt:variant>
      <vt:variant>
        <vt:lpwstr/>
      </vt:variant>
      <vt:variant>
        <vt:lpwstr>_Toc419960185</vt:lpwstr>
      </vt:variant>
      <vt:variant>
        <vt:i4>1507386</vt:i4>
      </vt:variant>
      <vt:variant>
        <vt:i4>314</vt:i4>
      </vt:variant>
      <vt:variant>
        <vt:i4>0</vt:i4>
      </vt:variant>
      <vt:variant>
        <vt:i4>5</vt:i4>
      </vt:variant>
      <vt:variant>
        <vt:lpwstr/>
      </vt:variant>
      <vt:variant>
        <vt:lpwstr>_Toc419960184</vt:lpwstr>
      </vt:variant>
      <vt:variant>
        <vt:i4>1507386</vt:i4>
      </vt:variant>
      <vt:variant>
        <vt:i4>308</vt:i4>
      </vt:variant>
      <vt:variant>
        <vt:i4>0</vt:i4>
      </vt:variant>
      <vt:variant>
        <vt:i4>5</vt:i4>
      </vt:variant>
      <vt:variant>
        <vt:lpwstr/>
      </vt:variant>
      <vt:variant>
        <vt:lpwstr>_Toc419960183</vt:lpwstr>
      </vt:variant>
      <vt:variant>
        <vt:i4>1507386</vt:i4>
      </vt:variant>
      <vt:variant>
        <vt:i4>302</vt:i4>
      </vt:variant>
      <vt:variant>
        <vt:i4>0</vt:i4>
      </vt:variant>
      <vt:variant>
        <vt:i4>5</vt:i4>
      </vt:variant>
      <vt:variant>
        <vt:lpwstr/>
      </vt:variant>
      <vt:variant>
        <vt:lpwstr>_Toc419960182</vt:lpwstr>
      </vt:variant>
      <vt:variant>
        <vt:i4>1507386</vt:i4>
      </vt:variant>
      <vt:variant>
        <vt:i4>296</vt:i4>
      </vt:variant>
      <vt:variant>
        <vt:i4>0</vt:i4>
      </vt:variant>
      <vt:variant>
        <vt:i4>5</vt:i4>
      </vt:variant>
      <vt:variant>
        <vt:lpwstr/>
      </vt:variant>
      <vt:variant>
        <vt:lpwstr>_Toc419960181</vt:lpwstr>
      </vt:variant>
      <vt:variant>
        <vt:i4>1507386</vt:i4>
      </vt:variant>
      <vt:variant>
        <vt:i4>290</vt:i4>
      </vt:variant>
      <vt:variant>
        <vt:i4>0</vt:i4>
      </vt:variant>
      <vt:variant>
        <vt:i4>5</vt:i4>
      </vt:variant>
      <vt:variant>
        <vt:lpwstr/>
      </vt:variant>
      <vt:variant>
        <vt:lpwstr>_Toc419960180</vt:lpwstr>
      </vt:variant>
      <vt:variant>
        <vt:i4>1572922</vt:i4>
      </vt:variant>
      <vt:variant>
        <vt:i4>284</vt:i4>
      </vt:variant>
      <vt:variant>
        <vt:i4>0</vt:i4>
      </vt:variant>
      <vt:variant>
        <vt:i4>5</vt:i4>
      </vt:variant>
      <vt:variant>
        <vt:lpwstr/>
      </vt:variant>
      <vt:variant>
        <vt:lpwstr>_Toc419960179</vt:lpwstr>
      </vt:variant>
      <vt:variant>
        <vt:i4>1572922</vt:i4>
      </vt:variant>
      <vt:variant>
        <vt:i4>278</vt:i4>
      </vt:variant>
      <vt:variant>
        <vt:i4>0</vt:i4>
      </vt:variant>
      <vt:variant>
        <vt:i4>5</vt:i4>
      </vt:variant>
      <vt:variant>
        <vt:lpwstr/>
      </vt:variant>
      <vt:variant>
        <vt:lpwstr>_Toc419960178</vt:lpwstr>
      </vt:variant>
      <vt:variant>
        <vt:i4>1572922</vt:i4>
      </vt:variant>
      <vt:variant>
        <vt:i4>272</vt:i4>
      </vt:variant>
      <vt:variant>
        <vt:i4>0</vt:i4>
      </vt:variant>
      <vt:variant>
        <vt:i4>5</vt:i4>
      </vt:variant>
      <vt:variant>
        <vt:lpwstr/>
      </vt:variant>
      <vt:variant>
        <vt:lpwstr>_Toc419960177</vt:lpwstr>
      </vt:variant>
      <vt:variant>
        <vt:i4>1572922</vt:i4>
      </vt:variant>
      <vt:variant>
        <vt:i4>266</vt:i4>
      </vt:variant>
      <vt:variant>
        <vt:i4>0</vt:i4>
      </vt:variant>
      <vt:variant>
        <vt:i4>5</vt:i4>
      </vt:variant>
      <vt:variant>
        <vt:lpwstr/>
      </vt:variant>
      <vt:variant>
        <vt:lpwstr>_Toc419960176</vt:lpwstr>
      </vt:variant>
      <vt:variant>
        <vt:i4>1572922</vt:i4>
      </vt:variant>
      <vt:variant>
        <vt:i4>260</vt:i4>
      </vt:variant>
      <vt:variant>
        <vt:i4>0</vt:i4>
      </vt:variant>
      <vt:variant>
        <vt:i4>5</vt:i4>
      </vt:variant>
      <vt:variant>
        <vt:lpwstr/>
      </vt:variant>
      <vt:variant>
        <vt:lpwstr>_Toc419960175</vt:lpwstr>
      </vt:variant>
      <vt:variant>
        <vt:i4>1572922</vt:i4>
      </vt:variant>
      <vt:variant>
        <vt:i4>254</vt:i4>
      </vt:variant>
      <vt:variant>
        <vt:i4>0</vt:i4>
      </vt:variant>
      <vt:variant>
        <vt:i4>5</vt:i4>
      </vt:variant>
      <vt:variant>
        <vt:lpwstr/>
      </vt:variant>
      <vt:variant>
        <vt:lpwstr>_Toc419960174</vt:lpwstr>
      </vt:variant>
      <vt:variant>
        <vt:i4>1572922</vt:i4>
      </vt:variant>
      <vt:variant>
        <vt:i4>248</vt:i4>
      </vt:variant>
      <vt:variant>
        <vt:i4>0</vt:i4>
      </vt:variant>
      <vt:variant>
        <vt:i4>5</vt:i4>
      </vt:variant>
      <vt:variant>
        <vt:lpwstr/>
      </vt:variant>
      <vt:variant>
        <vt:lpwstr>_Toc419960173</vt:lpwstr>
      </vt:variant>
      <vt:variant>
        <vt:i4>1572922</vt:i4>
      </vt:variant>
      <vt:variant>
        <vt:i4>242</vt:i4>
      </vt:variant>
      <vt:variant>
        <vt:i4>0</vt:i4>
      </vt:variant>
      <vt:variant>
        <vt:i4>5</vt:i4>
      </vt:variant>
      <vt:variant>
        <vt:lpwstr/>
      </vt:variant>
      <vt:variant>
        <vt:lpwstr>_Toc419960172</vt:lpwstr>
      </vt:variant>
      <vt:variant>
        <vt:i4>1572922</vt:i4>
      </vt:variant>
      <vt:variant>
        <vt:i4>236</vt:i4>
      </vt:variant>
      <vt:variant>
        <vt:i4>0</vt:i4>
      </vt:variant>
      <vt:variant>
        <vt:i4>5</vt:i4>
      </vt:variant>
      <vt:variant>
        <vt:lpwstr/>
      </vt:variant>
      <vt:variant>
        <vt:lpwstr>_Toc419960171</vt:lpwstr>
      </vt:variant>
      <vt:variant>
        <vt:i4>1572922</vt:i4>
      </vt:variant>
      <vt:variant>
        <vt:i4>230</vt:i4>
      </vt:variant>
      <vt:variant>
        <vt:i4>0</vt:i4>
      </vt:variant>
      <vt:variant>
        <vt:i4>5</vt:i4>
      </vt:variant>
      <vt:variant>
        <vt:lpwstr/>
      </vt:variant>
      <vt:variant>
        <vt:lpwstr>_Toc419960170</vt:lpwstr>
      </vt:variant>
      <vt:variant>
        <vt:i4>1638458</vt:i4>
      </vt:variant>
      <vt:variant>
        <vt:i4>224</vt:i4>
      </vt:variant>
      <vt:variant>
        <vt:i4>0</vt:i4>
      </vt:variant>
      <vt:variant>
        <vt:i4>5</vt:i4>
      </vt:variant>
      <vt:variant>
        <vt:lpwstr/>
      </vt:variant>
      <vt:variant>
        <vt:lpwstr>_Toc419960169</vt:lpwstr>
      </vt:variant>
      <vt:variant>
        <vt:i4>1638458</vt:i4>
      </vt:variant>
      <vt:variant>
        <vt:i4>218</vt:i4>
      </vt:variant>
      <vt:variant>
        <vt:i4>0</vt:i4>
      </vt:variant>
      <vt:variant>
        <vt:i4>5</vt:i4>
      </vt:variant>
      <vt:variant>
        <vt:lpwstr/>
      </vt:variant>
      <vt:variant>
        <vt:lpwstr>_Toc419960168</vt:lpwstr>
      </vt:variant>
      <vt:variant>
        <vt:i4>1638458</vt:i4>
      </vt:variant>
      <vt:variant>
        <vt:i4>212</vt:i4>
      </vt:variant>
      <vt:variant>
        <vt:i4>0</vt:i4>
      </vt:variant>
      <vt:variant>
        <vt:i4>5</vt:i4>
      </vt:variant>
      <vt:variant>
        <vt:lpwstr/>
      </vt:variant>
      <vt:variant>
        <vt:lpwstr>_Toc419960167</vt:lpwstr>
      </vt:variant>
      <vt:variant>
        <vt:i4>1638458</vt:i4>
      </vt:variant>
      <vt:variant>
        <vt:i4>206</vt:i4>
      </vt:variant>
      <vt:variant>
        <vt:i4>0</vt:i4>
      </vt:variant>
      <vt:variant>
        <vt:i4>5</vt:i4>
      </vt:variant>
      <vt:variant>
        <vt:lpwstr/>
      </vt:variant>
      <vt:variant>
        <vt:lpwstr>_Toc419960166</vt:lpwstr>
      </vt:variant>
      <vt:variant>
        <vt:i4>1638458</vt:i4>
      </vt:variant>
      <vt:variant>
        <vt:i4>200</vt:i4>
      </vt:variant>
      <vt:variant>
        <vt:i4>0</vt:i4>
      </vt:variant>
      <vt:variant>
        <vt:i4>5</vt:i4>
      </vt:variant>
      <vt:variant>
        <vt:lpwstr/>
      </vt:variant>
      <vt:variant>
        <vt:lpwstr>_Toc419960165</vt:lpwstr>
      </vt:variant>
      <vt:variant>
        <vt:i4>1638458</vt:i4>
      </vt:variant>
      <vt:variant>
        <vt:i4>194</vt:i4>
      </vt:variant>
      <vt:variant>
        <vt:i4>0</vt:i4>
      </vt:variant>
      <vt:variant>
        <vt:i4>5</vt:i4>
      </vt:variant>
      <vt:variant>
        <vt:lpwstr/>
      </vt:variant>
      <vt:variant>
        <vt:lpwstr>_Toc419960164</vt:lpwstr>
      </vt:variant>
      <vt:variant>
        <vt:i4>1638458</vt:i4>
      </vt:variant>
      <vt:variant>
        <vt:i4>188</vt:i4>
      </vt:variant>
      <vt:variant>
        <vt:i4>0</vt:i4>
      </vt:variant>
      <vt:variant>
        <vt:i4>5</vt:i4>
      </vt:variant>
      <vt:variant>
        <vt:lpwstr/>
      </vt:variant>
      <vt:variant>
        <vt:lpwstr>_Toc419960163</vt:lpwstr>
      </vt:variant>
      <vt:variant>
        <vt:i4>1638458</vt:i4>
      </vt:variant>
      <vt:variant>
        <vt:i4>182</vt:i4>
      </vt:variant>
      <vt:variant>
        <vt:i4>0</vt:i4>
      </vt:variant>
      <vt:variant>
        <vt:i4>5</vt:i4>
      </vt:variant>
      <vt:variant>
        <vt:lpwstr/>
      </vt:variant>
      <vt:variant>
        <vt:lpwstr>_Toc419960162</vt:lpwstr>
      </vt:variant>
      <vt:variant>
        <vt:i4>1638458</vt:i4>
      </vt:variant>
      <vt:variant>
        <vt:i4>176</vt:i4>
      </vt:variant>
      <vt:variant>
        <vt:i4>0</vt:i4>
      </vt:variant>
      <vt:variant>
        <vt:i4>5</vt:i4>
      </vt:variant>
      <vt:variant>
        <vt:lpwstr/>
      </vt:variant>
      <vt:variant>
        <vt:lpwstr>_Toc419960161</vt:lpwstr>
      </vt:variant>
      <vt:variant>
        <vt:i4>1638458</vt:i4>
      </vt:variant>
      <vt:variant>
        <vt:i4>170</vt:i4>
      </vt:variant>
      <vt:variant>
        <vt:i4>0</vt:i4>
      </vt:variant>
      <vt:variant>
        <vt:i4>5</vt:i4>
      </vt:variant>
      <vt:variant>
        <vt:lpwstr/>
      </vt:variant>
      <vt:variant>
        <vt:lpwstr>_Toc419960160</vt:lpwstr>
      </vt:variant>
      <vt:variant>
        <vt:i4>1703994</vt:i4>
      </vt:variant>
      <vt:variant>
        <vt:i4>164</vt:i4>
      </vt:variant>
      <vt:variant>
        <vt:i4>0</vt:i4>
      </vt:variant>
      <vt:variant>
        <vt:i4>5</vt:i4>
      </vt:variant>
      <vt:variant>
        <vt:lpwstr/>
      </vt:variant>
      <vt:variant>
        <vt:lpwstr>_Toc419960159</vt:lpwstr>
      </vt:variant>
      <vt:variant>
        <vt:i4>1703994</vt:i4>
      </vt:variant>
      <vt:variant>
        <vt:i4>158</vt:i4>
      </vt:variant>
      <vt:variant>
        <vt:i4>0</vt:i4>
      </vt:variant>
      <vt:variant>
        <vt:i4>5</vt:i4>
      </vt:variant>
      <vt:variant>
        <vt:lpwstr/>
      </vt:variant>
      <vt:variant>
        <vt:lpwstr>_Toc419960158</vt:lpwstr>
      </vt:variant>
      <vt:variant>
        <vt:i4>1703994</vt:i4>
      </vt:variant>
      <vt:variant>
        <vt:i4>152</vt:i4>
      </vt:variant>
      <vt:variant>
        <vt:i4>0</vt:i4>
      </vt:variant>
      <vt:variant>
        <vt:i4>5</vt:i4>
      </vt:variant>
      <vt:variant>
        <vt:lpwstr/>
      </vt:variant>
      <vt:variant>
        <vt:lpwstr>_Toc419960157</vt:lpwstr>
      </vt:variant>
      <vt:variant>
        <vt:i4>1703994</vt:i4>
      </vt:variant>
      <vt:variant>
        <vt:i4>146</vt:i4>
      </vt:variant>
      <vt:variant>
        <vt:i4>0</vt:i4>
      </vt:variant>
      <vt:variant>
        <vt:i4>5</vt:i4>
      </vt:variant>
      <vt:variant>
        <vt:lpwstr/>
      </vt:variant>
      <vt:variant>
        <vt:lpwstr>_Toc419960156</vt:lpwstr>
      </vt:variant>
      <vt:variant>
        <vt:i4>1703994</vt:i4>
      </vt:variant>
      <vt:variant>
        <vt:i4>140</vt:i4>
      </vt:variant>
      <vt:variant>
        <vt:i4>0</vt:i4>
      </vt:variant>
      <vt:variant>
        <vt:i4>5</vt:i4>
      </vt:variant>
      <vt:variant>
        <vt:lpwstr/>
      </vt:variant>
      <vt:variant>
        <vt:lpwstr>_Toc419960155</vt:lpwstr>
      </vt:variant>
      <vt:variant>
        <vt:i4>1703994</vt:i4>
      </vt:variant>
      <vt:variant>
        <vt:i4>134</vt:i4>
      </vt:variant>
      <vt:variant>
        <vt:i4>0</vt:i4>
      </vt:variant>
      <vt:variant>
        <vt:i4>5</vt:i4>
      </vt:variant>
      <vt:variant>
        <vt:lpwstr/>
      </vt:variant>
      <vt:variant>
        <vt:lpwstr>_Toc419960154</vt:lpwstr>
      </vt:variant>
      <vt:variant>
        <vt:i4>1703994</vt:i4>
      </vt:variant>
      <vt:variant>
        <vt:i4>128</vt:i4>
      </vt:variant>
      <vt:variant>
        <vt:i4>0</vt:i4>
      </vt:variant>
      <vt:variant>
        <vt:i4>5</vt:i4>
      </vt:variant>
      <vt:variant>
        <vt:lpwstr/>
      </vt:variant>
      <vt:variant>
        <vt:lpwstr>_Toc419960153</vt:lpwstr>
      </vt:variant>
      <vt:variant>
        <vt:i4>1703994</vt:i4>
      </vt:variant>
      <vt:variant>
        <vt:i4>122</vt:i4>
      </vt:variant>
      <vt:variant>
        <vt:i4>0</vt:i4>
      </vt:variant>
      <vt:variant>
        <vt:i4>5</vt:i4>
      </vt:variant>
      <vt:variant>
        <vt:lpwstr/>
      </vt:variant>
      <vt:variant>
        <vt:lpwstr>_Toc419960152</vt:lpwstr>
      </vt:variant>
      <vt:variant>
        <vt:i4>1703994</vt:i4>
      </vt:variant>
      <vt:variant>
        <vt:i4>116</vt:i4>
      </vt:variant>
      <vt:variant>
        <vt:i4>0</vt:i4>
      </vt:variant>
      <vt:variant>
        <vt:i4>5</vt:i4>
      </vt:variant>
      <vt:variant>
        <vt:lpwstr/>
      </vt:variant>
      <vt:variant>
        <vt:lpwstr>_Toc419960151</vt:lpwstr>
      </vt:variant>
      <vt:variant>
        <vt:i4>1703994</vt:i4>
      </vt:variant>
      <vt:variant>
        <vt:i4>110</vt:i4>
      </vt:variant>
      <vt:variant>
        <vt:i4>0</vt:i4>
      </vt:variant>
      <vt:variant>
        <vt:i4>5</vt:i4>
      </vt:variant>
      <vt:variant>
        <vt:lpwstr/>
      </vt:variant>
      <vt:variant>
        <vt:lpwstr>_Toc419960150</vt:lpwstr>
      </vt:variant>
      <vt:variant>
        <vt:i4>1769530</vt:i4>
      </vt:variant>
      <vt:variant>
        <vt:i4>104</vt:i4>
      </vt:variant>
      <vt:variant>
        <vt:i4>0</vt:i4>
      </vt:variant>
      <vt:variant>
        <vt:i4>5</vt:i4>
      </vt:variant>
      <vt:variant>
        <vt:lpwstr/>
      </vt:variant>
      <vt:variant>
        <vt:lpwstr>_Toc419960149</vt:lpwstr>
      </vt:variant>
      <vt:variant>
        <vt:i4>1769530</vt:i4>
      </vt:variant>
      <vt:variant>
        <vt:i4>98</vt:i4>
      </vt:variant>
      <vt:variant>
        <vt:i4>0</vt:i4>
      </vt:variant>
      <vt:variant>
        <vt:i4>5</vt:i4>
      </vt:variant>
      <vt:variant>
        <vt:lpwstr/>
      </vt:variant>
      <vt:variant>
        <vt:lpwstr>_Toc419960148</vt:lpwstr>
      </vt:variant>
      <vt:variant>
        <vt:i4>1769530</vt:i4>
      </vt:variant>
      <vt:variant>
        <vt:i4>92</vt:i4>
      </vt:variant>
      <vt:variant>
        <vt:i4>0</vt:i4>
      </vt:variant>
      <vt:variant>
        <vt:i4>5</vt:i4>
      </vt:variant>
      <vt:variant>
        <vt:lpwstr/>
      </vt:variant>
      <vt:variant>
        <vt:lpwstr>_Toc419960147</vt:lpwstr>
      </vt:variant>
      <vt:variant>
        <vt:i4>1769530</vt:i4>
      </vt:variant>
      <vt:variant>
        <vt:i4>86</vt:i4>
      </vt:variant>
      <vt:variant>
        <vt:i4>0</vt:i4>
      </vt:variant>
      <vt:variant>
        <vt:i4>5</vt:i4>
      </vt:variant>
      <vt:variant>
        <vt:lpwstr/>
      </vt:variant>
      <vt:variant>
        <vt:lpwstr>_Toc419960146</vt:lpwstr>
      </vt:variant>
      <vt:variant>
        <vt:i4>1769530</vt:i4>
      </vt:variant>
      <vt:variant>
        <vt:i4>80</vt:i4>
      </vt:variant>
      <vt:variant>
        <vt:i4>0</vt:i4>
      </vt:variant>
      <vt:variant>
        <vt:i4>5</vt:i4>
      </vt:variant>
      <vt:variant>
        <vt:lpwstr/>
      </vt:variant>
      <vt:variant>
        <vt:lpwstr>_Toc419960145</vt:lpwstr>
      </vt:variant>
      <vt:variant>
        <vt:i4>1769530</vt:i4>
      </vt:variant>
      <vt:variant>
        <vt:i4>74</vt:i4>
      </vt:variant>
      <vt:variant>
        <vt:i4>0</vt:i4>
      </vt:variant>
      <vt:variant>
        <vt:i4>5</vt:i4>
      </vt:variant>
      <vt:variant>
        <vt:lpwstr/>
      </vt:variant>
      <vt:variant>
        <vt:lpwstr>_Toc419960144</vt:lpwstr>
      </vt:variant>
      <vt:variant>
        <vt:i4>1769530</vt:i4>
      </vt:variant>
      <vt:variant>
        <vt:i4>68</vt:i4>
      </vt:variant>
      <vt:variant>
        <vt:i4>0</vt:i4>
      </vt:variant>
      <vt:variant>
        <vt:i4>5</vt:i4>
      </vt:variant>
      <vt:variant>
        <vt:lpwstr/>
      </vt:variant>
      <vt:variant>
        <vt:lpwstr>_Toc419960143</vt:lpwstr>
      </vt:variant>
      <vt:variant>
        <vt:i4>1769530</vt:i4>
      </vt:variant>
      <vt:variant>
        <vt:i4>62</vt:i4>
      </vt:variant>
      <vt:variant>
        <vt:i4>0</vt:i4>
      </vt:variant>
      <vt:variant>
        <vt:i4>5</vt:i4>
      </vt:variant>
      <vt:variant>
        <vt:lpwstr/>
      </vt:variant>
      <vt:variant>
        <vt:lpwstr>_Toc419960142</vt:lpwstr>
      </vt:variant>
      <vt:variant>
        <vt:i4>1769530</vt:i4>
      </vt:variant>
      <vt:variant>
        <vt:i4>56</vt:i4>
      </vt:variant>
      <vt:variant>
        <vt:i4>0</vt:i4>
      </vt:variant>
      <vt:variant>
        <vt:i4>5</vt:i4>
      </vt:variant>
      <vt:variant>
        <vt:lpwstr/>
      </vt:variant>
      <vt:variant>
        <vt:lpwstr>_Toc419960141</vt:lpwstr>
      </vt:variant>
      <vt:variant>
        <vt:i4>1769530</vt:i4>
      </vt:variant>
      <vt:variant>
        <vt:i4>50</vt:i4>
      </vt:variant>
      <vt:variant>
        <vt:i4>0</vt:i4>
      </vt:variant>
      <vt:variant>
        <vt:i4>5</vt:i4>
      </vt:variant>
      <vt:variant>
        <vt:lpwstr/>
      </vt:variant>
      <vt:variant>
        <vt:lpwstr>_Toc419960140</vt:lpwstr>
      </vt:variant>
      <vt:variant>
        <vt:i4>1835066</vt:i4>
      </vt:variant>
      <vt:variant>
        <vt:i4>44</vt:i4>
      </vt:variant>
      <vt:variant>
        <vt:i4>0</vt:i4>
      </vt:variant>
      <vt:variant>
        <vt:i4>5</vt:i4>
      </vt:variant>
      <vt:variant>
        <vt:lpwstr/>
      </vt:variant>
      <vt:variant>
        <vt:lpwstr>_Toc419960139</vt:lpwstr>
      </vt:variant>
      <vt:variant>
        <vt:i4>1835066</vt:i4>
      </vt:variant>
      <vt:variant>
        <vt:i4>38</vt:i4>
      </vt:variant>
      <vt:variant>
        <vt:i4>0</vt:i4>
      </vt:variant>
      <vt:variant>
        <vt:i4>5</vt:i4>
      </vt:variant>
      <vt:variant>
        <vt:lpwstr/>
      </vt:variant>
      <vt:variant>
        <vt:lpwstr>_Toc419960138</vt:lpwstr>
      </vt:variant>
      <vt:variant>
        <vt:i4>1835066</vt:i4>
      </vt:variant>
      <vt:variant>
        <vt:i4>32</vt:i4>
      </vt:variant>
      <vt:variant>
        <vt:i4>0</vt:i4>
      </vt:variant>
      <vt:variant>
        <vt:i4>5</vt:i4>
      </vt:variant>
      <vt:variant>
        <vt:lpwstr/>
      </vt:variant>
      <vt:variant>
        <vt:lpwstr>_Toc419960137</vt:lpwstr>
      </vt:variant>
      <vt:variant>
        <vt:i4>1835066</vt:i4>
      </vt:variant>
      <vt:variant>
        <vt:i4>26</vt:i4>
      </vt:variant>
      <vt:variant>
        <vt:i4>0</vt:i4>
      </vt:variant>
      <vt:variant>
        <vt:i4>5</vt:i4>
      </vt:variant>
      <vt:variant>
        <vt:lpwstr/>
      </vt:variant>
      <vt:variant>
        <vt:lpwstr>_Toc419960136</vt:lpwstr>
      </vt:variant>
      <vt:variant>
        <vt:i4>1835066</vt:i4>
      </vt:variant>
      <vt:variant>
        <vt:i4>20</vt:i4>
      </vt:variant>
      <vt:variant>
        <vt:i4>0</vt:i4>
      </vt:variant>
      <vt:variant>
        <vt:i4>5</vt:i4>
      </vt:variant>
      <vt:variant>
        <vt:lpwstr/>
      </vt:variant>
      <vt:variant>
        <vt:lpwstr>_Toc419960135</vt:lpwstr>
      </vt:variant>
      <vt:variant>
        <vt:i4>1835066</vt:i4>
      </vt:variant>
      <vt:variant>
        <vt:i4>14</vt:i4>
      </vt:variant>
      <vt:variant>
        <vt:i4>0</vt:i4>
      </vt:variant>
      <vt:variant>
        <vt:i4>5</vt:i4>
      </vt:variant>
      <vt:variant>
        <vt:lpwstr/>
      </vt:variant>
      <vt:variant>
        <vt:lpwstr>_Toc419960134</vt:lpwstr>
      </vt:variant>
      <vt:variant>
        <vt:i4>1835066</vt:i4>
      </vt:variant>
      <vt:variant>
        <vt:i4>8</vt:i4>
      </vt:variant>
      <vt:variant>
        <vt:i4>0</vt:i4>
      </vt:variant>
      <vt:variant>
        <vt:i4>5</vt:i4>
      </vt:variant>
      <vt:variant>
        <vt:lpwstr/>
      </vt:variant>
      <vt:variant>
        <vt:lpwstr>_Toc419960133</vt:lpwstr>
      </vt:variant>
      <vt:variant>
        <vt:i4>1835066</vt:i4>
      </vt:variant>
      <vt:variant>
        <vt:i4>2</vt:i4>
      </vt:variant>
      <vt:variant>
        <vt:i4>0</vt:i4>
      </vt:variant>
      <vt:variant>
        <vt:i4>5</vt:i4>
      </vt:variant>
      <vt:variant>
        <vt:lpwstr/>
      </vt:variant>
      <vt:variant>
        <vt:lpwstr>_Toc419960132</vt:lpwstr>
      </vt:variant>
      <vt:variant>
        <vt:i4>2293811</vt:i4>
      </vt:variant>
      <vt:variant>
        <vt:i4>12</vt:i4>
      </vt:variant>
      <vt:variant>
        <vt:i4>0</vt:i4>
      </vt:variant>
      <vt:variant>
        <vt:i4>5</vt:i4>
      </vt:variant>
      <vt:variant>
        <vt:lpwstr>https://is.muni.cz/th/172093/esf_m/diplomova_prace.pdf</vt:lpwstr>
      </vt:variant>
      <vt:variant>
        <vt:lpwstr/>
      </vt:variant>
      <vt:variant>
        <vt:i4>3735642</vt:i4>
      </vt:variant>
      <vt:variant>
        <vt:i4>9</vt:i4>
      </vt:variant>
      <vt:variant>
        <vt:i4>0</vt:i4>
      </vt:variant>
      <vt:variant>
        <vt:i4>5</vt:i4>
      </vt:variant>
      <vt:variant>
        <vt:lpwstr>http://is.muni.cz/th/323053/esf_m/Diplomova_prace-Monika_Vyskovska.pdf</vt:lpwstr>
      </vt:variant>
      <vt:variant>
        <vt:lpwstr/>
      </vt:variant>
      <vt:variant>
        <vt:i4>7995514</vt:i4>
      </vt:variant>
      <vt:variant>
        <vt:i4>6</vt:i4>
      </vt:variant>
      <vt:variant>
        <vt:i4>0</vt:i4>
      </vt:variant>
      <vt:variant>
        <vt:i4>5</vt:i4>
      </vt:variant>
      <vt:variant>
        <vt:lpwstr>https://www.seznam.cz/mapa-rychlosti-internetu</vt:lpwstr>
      </vt:variant>
      <vt:variant>
        <vt:lpwstr/>
      </vt:variant>
      <vt:variant>
        <vt:i4>3997736</vt:i4>
      </vt:variant>
      <vt:variant>
        <vt:i4>3</vt:i4>
      </vt:variant>
      <vt:variant>
        <vt:i4>0</vt:i4>
      </vt:variant>
      <vt:variant>
        <vt:i4>5</vt:i4>
      </vt:variant>
      <vt:variant>
        <vt:lpwstr>https://www.ctu.cz/ctu-online/pruzkum-nga.html</vt:lpwstr>
      </vt:variant>
      <vt:variant>
        <vt:lpwstr/>
      </vt:variant>
      <vt:variant>
        <vt:i4>1376310</vt:i4>
      </vt:variant>
      <vt:variant>
        <vt:i4>0</vt:i4>
      </vt:variant>
      <vt:variant>
        <vt:i4>0</vt:i4>
      </vt:variant>
      <vt:variant>
        <vt:i4>5</vt:i4>
      </vt:variant>
      <vt:variant>
        <vt:lpwstr>http://ec.europa.eu/regional_policy/thefunds/fin_inst/index_en.cfm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Předběžné posouzení finančních nástrojů</dc:title>
  <dc:subject/>
  <dc:creator>Ptáček Ondřej</dc:creator>
  <cp:keywords/>
  <dc:description/>
  <cp:lastModifiedBy>Laube Pavel</cp:lastModifiedBy>
  <cp:revision>3</cp:revision>
  <cp:lastPrinted>2015-05-13T08:26:00Z</cp:lastPrinted>
  <dcterms:created xsi:type="dcterms:W3CDTF">2015-06-29T09:37:00Z</dcterms:created>
  <dcterms:modified xsi:type="dcterms:W3CDTF">2015-06-29T09:38:00Z</dcterms:modified>
</cp:coreProperties>
</file>